
<file path=[Content_Types].xml><?xml version="1.0" encoding="utf-8"?>
<Types xmlns="http://schemas.openxmlformats.org/package/2006/content-types">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1063"/>
      </w:pPr>
      <w:r/>
      <w:r/>
    </w:p>
    <w:tbl>
      <w:tblPr>
        <w:tblW w:w="11313" w:type="dxa"/>
        <w:tblInd w:w="109" w:type="dxa"/>
        <w:tblLayout w:type="fixed"/>
        <w:tblLook w:val="04A0" w:firstRow="1" w:lastRow="0" w:firstColumn="1" w:lastColumn="0" w:noHBand="0" w:noVBand="1"/>
      </w:tblPr>
      <w:tblGrid>
        <w:gridCol w:w="6238"/>
        <w:gridCol w:w="5075"/>
      </w:tblGrid>
      <w:tr>
        <w:trPr/>
        <w:tc>
          <w:tcPr>
            <w:tcW w:w="6237" w:type="dxa"/>
            <w:textDirection w:val="lrTb"/>
            <w:noWrap w:val="false"/>
          </w:tcPr>
          <w:p>
            <w:pPr>
              <w:pStyle w:val="1063"/>
              <w:widowControl w:val="off"/>
              <w:rPr>
                <w:rFonts w:ascii="Arial Narrow" w:hAnsi="Arial Narrow" w:eastAsia="Calibri" w:cs="Calibri"/>
                <w:color w:val="314e87"/>
                <w:lang w:eastAsia="ja-JP"/>
              </w:rPr>
            </w:pPr>
            <w:r>
              <w:rPr>
                <w:rFonts w:ascii="Arial Narrow" w:hAnsi="Arial Narrow" w:eastAsia="Calibri" w:cs="Calibri"/>
                <w:color w:val="314e87"/>
                <w:lang w:eastAsia="ja-JP"/>
              </w:rPr>
            </w:r>
            <w:r>
              <w:rPr>
                <w:rFonts w:ascii="Arial Narrow" w:hAnsi="Arial Narrow" w:eastAsia="Calibri" w:cs="Calibri"/>
                <w:color w:val="314e87"/>
                <w:lang w:eastAsia="ja-JP"/>
              </w:rPr>
            </w:r>
            <w:r>
              <w:rPr>
                <w:rFonts w:ascii="Arial Narrow" w:hAnsi="Arial Narrow" w:eastAsia="Calibri" w:cs="Calibri"/>
                <w:color w:val="314e87"/>
                <w:lang w:eastAsia="ja-JP"/>
              </w:rPr>
            </w:r>
          </w:p>
          <w:p>
            <w:pPr>
              <w:pStyle w:val="1063"/>
              <w:widowControl w:val="off"/>
              <w:rPr>
                <w:rFonts w:ascii="Arial Narrow" w:hAnsi="Arial Narrow" w:eastAsia="Calibri" w:cs="Calibri"/>
                <w:color w:val="314e87"/>
                <w:lang w:eastAsia="ja-JP"/>
              </w:rPr>
            </w:pPr>
            <w:r>
              <w:rPr>
                <w:rFonts w:ascii="Arial Narrow" w:hAnsi="Arial Narrow" w:eastAsia="Calibri" w:cs="Calibri"/>
                <w:color w:val="314e87"/>
                <w:lang w:eastAsia="ja-JP"/>
              </w:rPr>
            </w:r>
            <w:r>
              <w:rPr>
                <w:rFonts w:ascii="Arial Narrow" w:hAnsi="Arial Narrow" w:eastAsia="Calibri" w:cs="Calibri"/>
                <w:color w:val="314e87"/>
                <w:lang w:eastAsia="ja-JP"/>
              </w:rPr>
            </w:r>
            <w:r>
              <w:rPr>
                <w:rFonts w:ascii="Arial Narrow" w:hAnsi="Arial Narrow" w:eastAsia="Calibri" w:cs="Calibri"/>
                <w:color w:val="314e87"/>
                <w:lang w:eastAsia="ja-JP"/>
              </w:rPr>
            </w:r>
          </w:p>
          <w:p>
            <w:pPr>
              <w:pStyle w:val="1063"/>
              <w:widowControl w:val="off"/>
              <w:rPr>
                <w:rFonts w:ascii="Arial Narrow" w:hAnsi="Arial Narrow" w:eastAsia="Calibri" w:cs="Calibri"/>
                <w:color w:val="314e87"/>
                <w:lang w:eastAsia="ja-JP"/>
              </w:rPr>
            </w:pPr>
            <w:r>
              <w:rPr>
                <w:rFonts w:ascii="Arial Narrow" w:hAnsi="Arial Narrow" w:eastAsia="Calibri" w:cs="Calibri"/>
                <w:color w:val="314e87"/>
                <w:lang w:eastAsia="ja-JP"/>
              </w:rPr>
            </w:r>
            <w:r>
              <w:rPr>
                <w:rFonts w:ascii="Arial Narrow" w:hAnsi="Arial Narrow" w:eastAsia="Calibri" w:cs="Calibri"/>
                <w:color w:val="314e87"/>
                <w:lang w:eastAsia="ja-JP"/>
              </w:rPr>
            </w:r>
            <w:r>
              <w:rPr>
                <w:rFonts w:ascii="Arial Narrow" w:hAnsi="Arial Narrow" w:eastAsia="Calibri" w:cs="Calibri"/>
                <w:color w:val="314e87"/>
                <w:lang w:eastAsia="ja-JP"/>
              </w:rPr>
            </w:r>
          </w:p>
          <w:p>
            <w:pPr>
              <w:pStyle w:val="1063"/>
              <w:widowControl w:val="off"/>
              <w:rPr>
                <w:rFonts w:ascii="Arial Narrow" w:hAnsi="Arial Narrow" w:eastAsia="Calibri" w:cs="Calibri"/>
                <w:color w:val="314e87"/>
                <w:lang w:eastAsia="ja-JP"/>
              </w:rPr>
            </w:pPr>
            <w:r>
              <w:rPr>
                <w:rFonts w:ascii="Arial Narrow" w:hAnsi="Arial Narrow" w:eastAsia="Calibri" w:cs="Calibri"/>
                <w:color w:val="314e87"/>
                <w:lang w:eastAsia="ja-JP"/>
              </w:rPr>
            </w:r>
            <w:r>
              <w:rPr>
                <w:rFonts w:ascii="Arial Narrow" w:hAnsi="Arial Narrow" w:eastAsia="Calibri" w:cs="Calibri"/>
                <w:color w:val="314e87"/>
                <w:lang w:eastAsia="ja-JP"/>
              </w:rPr>
            </w:r>
            <w:r>
              <w:rPr>
                <w:rFonts w:ascii="Arial Narrow" w:hAnsi="Arial Narrow" w:eastAsia="Calibri" w:cs="Calibri"/>
                <w:color w:val="314e87"/>
                <w:lang w:eastAsia="ja-JP"/>
              </w:rPr>
            </w:r>
          </w:p>
          <w:p>
            <w:pPr>
              <w:pStyle w:val="1063"/>
              <w:widowControl w:val="off"/>
              <w:rPr>
                <w:rFonts w:ascii="Arial Narrow" w:hAnsi="Arial Narrow" w:eastAsia="Calibri" w:cs="Calibri"/>
                <w:color w:val="314e87"/>
                <w:lang w:eastAsia="ja-JP"/>
              </w:rPr>
            </w:pPr>
            <w:r>
              <w:rPr>
                <w:rFonts w:ascii="Arial Narrow" w:hAnsi="Arial Narrow" w:eastAsia="Calibri" w:cs="Calibri"/>
                <w:color w:val="314e87"/>
                <w:lang w:eastAsia="ja-JP"/>
              </w:rPr>
            </w:r>
            <w:r>
              <w:rPr>
                <w:rFonts w:ascii="Arial Narrow" w:hAnsi="Arial Narrow" w:eastAsia="Calibri" w:cs="Calibri"/>
                <w:color w:val="314e87"/>
                <w:lang w:eastAsia="ja-JP"/>
              </w:rPr>
            </w:r>
            <w:r>
              <w:rPr>
                <w:rFonts w:ascii="Arial Narrow" w:hAnsi="Arial Narrow" w:eastAsia="Calibri" w:cs="Calibri"/>
                <w:color w:val="314e87"/>
                <w:lang w:eastAsia="ja-JP"/>
              </w:rPr>
            </w:r>
          </w:p>
          <w:p>
            <w:pPr>
              <w:pStyle w:val="1063"/>
              <w:widowControl w:val="off"/>
              <w:rPr>
                <w:rFonts w:ascii="Arial Narrow" w:hAnsi="Arial Narrow" w:eastAsia="Calibri" w:cs="Calibri"/>
                <w:color w:val="314e87"/>
                <w:lang w:eastAsia="ja-JP"/>
              </w:rPr>
            </w:pPr>
            <w:r>
              <w:rPr>
                <w:rFonts w:ascii="Arial Narrow" w:hAnsi="Arial Narrow" w:eastAsia="Calibri" w:cs="Calibri"/>
                <w:color w:val="314e87"/>
                <w:lang w:eastAsia="ja-JP"/>
              </w:rPr>
            </w:r>
            <w:r>
              <w:rPr>
                <w:rFonts w:ascii="Arial Narrow" w:hAnsi="Arial Narrow" w:eastAsia="Calibri" w:cs="Calibri"/>
                <w:color w:val="314e87"/>
                <w:lang w:eastAsia="ja-JP"/>
              </w:rPr>
            </w:r>
            <w:r>
              <w:rPr>
                <w:rFonts w:ascii="Arial Narrow" w:hAnsi="Arial Narrow" w:eastAsia="Calibri" w:cs="Calibri"/>
                <w:color w:val="314e87"/>
                <w:lang w:eastAsia="ja-JP"/>
              </w:rPr>
            </w:r>
          </w:p>
          <w:p>
            <w:pPr>
              <w:pStyle w:val="1063"/>
              <w:widowControl w:val="off"/>
              <w:rPr>
                <w:rFonts w:ascii="Arial Narrow" w:hAnsi="Arial Narrow" w:eastAsia="Calibri" w:cs="Calibri"/>
                <w:color w:val="314e87"/>
                <w:lang w:eastAsia="ja-JP"/>
              </w:rPr>
            </w:pPr>
            <w:r>
              <w:rPr>
                <w:rFonts w:ascii="Arial Narrow" w:hAnsi="Arial Narrow" w:eastAsia="Calibri" w:cs="Calibri"/>
                <w:color w:val="314e87"/>
                <w:lang w:eastAsia="ja-JP"/>
              </w:rPr>
            </w:r>
            <w:r>
              <w:rPr>
                <w:rFonts w:ascii="Arial Narrow" w:hAnsi="Arial Narrow" w:eastAsia="Calibri" w:cs="Calibri"/>
                <w:color w:val="314e87"/>
                <w:lang w:eastAsia="ja-JP"/>
              </w:rPr>
            </w:r>
            <w:r>
              <w:rPr>
                <w:rFonts w:ascii="Arial Narrow" w:hAnsi="Arial Narrow" w:eastAsia="Calibri" w:cs="Calibri"/>
                <w:color w:val="314e87"/>
                <w:lang w:eastAsia="ja-JP"/>
              </w:rPr>
            </w:r>
          </w:p>
          <w:p>
            <w:pPr>
              <w:pStyle w:val="1063"/>
              <w:widowControl w:val="off"/>
              <w:rPr>
                <w:rFonts w:ascii="Arial Narrow" w:hAnsi="Arial Narrow" w:eastAsia="Calibri" w:cs="Calibri"/>
                <w:color w:val="314e87"/>
                <w:lang w:eastAsia="ja-JP"/>
              </w:rPr>
            </w:pPr>
            <w:r>
              <w:rPr>
                <w:rFonts w:ascii="Arial Narrow" w:hAnsi="Arial Narrow" w:eastAsia="Calibri" w:cs="Calibri"/>
                <w:color w:val="314e87"/>
                <w:lang w:eastAsia="ja-JP"/>
              </w:rPr>
            </w:r>
            <w:r>
              <w:rPr>
                <w:rFonts w:ascii="Arial Narrow" w:hAnsi="Arial Narrow" w:eastAsia="Calibri" w:cs="Calibri"/>
                <w:color w:val="314e87"/>
                <w:lang w:eastAsia="ja-JP"/>
              </w:rPr>
            </w:r>
            <w:r>
              <w:rPr>
                <w:rFonts w:ascii="Arial Narrow" w:hAnsi="Arial Narrow" w:eastAsia="Calibri" w:cs="Calibri"/>
                <w:color w:val="314e87"/>
                <w:lang w:eastAsia="ja-JP"/>
              </w:rPr>
            </w:r>
          </w:p>
        </w:tc>
        <w:tc>
          <w:tcPr>
            <w:tcW w:w="5075" w:type="dxa"/>
            <w:textDirection w:val="lrTb"/>
            <w:noWrap w:val="false"/>
          </w:tcPr>
          <w:p>
            <w:pPr>
              <w:pStyle w:val="1063"/>
              <w:widowControl w:val="off"/>
            </w:pPr>
            <w:r>
              <w:rPr>
                <w:rFonts w:ascii="Arial Narrow" w:hAnsi="Arial Narrow" w:eastAsia="Calibri" w:cs="Calibri"/>
                <w:color w:val="314e87"/>
                <w:lang w:eastAsia="ja-JP"/>
              </w:rPr>
              <w:t xml:space="preserve">УТВЕРЖДЕН</w:t>
            </w:r>
            <w:r/>
          </w:p>
          <w:p>
            <w:pPr>
              <w:pStyle w:val="1063"/>
              <w:widowControl w:val="off"/>
            </w:pPr>
            <w:r>
              <w:rPr>
                <w:rFonts w:ascii="Arial Narrow" w:hAnsi="Arial Narrow" w:eastAsia="Calibri" w:cs="Calibri"/>
                <w:color w:val="314e87"/>
                <w:lang w:eastAsia="ja-JP"/>
              </w:rPr>
              <w:t xml:space="preserve">решением Общего собрания акционеров</w:t>
            </w:r>
            <w:r/>
          </w:p>
          <w:p>
            <w:pPr>
              <w:pStyle w:val="1063"/>
              <w:widowControl w:val="off"/>
            </w:pPr>
            <w:r>
              <w:rPr>
                <w:rFonts w:ascii="Arial Narrow" w:hAnsi="Arial Narrow" w:eastAsia="Calibri" w:cs="Calibri"/>
                <w:color w:val="314e87"/>
                <w:lang w:eastAsia="ja-JP"/>
              </w:rPr>
              <w:t xml:space="preserve">ПАО «Камчатскэнерго»</w:t>
            </w:r>
            <w:r/>
          </w:p>
          <w:p>
            <w:pPr>
              <w:pStyle w:val="1063"/>
              <w:widowControl w:val="off"/>
              <w:rPr>
                <w:rFonts w:ascii="Arial Narrow" w:hAnsi="Arial Narrow" w:eastAsia="Calibri" w:cs="Calibri"/>
                <w:color w:val="314e87"/>
                <w:lang w:eastAsia="ja-JP"/>
              </w:rPr>
            </w:pPr>
            <w:r>
              <w:rPr>
                <w:rFonts w:ascii="Arial Narrow" w:hAnsi="Arial Narrow" w:eastAsia="Calibri" w:cs="Calibri"/>
                <w:color w:val="314e87"/>
                <w:lang w:eastAsia="ja-JP"/>
              </w:rPr>
            </w:r>
            <w:r>
              <w:rPr>
                <w:rFonts w:ascii="Arial Narrow" w:hAnsi="Arial Narrow" w:eastAsia="Calibri" w:cs="Calibri"/>
                <w:color w:val="314e87"/>
                <w:lang w:eastAsia="ja-JP"/>
              </w:rPr>
            </w:r>
            <w:r>
              <w:rPr>
                <w:rFonts w:ascii="Arial Narrow" w:hAnsi="Arial Narrow" w:eastAsia="Calibri" w:cs="Calibri"/>
                <w:color w:val="314e87"/>
                <w:lang w:eastAsia="ja-JP"/>
              </w:rPr>
            </w:r>
          </w:p>
          <w:p>
            <w:pPr>
              <w:pStyle w:val="1063"/>
              <w:widowControl w:val="off"/>
            </w:pPr>
            <w:r>
              <w:rPr>
                <w:rFonts w:ascii="Arial Narrow" w:hAnsi="Arial Narrow" w:eastAsia="Calibri" w:cs="Calibri"/>
                <w:color w:val="314e87"/>
                <w:lang w:eastAsia="ja-JP"/>
              </w:rPr>
              <w:t xml:space="preserve">Протокол от __.__.2025 № ______</w:t>
            </w:r>
            <w:r/>
          </w:p>
          <w:p>
            <w:pPr>
              <w:pStyle w:val="1063"/>
              <w:widowControl w:val="off"/>
              <w:rPr>
                <w:rFonts w:ascii="Arial Narrow" w:hAnsi="Arial Narrow" w:eastAsia="Calibri" w:cs="Calibri"/>
                <w:color w:val="314e87"/>
                <w:lang w:eastAsia="ja-JP"/>
              </w:rPr>
            </w:pPr>
            <w:r>
              <w:rPr>
                <w:rFonts w:ascii="Arial Narrow" w:hAnsi="Arial Narrow" w:eastAsia="Calibri" w:cs="Calibri"/>
                <w:color w:val="314e87"/>
                <w:lang w:eastAsia="ja-JP"/>
              </w:rPr>
            </w:r>
            <w:r>
              <w:rPr>
                <w:rFonts w:ascii="Arial Narrow" w:hAnsi="Arial Narrow" w:eastAsia="Calibri" w:cs="Calibri"/>
                <w:color w:val="314e87"/>
                <w:lang w:eastAsia="ja-JP"/>
              </w:rPr>
            </w:r>
            <w:r>
              <w:rPr>
                <w:rFonts w:ascii="Arial Narrow" w:hAnsi="Arial Narrow" w:eastAsia="Calibri" w:cs="Calibri"/>
                <w:color w:val="314e87"/>
                <w:lang w:eastAsia="ja-JP"/>
              </w:rPr>
            </w:r>
          </w:p>
        </w:tc>
      </w:tr>
    </w:tbl>
    <w:p>
      <w:pPr>
        <w:pStyle w:val="1063"/>
        <w:rPr>
          <w:rFonts w:ascii="Arial Narrow" w:hAnsi="Arial Narrow" w:cs="Calibri"/>
          <w:color w:val="f47324"/>
          <w:sz w:val="36"/>
          <w:szCs w:val="36"/>
          <w:lang w:bidi="ru-RU"/>
        </w:rPr>
      </w:pPr>
      <w:r>
        <w:rPr>
          <w:rFonts w:ascii="Arial Narrow" w:hAnsi="Arial Narrow" w:cs="Calibri"/>
          <w:color w:val="f47324"/>
          <w:sz w:val="36"/>
          <w:szCs w:val="36"/>
          <w:lang w:bidi="ru-RU"/>
        </w:rPr>
      </w:r>
      <w:r>
        <w:rPr>
          <w:rFonts w:ascii="Arial Narrow" w:hAnsi="Arial Narrow" w:cs="Calibri"/>
          <w:color w:val="f47324"/>
          <w:sz w:val="36"/>
          <w:szCs w:val="36"/>
          <w:lang w:bidi="ru-RU"/>
        </w:rPr>
      </w:r>
      <w:r>
        <w:rPr>
          <w:rFonts w:ascii="Arial Narrow" w:hAnsi="Arial Narrow" w:cs="Calibri"/>
          <w:color w:val="f47324"/>
          <w:sz w:val="36"/>
          <w:szCs w:val="36"/>
          <w:lang w:bidi="ru-RU"/>
        </w:rPr>
      </w:r>
    </w:p>
    <w:p>
      <w:pPr>
        <w:pStyle w:val="1063"/>
        <w:rPr>
          <w:rFonts w:ascii="Arial Narrow" w:hAnsi="Arial Narrow" w:cs="Calibri"/>
          <w:color w:val="f47324"/>
          <w:sz w:val="36"/>
          <w:szCs w:val="36"/>
          <w:lang w:bidi="ru-RU"/>
        </w:rPr>
      </w:pPr>
      <w:r>
        <w:rPr>
          <w:rFonts w:ascii="Arial Narrow" w:hAnsi="Arial Narrow" w:cs="Calibri"/>
          <w:color w:val="f47324"/>
          <w:sz w:val="36"/>
          <w:szCs w:val="36"/>
          <w:lang w:bidi="ru-RU"/>
        </w:rPr>
      </w:r>
      <w:r>
        <w:rPr>
          <w:rFonts w:ascii="Arial Narrow" w:hAnsi="Arial Narrow" w:cs="Calibri"/>
          <w:color w:val="f47324"/>
          <w:sz w:val="36"/>
          <w:szCs w:val="36"/>
          <w:lang w:bidi="ru-RU"/>
        </w:rPr>
      </w:r>
      <w:r>
        <w:rPr>
          <w:rFonts w:ascii="Arial Narrow" w:hAnsi="Arial Narrow" w:cs="Calibri"/>
          <w:color w:val="f47324"/>
          <w:sz w:val="36"/>
          <w:szCs w:val="36"/>
          <w:lang w:bidi="ru-RU"/>
        </w:rPr>
      </w:r>
    </w:p>
    <w:p>
      <w:pPr>
        <w:pStyle w:val="1063"/>
        <w:rPr>
          <w:rFonts w:ascii="Arial Narrow" w:hAnsi="Arial Narrow" w:cs="Calibri"/>
          <w:color w:val="f47324"/>
          <w:sz w:val="36"/>
          <w:szCs w:val="36"/>
          <w:lang w:bidi="ru-RU"/>
        </w:rPr>
      </w:pPr>
      <w:r>
        <w:rPr>
          <w:rFonts w:ascii="Arial Narrow" w:hAnsi="Arial Narrow" w:cs="Calibri"/>
          <w:color w:val="f47324"/>
          <w:sz w:val="36"/>
          <w:szCs w:val="36"/>
          <w:lang w:bidi="ru-RU"/>
        </w:rPr>
      </w:r>
      <w:r>
        <w:rPr>
          <w:rFonts w:ascii="Arial Narrow" w:hAnsi="Arial Narrow" w:cs="Calibri"/>
          <w:color w:val="f47324"/>
          <w:sz w:val="36"/>
          <w:szCs w:val="36"/>
          <w:lang w:bidi="ru-RU"/>
        </w:rPr>
      </w:r>
      <w:r>
        <w:rPr>
          <w:rFonts w:ascii="Arial Narrow" w:hAnsi="Arial Narrow" w:cs="Calibri"/>
          <w:color w:val="f47324"/>
          <w:sz w:val="36"/>
          <w:szCs w:val="36"/>
          <w:lang w:bidi="ru-RU"/>
        </w:rPr>
      </w:r>
    </w:p>
    <w:p>
      <w:pPr>
        <w:pStyle w:val="1063"/>
        <w:rPr>
          <w:rFonts w:ascii="Arial Narrow" w:hAnsi="Arial Narrow" w:cs="Calibri"/>
          <w:color w:val="f47324"/>
          <w:sz w:val="36"/>
          <w:szCs w:val="36"/>
          <w:lang w:bidi="ru-RU"/>
        </w:rPr>
      </w:pPr>
      <w:r>
        <w:rPr>
          <w:rFonts w:ascii="Arial Narrow" w:hAnsi="Arial Narrow" w:cs="Calibri"/>
          <w:color w:val="f47324"/>
          <w:sz w:val="36"/>
          <w:szCs w:val="36"/>
          <w:lang w:bidi="ru-RU"/>
        </w:rPr>
      </w:r>
      <w:r>
        <w:rPr>
          <w:rFonts w:ascii="Arial Narrow" w:hAnsi="Arial Narrow" w:cs="Calibri"/>
          <w:color w:val="f47324"/>
          <w:sz w:val="36"/>
          <w:szCs w:val="36"/>
          <w:lang w:bidi="ru-RU"/>
        </w:rPr>
      </w:r>
      <w:r>
        <w:rPr>
          <w:rFonts w:ascii="Arial Narrow" w:hAnsi="Arial Narrow" w:cs="Calibri"/>
          <w:color w:val="f47324"/>
          <w:sz w:val="36"/>
          <w:szCs w:val="36"/>
          <w:lang w:bidi="ru-RU"/>
        </w:rPr>
      </w:r>
    </w:p>
    <w:p>
      <w:pPr>
        <w:pStyle w:val="1063"/>
        <w:jc w:val="center"/>
        <w:rPr>
          <w:b/>
          <w:bCs/>
        </w:rPr>
      </w:pPr>
      <w:r>
        <w:rPr>
          <w:rFonts w:ascii="Arial Narrow" w:hAnsi="Arial Narrow" w:eastAsia="Calibri" w:cs="Calibri"/>
          <w:b/>
          <w:bCs/>
          <w:color w:val="314e87"/>
          <w:sz w:val="48"/>
          <w:szCs w:val="44"/>
          <w:lang w:eastAsia="ja-JP"/>
        </w:rPr>
        <w:t xml:space="preserve">Годовой отчет</w:t>
      </w:r>
      <w:r>
        <w:rPr>
          <w:b/>
          <w:bCs/>
        </w:rPr>
      </w:r>
      <w:r>
        <w:rPr>
          <w:b/>
          <w:bCs/>
        </w:rPr>
      </w:r>
    </w:p>
    <w:p>
      <w:pPr>
        <w:pStyle w:val="1063"/>
        <w:jc w:val="center"/>
        <w:rPr>
          <w:b/>
          <w:bCs/>
        </w:rPr>
      </w:pPr>
      <w:r>
        <w:rPr>
          <w:rFonts w:ascii="Arial Narrow" w:hAnsi="Arial Narrow" w:eastAsia="Calibri" w:cs="Calibri"/>
          <w:b/>
          <w:bCs/>
          <w:color w:val="314e87"/>
          <w:sz w:val="48"/>
          <w:szCs w:val="44"/>
          <w:lang w:eastAsia="ja-JP"/>
        </w:rPr>
        <w:t xml:space="preserve">Публичного акционерного общества</w:t>
      </w:r>
      <w:r>
        <w:rPr>
          <w:b/>
          <w:bCs/>
        </w:rPr>
      </w:r>
      <w:r>
        <w:rPr>
          <w:b/>
          <w:bCs/>
        </w:rPr>
      </w:r>
    </w:p>
    <w:p>
      <w:pPr>
        <w:pStyle w:val="1063"/>
        <w:jc w:val="center"/>
        <w:rPr>
          <w:b/>
          <w:bCs/>
        </w:rPr>
      </w:pPr>
      <w:r>
        <w:rPr>
          <w:rFonts w:ascii="Arial Narrow" w:hAnsi="Arial Narrow" w:eastAsia="Calibri" w:cs="Calibri"/>
          <w:b/>
          <w:bCs/>
          <w:color w:val="314e87"/>
          <w:sz w:val="48"/>
          <w:szCs w:val="44"/>
          <w:lang w:eastAsia="ja-JP"/>
        </w:rPr>
        <w:t xml:space="preserve">энергетики и электрификации</w:t>
      </w:r>
      <w:r>
        <w:rPr>
          <w:b/>
          <w:bCs/>
        </w:rPr>
      </w:r>
      <w:r>
        <w:rPr>
          <w:b/>
          <w:bCs/>
        </w:rPr>
      </w:r>
    </w:p>
    <w:p>
      <w:pPr>
        <w:pStyle w:val="1063"/>
        <w:jc w:val="center"/>
        <w:rPr>
          <w:b/>
          <w:bCs/>
        </w:rPr>
      </w:pPr>
      <w:r>
        <w:rPr>
          <w:rFonts w:ascii="Arial Narrow" w:hAnsi="Arial Narrow" w:eastAsia="Calibri" w:cs="Calibri"/>
          <w:b/>
          <w:bCs/>
          <w:color w:val="314e87"/>
          <w:sz w:val="48"/>
          <w:szCs w:val="44"/>
          <w:lang w:eastAsia="ja-JP"/>
        </w:rPr>
        <w:t xml:space="preserve">ПАО «Камчатскэнерго»</w:t>
      </w:r>
      <w:r>
        <w:rPr>
          <w:b/>
          <w:bCs/>
        </w:rPr>
      </w:r>
      <w:r>
        <w:rPr>
          <w:b/>
          <w:bCs/>
        </w:rPr>
      </w:r>
    </w:p>
    <w:p>
      <w:pPr>
        <w:pStyle w:val="1063"/>
        <w:jc w:val="center"/>
      </w:pPr>
      <w:r>
        <w:rPr>
          <w:rFonts w:ascii="Arial Narrow" w:hAnsi="Arial Narrow" w:eastAsia="Calibri" w:cs="Calibri"/>
          <w:b/>
          <w:bCs/>
          <w:color w:val="314e87"/>
          <w:sz w:val="48"/>
          <w:szCs w:val="44"/>
          <w:lang w:eastAsia="ja-JP"/>
        </w:rPr>
        <w:t xml:space="preserve">за 2024 год</w:t>
      </w:r>
      <w:r/>
    </w:p>
    <w:p>
      <w:pPr>
        <w:pStyle w:val="1063"/>
        <w:rPr>
          <w:rFonts w:ascii="Arial Narrow" w:hAnsi="Arial Narrow"/>
        </w:rPr>
      </w:pPr>
      <w:r>
        <w:rPr>
          <w:rFonts w:ascii="Arial Narrow" w:hAnsi="Arial Narrow"/>
        </w:rPr>
      </w:r>
      <w:r>
        <w:rPr>
          <w:rFonts w:ascii="Arial Narrow" w:hAnsi="Arial Narrow"/>
        </w:rPr>
      </w:r>
      <w:r>
        <w:rPr>
          <w:rFonts w:ascii="Arial Narrow" w:hAnsi="Arial Narrow"/>
        </w:rPr>
      </w:r>
    </w:p>
    <w:p>
      <w:pPr>
        <w:pStyle w:val="1063"/>
        <w:rPr>
          <w:rFonts w:ascii="Arial Narrow" w:hAnsi="Arial Narrow"/>
        </w:rPr>
      </w:pPr>
      <w:r>
        <w:rPr>
          <w:rFonts w:ascii="Arial Narrow" w:hAnsi="Arial Narrow"/>
        </w:rPr>
      </w:r>
      <w:r>
        <w:rPr>
          <w:rFonts w:ascii="Arial Narrow" w:hAnsi="Arial Narrow"/>
        </w:rPr>
      </w:r>
      <w:r>
        <w:rPr>
          <w:rFonts w:ascii="Arial Narrow" w:hAnsi="Arial Narrow"/>
        </w:rPr>
      </w:r>
    </w:p>
    <w:p>
      <w:pPr>
        <w:pStyle w:val="1063"/>
        <w:rPr>
          <w:rFonts w:ascii="Arial Narrow" w:hAnsi="Arial Narrow" w:eastAsia="Calibri" w:cs="Calibri"/>
          <w:color w:val="314e87"/>
          <w:lang w:eastAsia="ja-JP"/>
        </w:rPr>
      </w:pPr>
      <w:r>
        <w:rPr>
          <w:rFonts w:ascii="Arial Narrow" w:hAnsi="Arial Narrow" w:eastAsia="Calibri" w:cs="Calibri"/>
          <w:color w:val="314e87"/>
          <w:lang w:eastAsia="ja-JP"/>
        </w:rPr>
      </w:r>
      <w:r>
        <w:rPr>
          <w:rFonts w:ascii="Arial Narrow" w:hAnsi="Arial Narrow" w:eastAsia="Calibri" w:cs="Calibri"/>
          <w:color w:val="314e87"/>
          <w:lang w:eastAsia="ja-JP"/>
        </w:rPr>
      </w:r>
      <w:r>
        <w:rPr>
          <w:rFonts w:ascii="Arial Narrow" w:hAnsi="Arial Narrow" w:eastAsia="Calibri" w:cs="Calibri"/>
          <w:color w:val="314e87"/>
          <w:lang w:eastAsia="ja-JP"/>
        </w:rPr>
      </w:r>
    </w:p>
    <w:p>
      <w:pPr>
        <w:pStyle w:val="1063"/>
        <w:rPr>
          <w:rFonts w:ascii="Arial Narrow" w:hAnsi="Arial Narrow" w:eastAsia="Calibri" w:cs="Calibri"/>
          <w:color w:val="314e87"/>
          <w:lang w:eastAsia="ja-JP"/>
        </w:rPr>
      </w:pPr>
      <w:r>
        <w:rPr>
          <w:rFonts w:ascii="Arial Narrow" w:hAnsi="Arial Narrow" w:eastAsia="Calibri" w:cs="Calibri"/>
          <w:color w:val="314e87"/>
          <w:lang w:eastAsia="ja-JP"/>
        </w:rPr>
      </w:r>
      <w:r>
        <w:rPr>
          <w:rFonts w:ascii="Arial Narrow" w:hAnsi="Arial Narrow" w:eastAsia="Calibri" w:cs="Calibri"/>
          <w:color w:val="314e87"/>
          <w:lang w:eastAsia="ja-JP"/>
        </w:rPr>
      </w:r>
      <w:r>
        <w:rPr>
          <w:rFonts w:ascii="Arial Narrow" w:hAnsi="Arial Narrow" w:eastAsia="Calibri" w:cs="Calibri"/>
          <w:color w:val="314e87"/>
          <w:lang w:eastAsia="ja-JP"/>
        </w:rPr>
      </w:r>
    </w:p>
    <w:p>
      <w:pPr>
        <w:pStyle w:val="1063"/>
        <w:rPr>
          <w:rFonts w:ascii="Arial Narrow" w:hAnsi="Arial Narrow" w:eastAsia="Calibri" w:cs="Calibri"/>
          <w:color w:val="314e87"/>
          <w:lang w:eastAsia="ja-JP"/>
        </w:rPr>
      </w:pPr>
      <w:r>
        <w:rPr>
          <w:rFonts w:ascii="Arial Narrow" w:hAnsi="Arial Narrow" w:eastAsia="Calibri" w:cs="Calibri"/>
          <w:color w:val="314e87"/>
          <w:lang w:eastAsia="ja-JP"/>
        </w:rPr>
      </w:r>
      <w:r>
        <w:rPr>
          <w:rFonts w:ascii="Arial Narrow" w:hAnsi="Arial Narrow" w:eastAsia="Calibri" w:cs="Calibri"/>
          <w:color w:val="314e87"/>
          <w:lang w:eastAsia="ja-JP"/>
        </w:rPr>
      </w:r>
      <w:r>
        <w:rPr>
          <w:rFonts w:ascii="Arial Narrow" w:hAnsi="Arial Narrow" w:eastAsia="Calibri" w:cs="Calibri"/>
          <w:color w:val="314e87"/>
          <w:lang w:eastAsia="ja-JP"/>
        </w:rPr>
      </w:r>
    </w:p>
    <w:p>
      <w:pPr>
        <w:pStyle w:val="1063"/>
        <w:rPr>
          <w:rFonts w:ascii="Arial Narrow" w:hAnsi="Arial Narrow" w:eastAsia="Calibri" w:cs="Calibri"/>
          <w:color w:val="314e87"/>
          <w:lang w:eastAsia="ja-JP"/>
        </w:rPr>
      </w:pPr>
      <w:r>
        <w:rPr>
          <w:rFonts w:ascii="Arial Narrow" w:hAnsi="Arial Narrow" w:eastAsia="Calibri" w:cs="Calibri"/>
          <w:color w:val="314e87"/>
          <w:lang w:eastAsia="ja-JP"/>
        </w:rPr>
      </w:r>
      <w:r>
        <w:rPr>
          <w:rFonts w:ascii="Arial Narrow" w:hAnsi="Arial Narrow" w:eastAsia="Calibri" w:cs="Calibri"/>
          <w:color w:val="314e87"/>
          <w:lang w:eastAsia="ja-JP"/>
        </w:rPr>
      </w:r>
      <w:r>
        <w:rPr>
          <w:rFonts w:ascii="Arial Narrow" w:hAnsi="Arial Narrow" w:eastAsia="Calibri" w:cs="Calibri"/>
          <w:color w:val="314e87"/>
          <w:lang w:eastAsia="ja-JP"/>
        </w:rPr>
      </w:r>
    </w:p>
    <w:p>
      <w:pPr>
        <w:pStyle w:val="1063"/>
        <w:rPr>
          <w:rFonts w:ascii="Arial Narrow" w:hAnsi="Arial Narrow" w:eastAsia="Calibri" w:cs="Calibri"/>
          <w:color w:val="314e87"/>
          <w:lang w:eastAsia="ja-JP"/>
        </w:rPr>
      </w:pPr>
      <w:r>
        <w:rPr>
          <w:rFonts w:ascii="Arial Narrow" w:hAnsi="Arial Narrow" w:eastAsia="Calibri" w:cs="Calibri"/>
          <w:color w:val="314e87"/>
          <w:lang w:eastAsia="ja-JP"/>
        </w:rPr>
      </w:r>
      <w:r>
        <w:rPr>
          <w:rFonts w:ascii="Arial Narrow" w:hAnsi="Arial Narrow" w:eastAsia="Calibri" w:cs="Calibri"/>
          <w:color w:val="314e87"/>
          <w:lang w:eastAsia="ja-JP"/>
        </w:rPr>
      </w:r>
      <w:r>
        <w:rPr>
          <w:rFonts w:ascii="Arial Narrow" w:hAnsi="Arial Narrow" w:eastAsia="Calibri" w:cs="Calibri"/>
          <w:color w:val="314e87"/>
          <w:lang w:eastAsia="ja-JP"/>
        </w:rPr>
      </w:r>
    </w:p>
    <w:p>
      <w:pPr>
        <w:pStyle w:val="1063"/>
        <w:rPr>
          <w:rFonts w:ascii="Arial Narrow" w:hAnsi="Arial Narrow" w:eastAsia="Calibri" w:cs="Calibri"/>
          <w:color w:val="314e87"/>
          <w:lang w:eastAsia="ja-JP"/>
        </w:rPr>
      </w:pPr>
      <w:r>
        <w:rPr>
          <w:rFonts w:ascii="Arial Narrow" w:hAnsi="Arial Narrow" w:eastAsia="Calibri" w:cs="Calibri"/>
          <w:color w:val="314e87"/>
          <w:lang w:eastAsia="ja-JP"/>
        </w:rPr>
      </w:r>
      <w:r>
        <w:rPr>
          <w:rFonts w:ascii="Arial Narrow" w:hAnsi="Arial Narrow" w:eastAsia="Calibri" w:cs="Calibri"/>
          <w:color w:val="314e87"/>
          <w:lang w:eastAsia="ja-JP"/>
        </w:rPr>
      </w:r>
      <w:r>
        <w:rPr>
          <w:rFonts w:ascii="Arial Narrow" w:hAnsi="Arial Narrow" w:eastAsia="Calibri" w:cs="Calibri"/>
          <w:color w:val="314e87"/>
          <w:lang w:eastAsia="ja-JP"/>
        </w:rPr>
      </w:r>
    </w:p>
    <w:p>
      <w:pPr>
        <w:pStyle w:val="1063"/>
        <w:rPr>
          <w:rFonts w:ascii="Arial Narrow" w:hAnsi="Arial Narrow" w:eastAsia="Calibri" w:cs="Calibri"/>
          <w:color w:val="314e87"/>
          <w:lang w:eastAsia="ja-JP"/>
        </w:rPr>
      </w:pPr>
      <w:r>
        <w:rPr>
          <w:rFonts w:ascii="Arial Narrow" w:hAnsi="Arial Narrow" w:eastAsia="Calibri" w:cs="Calibri"/>
          <w:color w:val="314e87"/>
          <w:lang w:eastAsia="ja-JP"/>
        </w:rPr>
      </w:r>
      <w:r>
        <w:rPr>
          <w:rFonts w:ascii="Arial Narrow" w:hAnsi="Arial Narrow" w:eastAsia="Calibri" w:cs="Calibri"/>
          <w:color w:val="314e87"/>
          <w:lang w:eastAsia="ja-JP"/>
        </w:rPr>
      </w:r>
      <w:r>
        <w:rPr>
          <w:rFonts w:ascii="Arial Narrow" w:hAnsi="Arial Narrow" w:eastAsia="Calibri" w:cs="Calibri"/>
          <w:color w:val="314e87"/>
          <w:lang w:eastAsia="ja-JP"/>
        </w:rPr>
      </w:r>
    </w:p>
    <w:p>
      <w:pPr>
        <w:pStyle w:val="1063"/>
        <w:rPr>
          <w:rFonts w:ascii="Arial Narrow" w:hAnsi="Arial Narrow" w:eastAsia="Calibri" w:cs="Calibri"/>
          <w:color w:val="314e87"/>
          <w:lang w:eastAsia="ja-JP"/>
        </w:rPr>
      </w:pPr>
      <w:r>
        <w:rPr>
          <w:rFonts w:ascii="Arial Narrow" w:hAnsi="Arial Narrow" w:eastAsia="Calibri" w:cs="Calibri"/>
          <w:color w:val="314e87"/>
          <w:lang w:eastAsia="ja-JP"/>
        </w:rPr>
      </w:r>
      <w:r>
        <w:rPr>
          <w:rFonts w:ascii="Arial Narrow" w:hAnsi="Arial Narrow" w:eastAsia="Calibri" w:cs="Calibri"/>
          <w:color w:val="314e87"/>
          <w:lang w:eastAsia="ja-JP"/>
        </w:rPr>
      </w:r>
      <w:r>
        <w:rPr>
          <w:rFonts w:ascii="Arial Narrow" w:hAnsi="Arial Narrow" w:eastAsia="Calibri" w:cs="Calibri"/>
          <w:color w:val="314e87"/>
          <w:lang w:eastAsia="ja-JP"/>
        </w:rPr>
      </w:r>
    </w:p>
    <w:p>
      <w:pPr>
        <w:pStyle w:val="1063"/>
        <w:rPr>
          <w:rFonts w:ascii="Arial Narrow" w:hAnsi="Arial Narrow" w:eastAsia="Calibri" w:cs="Calibri"/>
          <w:color w:val="314e87"/>
          <w:lang w:eastAsia="ja-JP"/>
        </w:rPr>
      </w:pPr>
      <w:r>
        <w:rPr>
          <w:rFonts w:ascii="Arial Narrow" w:hAnsi="Arial Narrow" w:eastAsia="Calibri" w:cs="Calibri"/>
          <w:color w:val="314e87"/>
          <w:lang w:eastAsia="ja-JP"/>
        </w:rPr>
      </w:r>
      <w:r>
        <w:rPr>
          <w:rFonts w:ascii="Arial Narrow" w:hAnsi="Arial Narrow" w:eastAsia="Calibri" w:cs="Calibri"/>
          <w:color w:val="314e87"/>
          <w:lang w:eastAsia="ja-JP"/>
        </w:rPr>
      </w:r>
      <w:r>
        <w:rPr>
          <w:rFonts w:ascii="Arial Narrow" w:hAnsi="Arial Narrow" w:eastAsia="Calibri" w:cs="Calibri"/>
          <w:color w:val="314e87"/>
          <w:lang w:eastAsia="ja-JP"/>
        </w:rPr>
      </w:r>
    </w:p>
    <w:p>
      <w:pPr>
        <w:pStyle w:val="1063"/>
        <w:rPr>
          <w:rFonts w:ascii="Arial Narrow" w:hAnsi="Arial Narrow" w:eastAsia="Calibri" w:cs="Calibri"/>
          <w:color w:val="314e87"/>
          <w:sz w:val="22"/>
          <w:lang w:eastAsia="ja-JP"/>
        </w:rPr>
      </w:pPr>
      <w:r>
        <w:rPr>
          <w:rFonts w:ascii="Arial Narrow" w:hAnsi="Arial Narrow" w:eastAsia="Calibri" w:cs="Calibri"/>
          <w:color w:val="314e87"/>
          <w:sz w:val="22"/>
          <w:lang w:eastAsia="ja-JP"/>
        </w:rPr>
      </w:r>
      <w:r>
        <w:rPr>
          <w:rFonts w:ascii="Arial Narrow" w:hAnsi="Arial Narrow" w:eastAsia="Calibri" w:cs="Calibri"/>
          <w:color w:val="314e87"/>
          <w:sz w:val="22"/>
          <w:lang w:eastAsia="ja-JP"/>
        </w:rPr>
      </w:r>
      <w:r>
        <w:rPr>
          <w:rFonts w:ascii="Arial Narrow" w:hAnsi="Arial Narrow" w:eastAsia="Calibri" w:cs="Calibri"/>
          <w:color w:val="314e87"/>
          <w:sz w:val="22"/>
          <w:lang w:eastAsia="ja-JP"/>
        </w:rPr>
      </w:r>
    </w:p>
    <w:p>
      <w:pPr>
        <w:pStyle w:val="1063"/>
        <w:rPr>
          <w:rFonts w:ascii="Arial Narrow" w:hAnsi="Arial Narrow" w:eastAsia="Calibri" w:cs="Calibri"/>
          <w:color w:val="314e87"/>
          <w:sz w:val="22"/>
          <w:lang w:eastAsia="ja-JP"/>
        </w:rPr>
      </w:pPr>
      <w:r>
        <w:rPr>
          <w:rFonts w:ascii="Arial Narrow" w:hAnsi="Arial Narrow" w:eastAsia="Calibri" w:cs="Calibri"/>
          <w:color w:val="314e87"/>
          <w:sz w:val="22"/>
          <w:lang w:eastAsia="ja-JP"/>
        </w:rPr>
      </w:r>
      <w:r>
        <w:rPr>
          <w:rFonts w:ascii="Arial Narrow" w:hAnsi="Arial Narrow" w:eastAsia="Calibri" w:cs="Calibri"/>
          <w:color w:val="314e87"/>
          <w:sz w:val="22"/>
          <w:lang w:eastAsia="ja-JP"/>
        </w:rPr>
      </w:r>
      <w:r>
        <w:rPr>
          <w:rFonts w:ascii="Arial Narrow" w:hAnsi="Arial Narrow" w:eastAsia="Calibri" w:cs="Calibri"/>
          <w:color w:val="314e87"/>
          <w:sz w:val="22"/>
          <w:lang w:eastAsia="ja-JP"/>
        </w:rPr>
      </w:r>
    </w:p>
    <w:p>
      <w:pPr>
        <w:pStyle w:val="1063"/>
        <w:rPr>
          <w:rFonts w:ascii="Arial Narrow" w:hAnsi="Arial Narrow" w:eastAsia="Calibri" w:cs="Calibri"/>
          <w:color w:val="314e87"/>
          <w:sz w:val="22"/>
          <w:lang w:eastAsia="ja-JP"/>
        </w:rPr>
      </w:pPr>
      <w:r>
        <w:rPr>
          <w:rFonts w:ascii="Arial Narrow" w:hAnsi="Arial Narrow" w:eastAsia="Calibri" w:cs="Calibri"/>
          <w:color w:val="314e87"/>
          <w:sz w:val="22"/>
          <w:lang w:eastAsia="ja-JP"/>
        </w:rPr>
      </w:r>
      <w:r>
        <w:rPr>
          <w:rFonts w:ascii="Arial Narrow" w:hAnsi="Arial Narrow" w:eastAsia="Calibri" w:cs="Calibri"/>
          <w:color w:val="314e87"/>
          <w:sz w:val="22"/>
          <w:lang w:eastAsia="ja-JP"/>
        </w:rPr>
      </w:r>
      <w:r>
        <w:rPr>
          <w:rFonts w:ascii="Arial Narrow" w:hAnsi="Arial Narrow" w:eastAsia="Calibri" w:cs="Calibri"/>
          <w:color w:val="314e87"/>
          <w:sz w:val="22"/>
          <w:lang w:eastAsia="ja-JP"/>
        </w:rPr>
      </w:r>
    </w:p>
    <w:p>
      <w:pPr>
        <w:pStyle w:val="1063"/>
        <w:rPr>
          <w:rFonts w:ascii="Arial Narrow" w:hAnsi="Arial Narrow" w:eastAsia="Calibri" w:cs="Calibri"/>
          <w:color w:val="314e87"/>
          <w:sz w:val="22"/>
          <w:lang w:eastAsia="ja-JP"/>
        </w:rPr>
      </w:pPr>
      <w:r>
        <w:rPr>
          <w:rFonts w:ascii="Arial Narrow" w:hAnsi="Arial Narrow" w:eastAsia="Calibri" w:cs="Calibri"/>
          <w:color w:val="314e87"/>
          <w:sz w:val="22"/>
          <w:lang w:eastAsia="ja-JP"/>
        </w:rPr>
      </w:r>
      <w:r>
        <w:rPr>
          <w:rFonts w:ascii="Arial Narrow" w:hAnsi="Arial Narrow" w:eastAsia="Calibri" w:cs="Calibri"/>
          <w:color w:val="314e87"/>
          <w:sz w:val="22"/>
          <w:lang w:eastAsia="ja-JP"/>
        </w:rPr>
      </w:r>
      <w:r>
        <w:rPr>
          <w:rFonts w:ascii="Arial Narrow" w:hAnsi="Arial Narrow" w:eastAsia="Calibri" w:cs="Calibri"/>
          <w:color w:val="314e87"/>
          <w:sz w:val="22"/>
          <w:lang w:eastAsia="ja-JP"/>
        </w:rPr>
      </w:r>
    </w:p>
    <w:p>
      <w:pPr>
        <w:pStyle w:val="1063"/>
        <w:rPr>
          <w:rFonts w:ascii="Arial Narrow" w:hAnsi="Arial Narrow" w:eastAsia="Calibri" w:cs="Calibri"/>
          <w:color w:val="314e87"/>
          <w:sz w:val="22"/>
          <w:lang w:eastAsia="ja-JP"/>
        </w:rPr>
      </w:pPr>
      <w:r>
        <w:rPr>
          <w:rFonts w:ascii="Arial Narrow" w:hAnsi="Arial Narrow" w:eastAsia="Calibri" w:cs="Calibri"/>
          <w:color w:val="314e87"/>
          <w:sz w:val="22"/>
          <w:lang w:eastAsia="ja-JP"/>
        </w:rPr>
      </w:r>
      <w:r>
        <w:rPr>
          <w:rFonts w:ascii="Arial Narrow" w:hAnsi="Arial Narrow" w:eastAsia="Calibri" w:cs="Calibri"/>
          <w:color w:val="314e87"/>
          <w:sz w:val="22"/>
          <w:lang w:eastAsia="ja-JP"/>
        </w:rPr>
      </w:r>
      <w:r>
        <w:rPr>
          <w:rFonts w:ascii="Arial Narrow" w:hAnsi="Arial Narrow" w:eastAsia="Calibri" w:cs="Calibri"/>
          <w:color w:val="314e87"/>
          <w:sz w:val="22"/>
          <w:lang w:eastAsia="ja-JP"/>
        </w:rPr>
      </w:r>
    </w:p>
    <w:p>
      <w:pPr>
        <w:pStyle w:val="1063"/>
        <w:rPr>
          <w:rFonts w:ascii="Arial Narrow" w:hAnsi="Arial Narrow" w:eastAsia="Calibri" w:cs="Calibri"/>
          <w:color w:val="314e87"/>
          <w:sz w:val="22"/>
          <w:lang w:eastAsia="ja-JP"/>
        </w:rPr>
      </w:pPr>
      <w:r>
        <w:rPr>
          <w:rFonts w:ascii="Arial Narrow" w:hAnsi="Arial Narrow" w:eastAsia="Calibri" w:cs="Calibri"/>
          <w:color w:val="314e87"/>
          <w:sz w:val="22"/>
          <w:lang w:eastAsia="ja-JP"/>
        </w:rPr>
      </w:r>
      <w:r>
        <w:rPr>
          <w:rFonts w:ascii="Arial Narrow" w:hAnsi="Arial Narrow" w:eastAsia="Calibri" w:cs="Calibri"/>
          <w:color w:val="314e87"/>
          <w:sz w:val="22"/>
          <w:lang w:eastAsia="ja-JP"/>
        </w:rPr>
      </w:r>
      <w:r>
        <w:rPr>
          <w:rFonts w:ascii="Arial Narrow" w:hAnsi="Arial Narrow" w:eastAsia="Calibri" w:cs="Calibri"/>
          <w:color w:val="314e87"/>
          <w:sz w:val="22"/>
          <w:lang w:eastAsia="ja-JP"/>
        </w:rPr>
      </w:r>
    </w:p>
    <w:p>
      <w:pPr>
        <w:pStyle w:val="1063"/>
        <w:rPr>
          <w:rFonts w:ascii="Arial Narrow" w:hAnsi="Arial Narrow" w:eastAsia="Calibri" w:cs="Calibri"/>
          <w:color w:val="314e87"/>
          <w:sz w:val="22"/>
          <w:lang w:eastAsia="ja-JP"/>
        </w:rPr>
      </w:pPr>
      <w:r>
        <w:rPr>
          <w:rFonts w:ascii="Arial Narrow" w:hAnsi="Arial Narrow" w:eastAsia="Calibri" w:cs="Calibri"/>
          <w:color w:val="314e87"/>
          <w:sz w:val="22"/>
          <w:lang w:eastAsia="ja-JP"/>
        </w:rPr>
      </w:r>
      <w:r>
        <w:rPr>
          <w:rFonts w:ascii="Arial Narrow" w:hAnsi="Arial Narrow" w:eastAsia="Calibri" w:cs="Calibri"/>
          <w:color w:val="314e87"/>
          <w:sz w:val="22"/>
          <w:lang w:eastAsia="ja-JP"/>
        </w:rPr>
      </w:r>
      <w:r>
        <w:rPr>
          <w:rFonts w:ascii="Arial Narrow" w:hAnsi="Arial Narrow" w:eastAsia="Calibri" w:cs="Calibri"/>
          <w:color w:val="314e87"/>
          <w:sz w:val="22"/>
          <w:lang w:eastAsia="ja-JP"/>
        </w:rPr>
      </w:r>
    </w:p>
    <w:p>
      <w:pPr>
        <w:pStyle w:val="1063"/>
        <w:rPr>
          <w:rFonts w:ascii="Arial Narrow" w:hAnsi="Arial Narrow" w:eastAsia="Calibri" w:cs="Calibri"/>
          <w:color w:val="314e87"/>
          <w:sz w:val="22"/>
          <w:lang w:eastAsia="ja-JP"/>
        </w:rPr>
      </w:pPr>
      <w:r>
        <w:rPr>
          <w:rFonts w:ascii="Arial Narrow" w:hAnsi="Arial Narrow" w:eastAsia="Calibri" w:cs="Calibri"/>
          <w:color w:val="314e87"/>
          <w:sz w:val="22"/>
          <w:lang w:eastAsia="ja-JP"/>
        </w:rPr>
      </w:r>
      <w:r>
        <w:rPr>
          <w:rFonts w:ascii="Arial Narrow" w:hAnsi="Arial Narrow" w:eastAsia="Calibri" w:cs="Calibri"/>
          <w:color w:val="314e87"/>
          <w:sz w:val="22"/>
          <w:lang w:eastAsia="ja-JP"/>
        </w:rPr>
      </w:r>
      <w:r>
        <w:rPr>
          <w:rFonts w:ascii="Arial Narrow" w:hAnsi="Arial Narrow" w:eastAsia="Calibri" w:cs="Calibri"/>
          <w:color w:val="314e87"/>
          <w:sz w:val="22"/>
          <w:lang w:eastAsia="ja-JP"/>
        </w:rPr>
      </w:r>
    </w:p>
    <w:p>
      <w:pPr>
        <w:pStyle w:val="1063"/>
        <w:rPr>
          <w:rFonts w:ascii="Arial Narrow" w:hAnsi="Arial Narrow" w:eastAsia="Calibri" w:cs="Calibri"/>
          <w:color w:val="314e87"/>
          <w:sz w:val="22"/>
          <w:lang w:eastAsia="ja-JP"/>
        </w:rPr>
      </w:pPr>
      <w:r>
        <w:rPr>
          <w:rFonts w:ascii="Arial Narrow" w:hAnsi="Arial Narrow" w:eastAsia="Calibri" w:cs="Calibri"/>
          <w:color w:val="314e87"/>
          <w:sz w:val="22"/>
          <w:lang w:eastAsia="ja-JP"/>
        </w:rPr>
      </w:r>
      <w:r>
        <w:rPr>
          <w:rFonts w:ascii="Arial Narrow" w:hAnsi="Arial Narrow" w:eastAsia="Calibri" w:cs="Calibri"/>
          <w:color w:val="314e87"/>
          <w:sz w:val="22"/>
          <w:lang w:eastAsia="ja-JP"/>
        </w:rPr>
      </w:r>
      <w:r>
        <w:rPr>
          <w:rFonts w:ascii="Arial Narrow" w:hAnsi="Arial Narrow" w:eastAsia="Calibri" w:cs="Calibri"/>
          <w:color w:val="314e87"/>
          <w:sz w:val="22"/>
          <w:lang w:eastAsia="ja-JP"/>
        </w:rPr>
      </w:r>
    </w:p>
    <w:p>
      <w:pPr>
        <w:pStyle w:val="1063"/>
        <w:rPr>
          <w:rFonts w:ascii="Arial Narrow" w:hAnsi="Arial Narrow" w:eastAsia="Calibri" w:cs="Calibri"/>
          <w:color w:val="314e87"/>
          <w:szCs w:val="28"/>
          <w:lang w:eastAsia="ja-JP"/>
        </w:rPr>
      </w:pPr>
      <w:r>
        <w:rPr>
          <w:rFonts w:ascii="Arial Narrow" w:hAnsi="Arial Narrow" w:eastAsia="Calibri" w:cs="Calibri"/>
          <w:color w:val="314e87"/>
          <w:szCs w:val="28"/>
          <w:lang w:eastAsia="ja-JP"/>
        </w:rPr>
        <w:t xml:space="preserve">Генеральный директор </w:t>
      </w:r>
      <w:r>
        <w:rPr>
          <w:rFonts w:ascii="Arial Narrow" w:hAnsi="Arial Narrow" w:eastAsia="Calibri" w:cs="Calibri"/>
          <w:color w:val="314e87"/>
          <w:szCs w:val="28"/>
          <w:lang w:eastAsia="ja-JP"/>
        </w:rPr>
      </w:r>
      <w:r>
        <w:rPr>
          <w:rFonts w:ascii="Arial Narrow" w:hAnsi="Arial Narrow" w:eastAsia="Calibri" w:cs="Calibri"/>
          <w:color w:val="314e87"/>
          <w:szCs w:val="28"/>
          <w:lang w:eastAsia="ja-JP"/>
        </w:rPr>
      </w:r>
    </w:p>
    <w:p>
      <w:pPr>
        <w:pStyle w:val="1063"/>
      </w:pPr>
      <w:r>
        <w:rPr>
          <w:rFonts w:ascii="Arial Narrow" w:hAnsi="Arial Narrow" w:eastAsia="Calibri" w:cs="Calibri"/>
          <w:color w:val="314e87"/>
          <w:szCs w:val="28"/>
          <w:lang w:eastAsia="ja-JP"/>
        </w:rPr>
        <w:t xml:space="preserve">ПАО «Камчатскэнерго»</w:t>
      </w:r>
      <w:r>
        <w:rPr>
          <w:rFonts w:ascii="Arial Narrow" w:hAnsi="Arial Narrow" w:eastAsia="Calibri" w:cs="Calibri"/>
          <w:color w:val="314e87"/>
          <w:szCs w:val="28"/>
          <w:lang w:eastAsia="ja-JP"/>
        </w:rPr>
        <w:tab/>
      </w:r>
      <w:r>
        <w:rPr>
          <w:rFonts w:ascii="Arial Narrow" w:hAnsi="Arial Narrow" w:eastAsia="Calibri" w:cs="Calibri"/>
          <w:color w:val="314e87"/>
          <w:szCs w:val="28"/>
          <w:lang w:eastAsia="ja-JP"/>
        </w:rPr>
        <w:tab/>
      </w:r>
      <w:r>
        <w:rPr>
          <w:rFonts w:ascii="Arial Narrow" w:hAnsi="Arial Narrow" w:eastAsia="Calibri" w:cs="Calibri"/>
          <w:color w:val="314e87"/>
          <w:szCs w:val="28"/>
          <w:lang w:eastAsia="ja-JP"/>
        </w:rPr>
        <w:tab/>
      </w:r>
      <w:r>
        <w:rPr>
          <w:rFonts w:ascii="Arial Narrow" w:hAnsi="Arial Narrow" w:eastAsia="Calibri" w:cs="Calibri"/>
          <w:color w:val="314e87"/>
          <w:szCs w:val="28"/>
          <w:lang w:eastAsia="ja-JP"/>
        </w:rPr>
        <w:tab/>
      </w:r>
      <w:r>
        <w:rPr>
          <w:rFonts w:ascii="Arial Narrow" w:hAnsi="Arial Narrow" w:eastAsia="Calibri" w:cs="Calibri"/>
          <w:color w:val="314e87"/>
          <w:szCs w:val="28"/>
          <w:lang w:eastAsia="ja-JP"/>
        </w:rPr>
        <w:tab/>
        <w:t xml:space="preserve">            _____________________/Новиков А.Н./</w:t>
      </w:r>
      <w:r/>
    </w:p>
    <w:p>
      <w:pPr>
        <w:pStyle w:val="1063"/>
        <w:rPr>
          <w:rFonts w:ascii="Arial Narrow" w:hAnsi="Arial Narrow" w:eastAsia="Calibri" w:cs="Calibri"/>
          <w:color w:val="314e87"/>
          <w:szCs w:val="28"/>
          <w:lang w:eastAsia="ja-JP"/>
        </w:rPr>
        <w:sectPr>
          <w:headerReference w:type="default" r:id="rId9"/>
          <w:footerReference w:type="default" r:id="rId10"/>
          <w:footnotePr/>
          <w:endnotePr/>
          <w:type w:val="nextPage"/>
          <w:pgSz w:w="11906" w:h="16838" w:orient="portrait"/>
          <w:pgMar w:top="993" w:right="907" w:bottom="709" w:left="936" w:header="426" w:footer="497" w:gutter="0"/>
          <w:cols w:num="1" w:sep="0" w:space="720" w:equalWidth="1"/>
          <w:docGrid w:linePitch="360"/>
          <w:titlePg/>
        </w:sectPr>
      </w:pPr>
      <w:r>
        <w:rPr>
          <w:rFonts w:ascii="Arial Narrow" w:hAnsi="Arial Narrow" w:eastAsia="Calibri" w:cs="Calibri"/>
          <w:color w:val="314e87"/>
          <w:szCs w:val="28"/>
          <w:lang w:eastAsia="ja-JP"/>
        </w:rPr>
        <w:t xml:space="preserve">«____»________2025 г.</w:t>
      </w:r>
      <w:r>
        <w:rPr>
          <w:rFonts w:ascii="Arial Narrow" w:hAnsi="Arial Narrow" w:eastAsia="Calibri" w:cs="Calibri"/>
          <w:color w:val="314e87"/>
          <w:szCs w:val="28"/>
          <w:lang w:eastAsia="ja-JP"/>
        </w:rPr>
      </w:r>
      <w:r>
        <w:rPr>
          <w:rFonts w:ascii="Arial Narrow" w:hAnsi="Arial Narrow" w:eastAsia="Calibri" w:cs="Calibri"/>
          <w:color w:val="314e87"/>
          <w:szCs w:val="28"/>
          <w:lang w:eastAsia="ja-JP"/>
        </w:rPr>
      </w:r>
    </w:p>
    <w:sdt>
      <w:sdtPr>
        <w15:appearance w15:val="boundingBox"/>
        <w:id w:val="-1795661707"/>
        <w:docPartObj>
          <w:docPartGallery w:val="Table of Contents"/>
          <w:docPartUnique w:val="true"/>
        </w:docPartObj>
        <w:rPr>
          <w:rFonts w:ascii="Arial Narrow" w:hAnsi="Arial Narrow" w:eastAsia="Arial" w:cs="Calibri"/>
          <w:b/>
          <w:color w:val="365f91" w:themeColor="accent1" w:themeShade="BF"/>
          <w:sz w:val="24"/>
          <w:szCs w:val="24"/>
          <w:lang w:eastAsia="en-US"/>
        </w:rPr>
      </w:sdtPr>
      <w:sdtContent>
        <w:p>
          <w:pPr>
            <w:jc w:val="center"/>
            <w:keepLines/>
            <w:keepNext/>
            <w:spacing w:line="276" w:lineRule="auto"/>
            <w:rPr>
              <w:rFonts w:ascii="Arial Narrow" w:hAnsi="Arial Narrow" w:eastAsia="Arial" w:cs="Calibri"/>
              <w:b/>
              <w:color w:val="365f91" w:themeColor="accent1" w:themeShade="BF"/>
              <w:sz w:val="21"/>
              <w:szCs w:val="21"/>
            </w:rPr>
          </w:pPr>
          <w:r/>
          <w:bookmarkStart w:id="0" w:name="_Toc68861828"/>
          <w:r/>
          <w:bookmarkStart w:id="1" w:name="_Toc69120995"/>
          <w:r>
            <w:rPr>
              <w:rFonts w:ascii="Arial Narrow" w:hAnsi="Arial Narrow" w:eastAsia="Arial" w:cs="Calibri"/>
              <w:b/>
              <w:color w:val="365f91" w:themeColor="accent1" w:themeShade="BF"/>
              <w:sz w:val="21"/>
              <w:szCs w:val="21"/>
            </w:rPr>
            <w:t xml:space="preserve">СОДЕРЖАНИЕ</w:t>
          </w:r>
          <w:r>
            <w:rPr>
              <w:rFonts w:ascii="Arial Narrow" w:hAnsi="Arial Narrow" w:eastAsia="Arial" w:cs="Calibri"/>
              <w:b/>
              <w:color w:val="365f91" w:themeColor="accent1" w:themeShade="BF"/>
              <w:sz w:val="21"/>
              <w:szCs w:val="21"/>
            </w:rPr>
          </w:r>
          <w:r>
            <w:rPr>
              <w:rFonts w:ascii="Arial Narrow" w:hAnsi="Arial Narrow" w:eastAsia="Arial" w:cs="Calibri"/>
              <w:b/>
              <w:color w:val="365f91" w:themeColor="accent1" w:themeShade="BF"/>
              <w:sz w:val="21"/>
              <w:szCs w:val="21"/>
            </w:rPr>
          </w:r>
        </w:p>
        <w:p>
          <w:pPr>
            <w:pStyle w:val="1053"/>
            <w:tabs>
              <w:tab w:val="right" w:pos="10053" w:leader="dot"/>
            </w:tabs>
            <w:rPr>
              <w:rFonts w:asciiTheme="minorHAnsi" w:hAnsiTheme="minorHAnsi" w:eastAsiaTheme="minorEastAsia" w:cstheme="minorBidi"/>
              <w:color w:val="365f91" w:themeColor="accent1" w:themeShade="BF"/>
              <w:sz w:val="21"/>
              <w:szCs w:val="21"/>
            </w:rPr>
          </w:pPr>
          <w:r>
            <w:rPr>
              <w:rFonts w:ascii="Arial Narrow" w:hAnsi="Arial Narrow" w:eastAsia="Arial" w:cs="Calibri"/>
              <w:b/>
              <w:bCs/>
              <w:color w:val="365f91" w:themeColor="accent1" w:themeShade="BF"/>
              <w:sz w:val="21"/>
              <w:szCs w:val="21"/>
            </w:rPr>
            <w:fldChar w:fldCharType="begin"/>
          </w:r>
          <w:r>
            <w:rPr>
              <w:rFonts w:ascii="Arial Narrow" w:hAnsi="Arial Narrow" w:eastAsia="Arial" w:cs="Calibri"/>
              <w:b/>
              <w:bCs/>
              <w:color w:val="365f91" w:themeColor="accent1" w:themeShade="BF"/>
              <w:sz w:val="21"/>
              <w:szCs w:val="21"/>
            </w:rPr>
            <w:instrText xml:space="preserve"> TOC \o "1-3" \h \z \u </w:instrText>
          </w:r>
          <w:r>
            <w:rPr>
              <w:rFonts w:ascii="Arial Narrow" w:hAnsi="Arial Narrow" w:eastAsia="Arial" w:cs="Calibri"/>
              <w:b/>
              <w:bCs/>
              <w:color w:val="365f91" w:themeColor="accent1" w:themeShade="BF"/>
              <w:sz w:val="21"/>
              <w:szCs w:val="21"/>
            </w:rPr>
            <w:fldChar w:fldCharType="separate"/>
          </w:r>
          <w:hyperlink w:tooltip="#_Toc196126978" w:anchor="_Toc196126978" w:history="1">
            <w:r>
              <w:rPr>
                <w:rStyle w:val="1038"/>
                <w:rFonts w:ascii="Arial Narrow" w:hAnsi="Arial Narrow" w:eastAsia="Arial" w:cs="Calibri"/>
                <w:b/>
                <w:color w:val="365f91" w:themeColor="accent1" w:themeShade="BF"/>
                <w:sz w:val="21"/>
                <w:szCs w:val="21"/>
                <w:lang w:eastAsia="en-US"/>
              </w:rPr>
              <w:t xml:space="preserve">ОБРАЩЕНИЕ К АКЦИОНЕРАМ</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_Toc196126978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4</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053"/>
            <w:tabs>
              <w:tab w:val="right" w:pos="10053" w:leader="dot"/>
            </w:tabs>
            <w:rPr>
              <w:rFonts w:asciiTheme="minorHAnsi" w:hAnsiTheme="minorHAnsi" w:eastAsiaTheme="minorEastAsia" w:cstheme="minorBidi"/>
              <w:color w:val="365f91" w:themeColor="accent1" w:themeShade="BF"/>
              <w:sz w:val="21"/>
              <w:szCs w:val="21"/>
            </w:rPr>
          </w:pPr>
          <w:r/>
          <w:hyperlink w:tooltip="#_Toc196126979" w:anchor="_Toc196126979" w:history="1">
            <w:r>
              <w:rPr>
                <w:rStyle w:val="1038"/>
                <w:rFonts w:ascii="Arial Narrow" w:hAnsi="Arial Narrow" w:eastAsiaTheme="majorEastAsia" w:cstheme="minorHAnsi"/>
                <w:b/>
                <w:color w:val="365f91" w:themeColor="accent1" w:themeShade="BF"/>
                <w:sz w:val="21"/>
                <w:szCs w:val="21"/>
                <w:lang w:eastAsia="en-US"/>
              </w:rPr>
              <w:t xml:space="preserve">Раздел 1. ОБЩАЯ ИНФОРМАЦИЯ ОБ ОБЩЕСТВЕ</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_Toc196126979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6</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191"/>
            <w:tabs>
              <w:tab w:val="left" w:pos="850" w:leader="none"/>
              <w:tab w:val="right" w:pos="10053" w:leader="dot"/>
            </w:tabs>
            <w:rPr>
              <w:rFonts w:asciiTheme="minorHAnsi" w:hAnsiTheme="minorHAnsi" w:eastAsiaTheme="minorEastAsia" w:cstheme="minorBidi"/>
              <w:color w:val="365f91" w:themeColor="accent1" w:themeShade="BF"/>
              <w:sz w:val="21"/>
              <w:szCs w:val="21"/>
            </w:rPr>
          </w:pPr>
          <w:r/>
          <w:hyperlink w:tooltip="#_Toc196126980" w:anchor="_Toc196126980" w:history="1">
            <w:r>
              <w:rPr>
                <w:rStyle w:val="1038"/>
                <w:rFonts w:ascii="Arial Narrow" w:hAnsi="Arial Narrow" w:eastAsiaTheme="majorEastAsia" w:cstheme="minorHAnsi"/>
                <w:b/>
                <w:color w:val="365f91" w:themeColor="accent1" w:themeShade="BF"/>
                <w:sz w:val="21"/>
                <w:szCs w:val="21"/>
                <w:lang w:eastAsia="en-US" w:bidi="ru-RU"/>
              </w:rPr>
              <w:t xml:space="preserve">1.1.</w:t>
            </w:r>
            <w:r>
              <w:rPr>
                <w:rFonts w:asciiTheme="minorHAnsi" w:hAnsiTheme="minorHAnsi" w:eastAsiaTheme="minorEastAsia" w:cstheme="minorBidi"/>
                <w:color w:val="365f91" w:themeColor="accent1" w:themeShade="BF"/>
                <w:sz w:val="21"/>
                <w:szCs w:val="21"/>
              </w:rPr>
              <w:tab/>
            </w:r>
            <w:r>
              <w:rPr>
                <w:rStyle w:val="1038"/>
                <w:rFonts w:ascii="Arial Narrow" w:hAnsi="Arial Narrow" w:eastAsiaTheme="majorEastAsia" w:cstheme="minorHAnsi"/>
                <w:b/>
                <w:color w:val="365f91" w:themeColor="accent1" w:themeShade="BF"/>
                <w:sz w:val="21"/>
                <w:szCs w:val="21"/>
                <w:lang w:eastAsia="en-US" w:bidi="ru-RU"/>
              </w:rPr>
              <w:t xml:space="preserve">Об Обществе и его положении в отрасли</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_Toc196126980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6</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191"/>
            <w:tabs>
              <w:tab w:val="left" w:pos="850" w:leader="none"/>
              <w:tab w:val="right" w:pos="10053" w:leader="dot"/>
            </w:tabs>
            <w:rPr>
              <w:rFonts w:asciiTheme="minorHAnsi" w:hAnsiTheme="minorHAnsi" w:eastAsiaTheme="minorEastAsia" w:cstheme="minorBidi"/>
              <w:color w:val="365f91" w:themeColor="accent1" w:themeShade="BF"/>
              <w:sz w:val="21"/>
              <w:szCs w:val="21"/>
            </w:rPr>
          </w:pPr>
          <w:r/>
          <w:hyperlink w:tooltip="#_Toc196126981" w:anchor="_Toc196126981" w:history="1">
            <w:r>
              <w:rPr>
                <w:rStyle w:val="1038"/>
                <w:rFonts w:ascii="Arial Narrow" w:hAnsi="Arial Narrow" w:eastAsiaTheme="majorEastAsia" w:cstheme="minorHAnsi"/>
                <w:b/>
                <w:color w:val="365f91" w:themeColor="accent1" w:themeShade="BF"/>
                <w:sz w:val="21"/>
                <w:szCs w:val="21"/>
                <w:lang w:eastAsia="en-US" w:bidi="ru-RU"/>
              </w:rPr>
              <w:t xml:space="preserve">1.2.</w:t>
            </w:r>
            <w:r>
              <w:rPr>
                <w:rFonts w:asciiTheme="minorHAnsi" w:hAnsiTheme="minorHAnsi" w:eastAsiaTheme="minorEastAsia" w:cstheme="minorBidi"/>
                <w:color w:val="365f91" w:themeColor="accent1" w:themeShade="BF"/>
                <w:sz w:val="21"/>
                <w:szCs w:val="21"/>
              </w:rPr>
              <w:tab/>
            </w:r>
            <w:r>
              <w:rPr>
                <w:rStyle w:val="1038"/>
                <w:rFonts w:ascii="Arial Narrow" w:hAnsi="Arial Narrow" w:eastAsiaTheme="majorEastAsia" w:cstheme="minorHAnsi"/>
                <w:b/>
                <w:color w:val="365f91" w:themeColor="accent1" w:themeShade="BF"/>
                <w:sz w:val="21"/>
                <w:szCs w:val="21"/>
                <w:lang w:eastAsia="en-US" w:bidi="ru-RU"/>
              </w:rPr>
              <w:t xml:space="preserve">Стратегические цели</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_Toc196126981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21</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191"/>
            <w:tabs>
              <w:tab w:val="left" w:pos="850" w:leader="none"/>
              <w:tab w:val="right" w:pos="10053" w:leader="dot"/>
            </w:tabs>
            <w:rPr>
              <w:rFonts w:asciiTheme="minorHAnsi" w:hAnsiTheme="minorHAnsi" w:eastAsiaTheme="minorEastAsia" w:cstheme="minorBidi"/>
              <w:color w:val="365f91" w:themeColor="accent1" w:themeShade="BF"/>
              <w:sz w:val="21"/>
              <w:szCs w:val="21"/>
            </w:rPr>
          </w:pPr>
          <w:r/>
          <w:hyperlink w:tooltip="#_Toc196126982" w:anchor="_Toc196126982" w:history="1">
            <w:r>
              <w:rPr>
                <w:rStyle w:val="1038"/>
                <w:rFonts w:ascii="Arial Narrow" w:hAnsi="Arial Narrow" w:eastAsiaTheme="majorEastAsia" w:cstheme="minorHAnsi"/>
                <w:b/>
                <w:color w:val="365f91" w:themeColor="accent1" w:themeShade="BF"/>
                <w:sz w:val="21"/>
                <w:szCs w:val="21"/>
                <w:lang w:eastAsia="en-US" w:bidi="ru-RU"/>
              </w:rPr>
              <w:t xml:space="preserve">1.3.</w:t>
            </w:r>
            <w:r>
              <w:rPr>
                <w:rFonts w:asciiTheme="minorHAnsi" w:hAnsiTheme="minorHAnsi" w:eastAsiaTheme="minorEastAsia" w:cstheme="minorBidi"/>
                <w:color w:val="365f91" w:themeColor="accent1" w:themeShade="BF"/>
                <w:sz w:val="21"/>
                <w:szCs w:val="21"/>
              </w:rPr>
              <w:tab/>
            </w:r>
            <w:r>
              <w:rPr>
                <w:rStyle w:val="1038"/>
                <w:rFonts w:ascii="Arial Narrow" w:hAnsi="Arial Narrow" w:eastAsiaTheme="majorEastAsia" w:cstheme="minorHAnsi"/>
                <w:b/>
                <w:color w:val="365f91" w:themeColor="accent1" w:themeShade="BF"/>
                <w:sz w:val="21"/>
                <w:szCs w:val="21"/>
                <w:lang w:eastAsia="en-US" w:bidi="ru-RU"/>
              </w:rPr>
              <w:t xml:space="preserve">Приоритетные задачи и перспективы развития Общества</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_Toc196126982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22</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053"/>
            <w:tabs>
              <w:tab w:val="right" w:pos="10053" w:leader="dot"/>
            </w:tabs>
            <w:rPr>
              <w:rFonts w:asciiTheme="minorHAnsi" w:hAnsiTheme="minorHAnsi" w:eastAsiaTheme="minorEastAsia" w:cstheme="minorBidi"/>
              <w:color w:val="365f91" w:themeColor="accent1" w:themeShade="BF"/>
              <w:sz w:val="21"/>
              <w:szCs w:val="21"/>
            </w:rPr>
          </w:pPr>
          <w:r/>
          <w:hyperlink w:tooltip="#_Toc196126983" w:anchor="_Toc196126983" w:history="1">
            <w:r>
              <w:rPr>
                <w:rStyle w:val="1038"/>
                <w:rFonts w:ascii="Arial Narrow" w:hAnsi="Arial Narrow" w:eastAsiaTheme="majorEastAsia" w:cstheme="minorHAnsi"/>
                <w:b/>
                <w:color w:val="365f91" w:themeColor="accent1" w:themeShade="BF"/>
                <w:sz w:val="21"/>
                <w:szCs w:val="21"/>
                <w:lang w:eastAsia="en-US"/>
              </w:rPr>
              <w:t xml:space="preserve">Раздел 2. ПРОИЗВОДСТВО</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_Toc196126983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25</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191"/>
            <w:tabs>
              <w:tab w:val="right" w:pos="10053" w:leader="dot"/>
            </w:tabs>
            <w:rPr>
              <w:rFonts w:asciiTheme="minorHAnsi" w:hAnsiTheme="minorHAnsi" w:eastAsiaTheme="minorEastAsia" w:cstheme="minorBidi"/>
              <w:color w:val="365f91" w:themeColor="accent1" w:themeShade="BF"/>
              <w:sz w:val="21"/>
              <w:szCs w:val="21"/>
            </w:rPr>
          </w:pPr>
          <w:r/>
          <w:hyperlink w:tooltip="#_Toc196126984" w:anchor="_Toc196126984" w:history="1">
            <w:r>
              <w:rPr>
                <w:rStyle w:val="1038"/>
                <w:rFonts w:ascii="Arial Narrow" w:hAnsi="Arial Narrow" w:eastAsiaTheme="majorEastAsia" w:cstheme="minorHAnsi"/>
                <w:b/>
                <w:color w:val="365f91" w:themeColor="accent1" w:themeShade="BF"/>
                <w:sz w:val="21"/>
                <w:szCs w:val="21"/>
                <w:lang w:eastAsia="en-US" w:bidi="ru-RU"/>
              </w:rPr>
              <w:t xml:space="preserve">2.1. Основные производственные показатели</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_Toc196126984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25</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053"/>
            <w:tabs>
              <w:tab w:val="right" w:pos="10053" w:leader="dot"/>
            </w:tabs>
            <w:rPr>
              <w:rFonts w:asciiTheme="minorHAnsi" w:hAnsiTheme="minorHAnsi" w:eastAsiaTheme="minorEastAsia" w:cstheme="minorBidi"/>
              <w:color w:val="365f91" w:themeColor="accent1" w:themeShade="BF"/>
              <w:sz w:val="21"/>
              <w:szCs w:val="21"/>
            </w:rPr>
          </w:pPr>
          <w:r/>
          <w:hyperlink w:tooltip="#_Toc196126985" w:anchor="_Toc196126985" w:history="1">
            <w:r>
              <w:rPr>
                <w:rStyle w:val="1038"/>
                <w:rFonts w:ascii="Arial Narrow" w:hAnsi="Arial Narrow" w:eastAsiaTheme="majorEastAsia" w:cstheme="minorHAnsi"/>
                <w:b/>
                <w:color w:val="365f91" w:themeColor="accent1" w:themeShade="BF"/>
                <w:sz w:val="21"/>
                <w:szCs w:val="21"/>
                <w:lang w:eastAsia="en-US"/>
              </w:rPr>
              <w:t xml:space="preserve">Раздел 3. УПРАВЛЕНИЕ СОСТОЯНИЕМ ОСНОВНЫХ ФОНДОВ</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_Toc196126985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29</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191"/>
            <w:tabs>
              <w:tab w:val="right" w:pos="10053" w:leader="dot"/>
            </w:tabs>
            <w:rPr>
              <w:rFonts w:asciiTheme="minorHAnsi" w:hAnsiTheme="minorHAnsi" w:eastAsiaTheme="minorEastAsia" w:cstheme="minorBidi"/>
              <w:color w:val="365f91" w:themeColor="accent1" w:themeShade="BF"/>
              <w:sz w:val="21"/>
              <w:szCs w:val="21"/>
            </w:rPr>
          </w:pPr>
          <w:r/>
          <w:hyperlink w:tooltip="#_Toc196126986" w:anchor="_Toc196126986" w:history="1">
            <w:r>
              <w:rPr>
                <w:rStyle w:val="1038"/>
                <w:rFonts w:ascii="Arial Narrow" w:hAnsi="Arial Narrow" w:eastAsiaTheme="majorEastAsia" w:cstheme="minorHAnsi"/>
                <w:b/>
                <w:color w:val="365f91" w:themeColor="accent1" w:themeShade="BF"/>
                <w:sz w:val="21"/>
                <w:szCs w:val="21"/>
                <w:lang w:eastAsia="en-US" w:bidi="ru-RU"/>
              </w:rPr>
              <w:t xml:space="preserve">3.1. Управление состоянием основных фондов – техническое обслуживание, ремонт, техническое перевооружение</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_Toc196126986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29</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053"/>
            <w:tabs>
              <w:tab w:val="right" w:pos="10053" w:leader="dot"/>
            </w:tabs>
            <w:rPr>
              <w:rFonts w:asciiTheme="minorHAnsi" w:hAnsiTheme="minorHAnsi" w:eastAsiaTheme="minorEastAsia" w:cstheme="minorBidi"/>
              <w:color w:val="365f91" w:themeColor="accent1" w:themeShade="BF"/>
              <w:sz w:val="21"/>
              <w:szCs w:val="21"/>
            </w:rPr>
          </w:pPr>
          <w:r/>
          <w:hyperlink w:tooltip="#_Toc196126987" w:anchor="_Toc196126987" w:history="1">
            <w:r>
              <w:rPr>
                <w:rStyle w:val="1038"/>
                <w:rFonts w:ascii="Arial Narrow" w:hAnsi="Arial Narrow" w:eastAsiaTheme="majorEastAsia" w:cstheme="minorHAnsi"/>
                <w:b/>
                <w:color w:val="365f91" w:themeColor="accent1" w:themeShade="BF"/>
                <w:sz w:val="21"/>
                <w:szCs w:val="21"/>
                <w:lang w:eastAsia="en-US"/>
              </w:rPr>
              <w:t xml:space="preserve">Раздел 4. ЭКОНОМИКА И ФИНАНСЫ</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_Toc196126987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31</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191"/>
            <w:tabs>
              <w:tab w:val="right" w:pos="10053" w:leader="dot"/>
            </w:tabs>
            <w:rPr>
              <w:rFonts w:asciiTheme="minorHAnsi" w:hAnsiTheme="minorHAnsi" w:eastAsiaTheme="minorEastAsia" w:cstheme="minorBidi"/>
              <w:color w:val="365f91" w:themeColor="accent1" w:themeShade="BF"/>
              <w:sz w:val="21"/>
              <w:szCs w:val="21"/>
            </w:rPr>
          </w:pPr>
          <w:r/>
          <w:hyperlink w:tooltip="#_Toc196126988" w:anchor="_Toc196126988" w:history="1">
            <w:r>
              <w:rPr>
                <w:rStyle w:val="1038"/>
                <w:rFonts w:ascii="Arial Narrow" w:hAnsi="Arial Narrow" w:eastAsiaTheme="majorEastAsia" w:cstheme="minorHAnsi"/>
                <w:b/>
                <w:color w:val="365f91" w:themeColor="accent1" w:themeShade="BF"/>
                <w:sz w:val="21"/>
                <w:szCs w:val="21"/>
                <w:lang w:eastAsia="en-US" w:bidi="ru-RU"/>
              </w:rPr>
              <w:t xml:space="preserve">4.1. Основные финансово-экономические показатели деятельности Общества</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_Toc196126988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31</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191"/>
            <w:tabs>
              <w:tab w:val="right" w:pos="10053" w:leader="dot"/>
            </w:tabs>
            <w:rPr>
              <w:rFonts w:asciiTheme="minorHAnsi" w:hAnsiTheme="minorHAnsi" w:eastAsiaTheme="minorEastAsia" w:cstheme="minorBidi"/>
              <w:color w:val="365f91" w:themeColor="accent1" w:themeShade="BF"/>
              <w:sz w:val="21"/>
              <w:szCs w:val="21"/>
            </w:rPr>
          </w:pPr>
          <w:r/>
          <w:hyperlink w:tooltip="#_Toc196126989" w:anchor="_Toc196126989" w:history="1">
            <w:r>
              <w:rPr>
                <w:rStyle w:val="1038"/>
                <w:rFonts w:ascii="Arial Narrow" w:hAnsi="Arial Narrow" w:eastAsiaTheme="majorEastAsia" w:cstheme="minorHAnsi"/>
                <w:b/>
                <w:color w:val="365f91" w:themeColor="accent1" w:themeShade="BF"/>
                <w:sz w:val="21"/>
                <w:szCs w:val="21"/>
                <w:lang w:eastAsia="en-US" w:bidi="ru-RU"/>
              </w:rPr>
              <w:t xml:space="preserve">4.2. Бухгалтерская (финансовая) отчетность Общества за 2024 (отчетный) год. Расчет чистых активов Общества</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_Toc196126989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37</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191"/>
            <w:tabs>
              <w:tab w:val="right" w:pos="10053" w:leader="dot"/>
            </w:tabs>
            <w:rPr>
              <w:rFonts w:asciiTheme="minorHAnsi" w:hAnsiTheme="minorHAnsi" w:eastAsiaTheme="minorEastAsia" w:cstheme="minorBidi"/>
              <w:color w:val="365f91" w:themeColor="accent1" w:themeShade="BF"/>
              <w:sz w:val="21"/>
              <w:szCs w:val="21"/>
            </w:rPr>
          </w:pPr>
          <w:r/>
          <w:hyperlink w:tooltip="#_Toc196126990" w:anchor="_Toc196126990" w:history="1">
            <w:r>
              <w:rPr>
                <w:rStyle w:val="1038"/>
                <w:rFonts w:ascii="Arial Narrow" w:hAnsi="Arial Narrow" w:eastAsiaTheme="majorEastAsia" w:cstheme="minorHAnsi"/>
                <w:b/>
                <w:color w:val="365f91" w:themeColor="accent1" w:themeShade="BF"/>
                <w:sz w:val="21"/>
                <w:szCs w:val="21"/>
                <w:lang w:eastAsia="en-US" w:bidi="ru-RU"/>
              </w:rPr>
              <w:t xml:space="preserve">4.3. Анализ эффективности и финансовой устойчивости Общества</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_Toc196126990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37</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191"/>
            <w:tabs>
              <w:tab w:val="right" w:pos="10053" w:leader="dot"/>
            </w:tabs>
            <w:rPr>
              <w:rFonts w:asciiTheme="minorHAnsi" w:hAnsiTheme="minorHAnsi" w:eastAsiaTheme="minorEastAsia" w:cstheme="minorBidi"/>
              <w:color w:val="365f91" w:themeColor="accent1" w:themeShade="BF"/>
              <w:sz w:val="21"/>
              <w:szCs w:val="21"/>
            </w:rPr>
          </w:pPr>
          <w:r/>
          <w:hyperlink w:tooltip="#_Toc196126991" w:anchor="_Toc196126991" w:history="1">
            <w:r>
              <w:rPr>
                <w:rStyle w:val="1038"/>
                <w:rFonts w:ascii="Arial Narrow" w:hAnsi="Arial Narrow" w:eastAsiaTheme="majorEastAsia" w:cstheme="minorHAnsi"/>
                <w:b/>
                <w:color w:val="365f91" w:themeColor="accent1" w:themeShade="BF"/>
                <w:sz w:val="21"/>
                <w:szCs w:val="21"/>
                <w:lang w:eastAsia="en-US" w:bidi="ru-RU"/>
              </w:rPr>
              <w:t xml:space="preserve">4.4. Анализ дебиторской задолженности</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_Toc196126991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38</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191"/>
            <w:tabs>
              <w:tab w:val="right" w:pos="10053" w:leader="dot"/>
            </w:tabs>
            <w:rPr>
              <w:rFonts w:asciiTheme="minorHAnsi" w:hAnsiTheme="minorHAnsi" w:eastAsiaTheme="minorEastAsia" w:cstheme="minorBidi"/>
              <w:color w:val="365f91" w:themeColor="accent1" w:themeShade="BF"/>
              <w:sz w:val="21"/>
              <w:szCs w:val="21"/>
            </w:rPr>
          </w:pPr>
          <w:r/>
          <w:hyperlink w:tooltip="#_Toc196126992" w:anchor="_Toc196126992" w:history="1">
            <w:r>
              <w:rPr>
                <w:rStyle w:val="1038"/>
                <w:rFonts w:ascii="Arial Narrow" w:hAnsi="Arial Narrow" w:eastAsiaTheme="majorEastAsia" w:cstheme="minorHAnsi"/>
                <w:b/>
                <w:color w:val="365f91" w:themeColor="accent1" w:themeShade="BF"/>
                <w:sz w:val="21"/>
                <w:szCs w:val="21"/>
                <w:lang w:eastAsia="en-US" w:bidi="ru-RU"/>
              </w:rPr>
              <w:t xml:space="preserve">4.5. Анализ кредиторской задолженности и краткосрочных займов и кредитов</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_Toc196126992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39</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053"/>
            <w:tabs>
              <w:tab w:val="right" w:pos="10053" w:leader="dot"/>
            </w:tabs>
            <w:rPr>
              <w:rFonts w:asciiTheme="minorHAnsi" w:hAnsiTheme="minorHAnsi" w:eastAsiaTheme="minorEastAsia" w:cstheme="minorBidi"/>
              <w:color w:val="365f91" w:themeColor="accent1" w:themeShade="BF"/>
              <w:sz w:val="21"/>
              <w:szCs w:val="21"/>
            </w:rPr>
          </w:pPr>
          <w:r/>
          <w:hyperlink w:tooltip="#_Toc196126993" w:anchor="_Toc196126993" w:history="1">
            <w:r>
              <w:rPr>
                <w:rStyle w:val="1038"/>
                <w:rFonts w:ascii="Arial Narrow" w:hAnsi="Arial Narrow" w:eastAsiaTheme="majorEastAsia" w:cstheme="minorHAnsi"/>
                <w:b/>
                <w:color w:val="365f91" w:themeColor="accent1" w:themeShade="BF"/>
                <w:sz w:val="21"/>
                <w:szCs w:val="21"/>
                <w:lang w:eastAsia="en-US"/>
              </w:rPr>
              <w:t xml:space="preserve">Раздел 5. ИНВЕСТИЦИИ</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_Toc196126993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40</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191"/>
            <w:tabs>
              <w:tab w:val="right" w:pos="10053" w:leader="dot"/>
            </w:tabs>
            <w:rPr>
              <w:rFonts w:asciiTheme="minorHAnsi" w:hAnsiTheme="minorHAnsi" w:eastAsiaTheme="minorEastAsia" w:cstheme="minorBidi"/>
              <w:color w:val="365f91" w:themeColor="accent1" w:themeShade="BF"/>
              <w:sz w:val="21"/>
              <w:szCs w:val="21"/>
            </w:rPr>
          </w:pPr>
          <w:r/>
          <w:hyperlink w:tooltip="#_Toc196126994" w:anchor="_Toc196126994" w:history="1">
            <w:r>
              <w:rPr>
                <w:rStyle w:val="1038"/>
                <w:rFonts w:ascii="Arial Narrow" w:hAnsi="Arial Narrow" w:eastAsiaTheme="majorEastAsia" w:cstheme="minorHAnsi"/>
                <w:b/>
                <w:color w:val="365f91" w:themeColor="accent1" w:themeShade="BF"/>
                <w:sz w:val="21"/>
                <w:szCs w:val="21"/>
                <w:lang w:eastAsia="en-US" w:bidi="ru-RU"/>
              </w:rPr>
              <w:t xml:space="preserve">5.1. Инвестиционная деятельность в форме капитальных вложений</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_Toc196126994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40</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053"/>
            <w:tabs>
              <w:tab w:val="right" w:pos="10053" w:leader="dot"/>
            </w:tabs>
            <w:rPr>
              <w:rFonts w:asciiTheme="minorHAnsi" w:hAnsiTheme="minorHAnsi" w:eastAsiaTheme="minorEastAsia" w:cstheme="minorBidi"/>
              <w:color w:val="365f91" w:themeColor="accent1" w:themeShade="BF"/>
              <w:sz w:val="21"/>
              <w:szCs w:val="21"/>
            </w:rPr>
          </w:pPr>
          <w:r/>
          <w:hyperlink w:tooltip="#_Toc196126995" w:anchor="_Toc196126995" w:history="1">
            <w:r>
              <w:rPr>
                <w:rStyle w:val="1038"/>
                <w:rFonts w:ascii="Arial Narrow" w:hAnsi="Arial Narrow" w:eastAsiaTheme="majorEastAsia" w:cstheme="minorHAnsi"/>
                <w:b/>
                <w:color w:val="365f91" w:themeColor="accent1" w:themeShade="BF"/>
                <w:sz w:val="21"/>
                <w:szCs w:val="21"/>
                <w:lang w:eastAsia="en-US"/>
              </w:rPr>
              <w:t xml:space="preserve">Раздел 6. РАСПРЕДЕЛЕНИЕ ПРИБЫЛИ И ДИВИДЕНДНАЯ ПОЛИТИКА</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_Toc196126995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49</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191"/>
            <w:tabs>
              <w:tab w:val="right" w:pos="10053" w:leader="dot"/>
            </w:tabs>
            <w:rPr>
              <w:rFonts w:asciiTheme="minorHAnsi" w:hAnsiTheme="minorHAnsi" w:eastAsiaTheme="minorEastAsia" w:cstheme="minorBidi"/>
              <w:color w:val="365f91" w:themeColor="accent1" w:themeShade="BF"/>
              <w:sz w:val="21"/>
              <w:szCs w:val="21"/>
            </w:rPr>
          </w:pPr>
          <w:r/>
          <w:hyperlink w:tooltip="#_Toc196126996" w:anchor="_Toc196126996" w:history="1">
            <w:r>
              <w:rPr>
                <w:rStyle w:val="1038"/>
                <w:rFonts w:ascii="Arial Narrow" w:hAnsi="Arial Narrow" w:eastAsiaTheme="majorEastAsia" w:cstheme="minorHAnsi"/>
                <w:b/>
                <w:color w:val="365f91" w:themeColor="accent1" w:themeShade="BF"/>
                <w:sz w:val="21"/>
                <w:szCs w:val="21"/>
                <w:lang w:eastAsia="en-US" w:bidi="ru-RU"/>
              </w:rPr>
              <w:t xml:space="preserve">6.1. Распределение прибыли и дивидендная политика</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_Toc196126996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49</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053"/>
            <w:tabs>
              <w:tab w:val="right" w:pos="10053" w:leader="dot"/>
            </w:tabs>
            <w:rPr>
              <w:rFonts w:asciiTheme="minorHAnsi" w:hAnsiTheme="minorHAnsi" w:eastAsiaTheme="minorEastAsia" w:cstheme="minorBidi"/>
              <w:color w:val="365f91" w:themeColor="accent1" w:themeShade="BF"/>
              <w:sz w:val="21"/>
              <w:szCs w:val="21"/>
            </w:rPr>
          </w:pPr>
          <w:r/>
          <w:hyperlink w:tooltip="#_Toc196126997" w:anchor="_Toc196126997" w:history="1">
            <w:r>
              <w:rPr>
                <w:rStyle w:val="1038"/>
                <w:rFonts w:ascii="Arial Narrow" w:hAnsi="Arial Narrow" w:eastAsiaTheme="majorEastAsia" w:cstheme="minorHAnsi"/>
                <w:b/>
                <w:color w:val="365f91" w:themeColor="accent1" w:themeShade="BF"/>
                <w:sz w:val="21"/>
                <w:szCs w:val="21"/>
                <w:lang w:eastAsia="en-US"/>
              </w:rPr>
              <w:t xml:space="preserve">Раздел 7. ИННОВАЦИИ</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_Toc196126997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50</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191"/>
            <w:tabs>
              <w:tab w:val="left" w:pos="850" w:leader="none"/>
              <w:tab w:val="right" w:pos="10053" w:leader="dot"/>
            </w:tabs>
            <w:rPr>
              <w:rFonts w:asciiTheme="minorHAnsi" w:hAnsiTheme="minorHAnsi" w:eastAsiaTheme="minorEastAsia" w:cstheme="minorBidi"/>
              <w:color w:val="365f91" w:themeColor="accent1" w:themeShade="BF"/>
              <w:sz w:val="21"/>
              <w:szCs w:val="21"/>
            </w:rPr>
          </w:pPr>
          <w:r/>
          <w:hyperlink w:tooltip="#_Toc196126998" w:anchor="_Toc196126998" w:history="1">
            <w:r>
              <w:rPr>
                <w:rStyle w:val="1038"/>
                <w:rFonts w:ascii="Arial Narrow" w:hAnsi="Arial Narrow" w:eastAsiaTheme="majorEastAsia" w:cstheme="minorHAnsi"/>
                <w:b/>
                <w:color w:val="365f91" w:themeColor="accent1" w:themeShade="BF"/>
                <w:sz w:val="21"/>
                <w:szCs w:val="21"/>
                <w:lang w:eastAsia="en-US" w:bidi="ru-RU"/>
              </w:rPr>
              <w:t xml:space="preserve">7.1.</w:t>
            </w:r>
            <w:r>
              <w:rPr>
                <w:rFonts w:asciiTheme="minorHAnsi" w:hAnsiTheme="minorHAnsi" w:eastAsiaTheme="minorEastAsia" w:cstheme="minorBidi"/>
                <w:color w:val="365f91" w:themeColor="accent1" w:themeShade="BF"/>
                <w:sz w:val="21"/>
                <w:szCs w:val="21"/>
              </w:rPr>
              <w:tab/>
            </w:r>
            <w:r>
              <w:rPr>
                <w:rStyle w:val="1038"/>
                <w:rFonts w:ascii="Arial Narrow" w:hAnsi="Arial Narrow" w:eastAsiaTheme="majorEastAsia" w:cstheme="minorHAnsi"/>
                <w:b/>
                <w:color w:val="365f91" w:themeColor="accent1" w:themeShade="BF"/>
                <w:sz w:val="21"/>
                <w:szCs w:val="21"/>
                <w:lang w:eastAsia="en-US" w:bidi="ru-RU"/>
              </w:rPr>
              <w:t xml:space="preserve">Инновации</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_Toc196126998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50</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053"/>
            <w:tabs>
              <w:tab w:val="right" w:pos="10053" w:leader="dot"/>
            </w:tabs>
            <w:rPr>
              <w:rFonts w:asciiTheme="minorHAnsi" w:hAnsiTheme="minorHAnsi" w:eastAsiaTheme="minorEastAsia" w:cstheme="minorBidi"/>
              <w:color w:val="365f91" w:themeColor="accent1" w:themeShade="BF"/>
              <w:sz w:val="21"/>
              <w:szCs w:val="21"/>
            </w:rPr>
          </w:pPr>
          <w:r/>
          <w:hyperlink w:tooltip="#_Toc196126999" w:anchor="_Toc196126999" w:history="1">
            <w:r>
              <w:rPr>
                <w:rStyle w:val="1038"/>
                <w:rFonts w:ascii="Arial Narrow" w:hAnsi="Arial Narrow" w:eastAsiaTheme="majorEastAsia" w:cstheme="minorHAnsi"/>
                <w:b/>
                <w:color w:val="365f91" w:themeColor="accent1" w:themeShade="BF"/>
                <w:sz w:val="21"/>
                <w:szCs w:val="21"/>
                <w:lang w:eastAsia="en-US"/>
              </w:rPr>
              <w:t xml:space="preserve">Раздел 8. КАДРОВАЯ И СОЦИАЛЬНАЯ ПОЛИТИКА</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_Toc196126999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56</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191"/>
            <w:tabs>
              <w:tab w:val="right" w:pos="10053" w:leader="dot"/>
            </w:tabs>
            <w:rPr>
              <w:rFonts w:asciiTheme="minorHAnsi" w:hAnsiTheme="minorHAnsi" w:eastAsiaTheme="minorEastAsia" w:cstheme="minorBidi"/>
              <w:color w:val="365f91" w:themeColor="accent1" w:themeShade="BF"/>
              <w:sz w:val="21"/>
              <w:szCs w:val="21"/>
            </w:rPr>
          </w:pPr>
          <w:r/>
          <w:hyperlink w:tooltip="#_Toc196127000" w:anchor="_Toc196127000" w:history="1">
            <w:r>
              <w:rPr>
                <w:rStyle w:val="1038"/>
                <w:rFonts w:ascii="Arial Narrow" w:hAnsi="Arial Narrow" w:eastAsiaTheme="majorEastAsia" w:cstheme="minorHAnsi"/>
                <w:b/>
                <w:color w:val="365f91" w:themeColor="accent1" w:themeShade="BF"/>
                <w:sz w:val="21"/>
                <w:szCs w:val="21"/>
                <w:lang w:eastAsia="en-US" w:bidi="ru-RU"/>
              </w:rPr>
              <w:t xml:space="preserve">8.1. Кадровая политика Общества</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_Toc196127000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56</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191"/>
            <w:tabs>
              <w:tab w:val="right" w:pos="10053" w:leader="dot"/>
            </w:tabs>
            <w:rPr>
              <w:rFonts w:asciiTheme="minorHAnsi" w:hAnsiTheme="minorHAnsi" w:eastAsiaTheme="minorEastAsia" w:cstheme="minorBidi"/>
              <w:color w:val="365f91" w:themeColor="accent1" w:themeShade="BF"/>
              <w:sz w:val="21"/>
              <w:szCs w:val="21"/>
            </w:rPr>
          </w:pPr>
          <w:r/>
          <w:hyperlink w:tooltip="#_Toc196127001" w:anchor="_Toc196127001" w:history="1">
            <w:r>
              <w:rPr>
                <w:rStyle w:val="1038"/>
                <w:rFonts w:ascii="Arial Narrow" w:hAnsi="Arial Narrow" w:eastAsiaTheme="majorEastAsia" w:cstheme="minorHAnsi"/>
                <w:b/>
                <w:color w:val="365f91" w:themeColor="accent1" w:themeShade="BF"/>
                <w:sz w:val="21"/>
                <w:szCs w:val="21"/>
                <w:lang w:eastAsia="en-US" w:bidi="ru-RU"/>
              </w:rPr>
              <w:t xml:space="preserve">8.2. Социальная политика Общества</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_Toc196127001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59</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053"/>
            <w:tabs>
              <w:tab w:val="right" w:pos="10053" w:leader="dot"/>
            </w:tabs>
            <w:rPr>
              <w:rFonts w:asciiTheme="minorHAnsi" w:hAnsiTheme="minorHAnsi" w:eastAsiaTheme="minorEastAsia" w:cstheme="minorBidi"/>
              <w:color w:val="365f91" w:themeColor="accent1" w:themeShade="BF"/>
              <w:sz w:val="21"/>
              <w:szCs w:val="21"/>
            </w:rPr>
          </w:pPr>
          <w:r/>
          <w:hyperlink w:tooltip="#_Toc196127002" w:anchor="_Toc196127002" w:history="1">
            <w:r>
              <w:rPr>
                <w:rStyle w:val="1038"/>
                <w:rFonts w:ascii="Arial Narrow" w:hAnsi="Arial Narrow" w:eastAsiaTheme="majorEastAsia" w:cstheme="minorHAnsi"/>
                <w:b/>
                <w:color w:val="365f91" w:themeColor="accent1" w:themeShade="BF"/>
                <w:sz w:val="21"/>
                <w:szCs w:val="21"/>
                <w:lang w:eastAsia="en-US"/>
              </w:rPr>
              <w:t xml:space="preserve">Раздел 9. ОХРАНА ЗДОРОВЬЯ РАБОТНИКОВ И ПОВЫШЕНИЕ БЕЗОПАСНОСТИ ТРУДА</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_Toc196127002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61</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053"/>
            <w:tabs>
              <w:tab w:val="right" w:pos="10053" w:leader="dot"/>
            </w:tabs>
            <w:rPr>
              <w:rFonts w:asciiTheme="minorHAnsi" w:hAnsiTheme="minorHAnsi" w:eastAsiaTheme="minorEastAsia" w:cstheme="minorBidi"/>
              <w:color w:val="365f91" w:themeColor="accent1" w:themeShade="BF"/>
              <w:sz w:val="21"/>
              <w:szCs w:val="21"/>
            </w:rPr>
          </w:pPr>
          <w:r/>
          <w:hyperlink w:tooltip="#_Toc196127003" w:anchor="_Toc196127003" w:history="1">
            <w:r>
              <w:rPr>
                <w:rStyle w:val="1038"/>
                <w:rFonts w:ascii="Arial Narrow" w:hAnsi="Arial Narrow" w:eastAsiaTheme="majorEastAsia" w:cstheme="minorHAnsi"/>
                <w:b/>
                <w:color w:val="365f91" w:themeColor="accent1" w:themeShade="BF"/>
                <w:sz w:val="21"/>
                <w:szCs w:val="21"/>
                <w:lang w:eastAsia="en-US"/>
              </w:rPr>
              <w:t xml:space="preserve">Раздел 10. ОХРАНА ОКРУЖАЮЩЕЙ СРЕДЫ</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_Toc196127003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66</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053"/>
            <w:tabs>
              <w:tab w:val="right" w:pos="10053" w:leader="dot"/>
            </w:tabs>
            <w:rPr>
              <w:rFonts w:asciiTheme="minorHAnsi" w:hAnsiTheme="minorHAnsi" w:eastAsiaTheme="minorEastAsia" w:cstheme="minorBidi"/>
              <w:color w:val="365f91" w:themeColor="accent1" w:themeShade="BF"/>
              <w:sz w:val="21"/>
              <w:szCs w:val="21"/>
            </w:rPr>
          </w:pPr>
          <w:r/>
          <w:hyperlink w:tooltip="#_Toc196127004" w:anchor="_Toc196127004" w:history="1">
            <w:r>
              <w:rPr>
                <w:rStyle w:val="1038"/>
                <w:rFonts w:ascii="Arial Narrow" w:hAnsi="Arial Narrow" w:eastAsiaTheme="majorEastAsia" w:cstheme="minorHAnsi"/>
                <w:b/>
                <w:color w:val="365f91" w:themeColor="accent1" w:themeShade="BF"/>
                <w:sz w:val="21"/>
                <w:szCs w:val="21"/>
                <w:lang w:eastAsia="en-US"/>
              </w:rPr>
              <w:t xml:space="preserve">Раздел 11. КОРПОРАТИВНОЕ УПРАВЛЕНИЕ</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_Toc196127004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74</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191"/>
            <w:tabs>
              <w:tab w:val="right" w:pos="10053" w:leader="dot"/>
            </w:tabs>
            <w:rPr>
              <w:rFonts w:asciiTheme="minorHAnsi" w:hAnsiTheme="minorHAnsi" w:eastAsiaTheme="minorEastAsia" w:cstheme="minorBidi"/>
              <w:color w:val="365f91" w:themeColor="accent1" w:themeShade="BF"/>
              <w:sz w:val="21"/>
              <w:szCs w:val="21"/>
            </w:rPr>
          </w:pPr>
          <w:r/>
          <w:hyperlink w:tooltip="#_Toc196127005" w:anchor="_Toc196127005" w:history="1">
            <w:r>
              <w:rPr>
                <w:rStyle w:val="1038"/>
                <w:rFonts w:ascii="Arial Narrow" w:hAnsi="Arial Narrow" w:eastAsiaTheme="majorEastAsia" w:cstheme="minorHAnsi"/>
                <w:b/>
                <w:color w:val="365f91" w:themeColor="accent1" w:themeShade="BF"/>
                <w:sz w:val="21"/>
                <w:szCs w:val="21"/>
                <w:lang w:eastAsia="en-US" w:bidi="ru-RU"/>
              </w:rPr>
              <w:t xml:space="preserve">11.1. Органы управления и контроля</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_Toc196127005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74</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191"/>
            <w:tabs>
              <w:tab w:val="right" w:pos="10053" w:leader="dot"/>
            </w:tabs>
            <w:rPr>
              <w:rFonts w:asciiTheme="minorHAnsi" w:hAnsiTheme="minorHAnsi" w:eastAsiaTheme="minorEastAsia" w:cstheme="minorBidi"/>
              <w:color w:val="365f91" w:themeColor="accent1" w:themeShade="BF"/>
              <w:sz w:val="21"/>
              <w:szCs w:val="21"/>
            </w:rPr>
          </w:pPr>
          <w:r/>
          <w:hyperlink w:tooltip="#_Toc196127006" w:anchor="_Toc196127006" w:history="1">
            <w:r>
              <w:rPr>
                <w:rStyle w:val="1038"/>
                <w:rFonts w:ascii="Arial Narrow" w:hAnsi="Arial Narrow" w:eastAsiaTheme="majorEastAsia" w:cstheme="minorHAnsi"/>
                <w:b/>
                <w:color w:val="365f91" w:themeColor="accent1" w:themeShade="BF"/>
                <w:sz w:val="21"/>
                <w:szCs w:val="21"/>
                <w:lang w:eastAsia="en-US" w:bidi="ru-RU"/>
              </w:rPr>
              <w:t xml:space="preserve">11.2. Утвержденные ключевые показатели эффективности</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_Toc196127006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77</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191"/>
            <w:tabs>
              <w:tab w:val="right" w:pos="10053" w:leader="dot"/>
            </w:tabs>
            <w:rPr>
              <w:rFonts w:asciiTheme="minorHAnsi" w:hAnsiTheme="minorHAnsi" w:eastAsiaTheme="minorEastAsia" w:cstheme="minorBidi"/>
              <w:color w:val="365f91" w:themeColor="accent1" w:themeShade="BF"/>
              <w:sz w:val="21"/>
              <w:szCs w:val="21"/>
            </w:rPr>
          </w:pPr>
          <w:r/>
          <w:hyperlink w:tooltip="#_Toc196127007" w:anchor="_Toc196127007" w:history="1">
            <w:r>
              <w:rPr>
                <w:rStyle w:val="1038"/>
                <w:rFonts w:ascii="Arial Narrow" w:hAnsi="Arial Narrow" w:eastAsiaTheme="majorEastAsia" w:cstheme="minorHAnsi"/>
                <w:b/>
                <w:color w:val="365f91" w:themeColor="accent1" w:themeShade="BF"/>
                <w:sz w:val="21"/>
                <w:szCs w:val="21"/>
                <w:lang w:eastAsia="en-US" w:bidi="ru-RU"/>
              </w:rPr>
              <w:t xml:space="preserve">11.3. Основные положения политики Общества в области вознаграждения и (или) компенсации расходов членами органов управления Общества</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_Toc196127007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77</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191"/>
            <w:tabs>
              <w:tab w:val="right" w:pos="10053" w:leader="dot"/>
            </w:tabs>
            <w:rPr>
              <w:rFonts w:asciiTheme="minorHAnsi" w:hAnsiTheme="minorHAnsi" w:eastAsiaTheme="minorEastAsia" w:cstheme="minorBidi"/>
              <w:color w:val="365f91" w:themeColor="accent1" w:themeShade="BF"/>
              <w:sz w:val="21"/>
              <w:szCs w:val="21"/>
            </w:rPr>
          </w:pPr>
          <w:r/>
          <w:hyperlink w:tooltip="#_Toc196127008" w:anchor="_Toc196127008" w:history="1">
            <w:r>
              <w:rPr>
                <w:rStyle w:val="1038"/>
                <w:rFonts w:ascii="Arial Narrow" w:hAnsi="Arial Narrow" w:eastAsiaTheme="majorEastAsia" w:cstheme="minorHAnsi"/>
                <w:b/>
                <w:color w:val="365f91" w:themeColor="accent1" w:themeShade="BF"/>
                <w:sz w:val="21"/>
                <w:szCs w:val="21"/>
                <w:lang w:eastAsia="en-US" w:bidi="ru-RU"/>
              </w:rPr>
              <w:t xml:space="preserve">11.4. Ревизионная комиссия</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_Toc196127008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78</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191"/>
            <w:tabs>
              <w:tab w:val="right" w:pos="10053" w:leader="dot"/>
            </w:tabs>
            <w:rPr>
              <w:rFonts w:asciiTheme="minorHAnsi" w:hAnsiTheme="minorHAnsi" w:eastAsiaTheme="minorEastAsia" w:cstheme="minorBidi"/>
              <w:color w:val="365f91" w:themeColor="accent1" w:themeShade="BF"/>
              <w:sz w:val="21"/>
              <w:szCs w:val="21"/>
            </w:rPr>
          </w:pPr>
          <w:r/>
          <w:hyperlink w:tooltip="#_Toc196127009" w:anchor="_Toc196127009" w:history="1">
            <w:r>
              <w:rPr>
                <w:rStyle w:val="1038"/>
                <w:rFonts w:ascii="Arial Narrow" w:hAnsi="Arial Narrow" w:eastAsiaTheme="majorEastAsia" w:cstheme="minorHAnsi"/>
                <w:b/>
                <w:color w:val="365f91" w:themeColor="accent1" w:themeShade="BF"/>
                <w:sz w:val="21"/>
                <w:szCs w:val="21"/>
                <w:lang w:eastAsia="en-US" w:bidi="ru-RU"/>
              </w:rPr>
              <w:t xml:space="preserve">11.5. Организация внутреннего аудита</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_Toc196127009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79</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191"/>
            <w:tabs>
              <w:tab w:val="right" w:pos="10053" w:leader="dot"/>
            </w:tabs>
            <w:rPr>
              <w:rFonts w:asciiTheme="minorHAnsi" w:hAnsiTheme="minorHAnsi" w:eastAsiaTheme="minorEastAsia" w:cstheme="minorBidi"/>
              <w:color w:val="365f91" w:themeColor="accent1" w:themeShade="BF"/>
              <w:sz w:val="21"/>
              <w:szCs w:val="21"/>
            </w:rPr>
          </w:pPr>
          <w:r/>
          <w:hyperlink w:tooltip="#_Toc196127010" w:anchor="_Toc196127010" w:history="1">
            <w:r>
              <w:rPr>
                <w:rStyle w:val="1038"/>
                <w:rFonts w:ascii="Arial Narrow" w:hAnsi="Arial Narrow" w:eastAsiaTheme="majorEastAsia" w:cstheme="minorHAnsi"/>
                <w:b/>
                <w:color w:val="365f91" w:themeColor="accent1" w:themeShade="BF"/>
                <w:sz w:val="21"/>
                <w:szCs w:val="21"/>
                <w:lang w:eastAsia="en-US" w:bidi="ru-RU"/>
              </w:rPr>
              <w:t xml:space="preserve">11.6. Управление рисками</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_Toc196127010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79</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191"/>
            <w:tabs>
              <w:tab w:val="right" w:pos="10053" w:leader="dot"/>
            </w:tabs>
            <w:rPr>
              <w:rFonts w:asciiTheme="minorHAnsi" w:hAnsiTheme="minorHAnsi" w:eastAsiaTheme="minorEastAsia" w:cstheme="minorBidi"/>
              <w:color w:val="365f91" w:themeColor="accent1" w:themeShade="BF"/>
              <w:sz w:val="21"/>
              <w:szCs w:val="21"/>
            </w:rPr>
          </w:pPr>
          <w:r/>
          <w:hyperlink w:tooltip="#_Toc196127011" w:anchor="_Toc196127011" w:history="1">
            <w:r>
              <w:rPr>
                <w:rStyle w:val="1038"/>
                <w:rFonts w:ascii="Arial Narrow" w:hAnsi="Arial Narrow" w:eastAsiaTheme="majorEastAsia" w:cstheme="minorHAnsi"/>
                <w:b/>
                <w:color w:val="365f91" w:themeColor="accent1" w:themeShade="BF"/>
                <w:sz w:val="21"/>
                <w:szCs w:val="21"/>
                <w:lang w:eastAsia="en-US" w:bidi="ru-RU"/>
              </w:rPr>
              <w:t xml:space="preserve">11.7. Сведения о соблюдении Обществом Кодекса корпоративного управления</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_Toc196127011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82</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191"/>
            <w:tabs>
              <w:tab w:val="right" w:pos="10053" w:leader="dot"/>
            </w:tabs>
            <w:rPr>
              <w:rFonts w:asciiTheme="minorHAnsi" w:hAnsiTheme="minorHAnsi" w:eastAsiaTheme="minorEastAsia" w:cstheme="minorBidi"/>
              <w:color w:val="365f91" w:themeColor="accent1" w:themeShade="BF"/>
              <w:sz w:val="21"/>
              <w:szCs w:val="21"/>
            </w:rPr>
          </w:pPr>
          <w:r/>
          <w:hyperlink w:tooltip="#_Toc196127012" w:anchor="_Toc196127012" w:history="1">
            <w:r>
              <w:rPr>
                <w:rStyle w:val="1038"/>
                <w:rFonts w:ascii="Arial Narrow" w:hAnsi="Arial Narrow" w:eastAsiaTheme="majorEastAsia" w:cstheme="minorHAnsi"/>
                <w:b/>
                <w:color w:val="365f91" w:themeColor="accent1" w:themeShade="BF"/>
                <w:sz w:val="21"/>
                <w:szCs w:val="21"/>
                <w:lang w:eastAsia="en-US" w:bidi="ru-RU"/>
              </w:rPr>
              <w:t xml:space="preserve">11.8. Уставный капитал</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_Toc196127012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82</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191"/>
            <w:tabs>
              <w:tab w:val="right" w:pos="10053" w:leader="dot"/>
            </w:tabs>
            <w:rPr>
              <w:rFonts w:asciiTheme="minorHAnsi" w:hAnsiTheme="minorHAnsi" w:eastAsiaTheme="minorEastAsia" w:cstheme="minorBidi"/>
              <w:color w:val="365f91" w:themeColor="accent1" w:themeShade="BF"/>
              <w:sz w:val="21"/>
              <w:szCs w:val="21"/>
            </w:rPr>
          </w:pPr>
          <w:r/>
          <w:hyperlink w:tooltip="#_Toc196127013" w:anchor="_Toc196127013" w:history="1">
            <w:r>
              <w:rPr>
                <w:rStyle w:val="1038"/>
                <w:rFonts w:ascii="Arial Narrow" w:hAnsi="Arial Narrow" w:eastAsiaTheme="majorEastAsia" w:cstheme="minorHAnsi"/>
                <w:b/>
                <w:color w:val="365f91" w:themeColor="accent1" w:themeShade="BF"/>
                <w:sz w:val="21"/>
                <w:szCs w:val="21"/>
                <w:lang w:eastAsia="en-US" w:bidi="ru-RU"/>
              </w:rPr>
              <w:t xml:space="preserve">11.9. Структура уставного капитала</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_Toc196127013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82</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191"/>
            <w:tabs>
              <w:tab w:val="right" w:pos="10053" w:leader="dot"/>
            </w:tabs>
            <w:rPr>
              <w:rFonts w:asciiTheme="minorHAnsi" w:hAnsiTheme="minorHAnsi" w:eastAsiaTheme="minorEastAsia" w:cstheme="minorBidi"/>
              <w:color w:val="365f91" w:themeColor="accent1" w:themeShade="BF"/>
              <w:sz w:val="21"/>
              <w:szCs w:val="21"/>
            </w:rPr>
          </w:pPr>
          <w:r/>
          <w:hyperlink w:tooltip="#_Toc196127014" w:anchor="_Toc196127014" w:history="1">
            <w:r>
              <w:rPr>
                <w:rStyle w:val="1038"/>
                <w:rFonts w:ascii="Arial Narrow" w:hAnsi="Arial Narrow" w:eastAsiaTheme="majorEastAsia" w:cstheme="minorHAnsi"/>
                <w:b/>
                <w:color w:val="365f91" w:themeColor="accent1" w:themeShade="BF"/>
                <w:sz w:val="21"/>
                <w:szCs w:val="21"/>
                <w:lang w:eastAsia="en-US" w:bidi="ru-RU"/>
              </w:rPr>
              <w:t xml:space="preserve">11.10. Общество на рынке ценных бумаг</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_Toc196127014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83</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191"/>
            <w:tabs>
              <w:tab w:val="right" w:pos="10053" w:leader="dot"/>
            </w:tabs>
            <w:rPr>
              <w:rFonts w:asciiTheme="minorHAnsi" w:hAnsiTheme="minorHAnsi" w:eastAsiaTheme="minorEastAsia" w:cstheme="minorBidi"/>
              <w:color w:val="365f91" w:themeColor="accent1" w:themeShade="BF"/>
              <w:sz w:val="21"/>
              <w:szCs w:val="21"/>
            </w:rPr>
          </w:pPr>
          <w:r/>
          <w:hyperlink w:tooltip="#_Toc196127015" w:anchor="_Toc196127015" w:history="1">
            <w:r>
              <w:rPr>
                <w:rStyle w:val="1038"/>
                <w:rFonts w:ascii="Arial Narrow" w:hAnsi="Arial Narrow" w:eastAsiaTheme="majorEastAsia" w:cstheme="minorHAnsi"/>
                <w:b/>
                <w:color w:val="365f91" w:themeColor="accent1" w:themeShade="BF"/>
                <w:sz w:val="21"/>
                <w:szCs w:val="21"/>
                <w:lang w:eastAsia="en-US" w:bidi="ru-RU"/>
              </w:rPr>
              <w:t xml:space="preserve">11.11. Отчет о крупных сделках и сделках, в совершении которых имеется заинтересованность</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_Toc196127015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83</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053"/>
            <w:tabs>
              <w:tab w:val="right" w:pos="10053" w:leader="dot"/>
            </w:tabs>
            <w:rPr>
              <w:rFonts w:asciiTheme="minorHAnsi" w:hAnsiTheme="minorHAnsi" w:eastAsiaTheme="minorEastAsia" w:cstheme="minorBidi"/>
              <w:color w:val="365f91" w:themeColor="accent1" w:themeShade="BF"/>
              <w:sz w:val="21"/>
              <w:szCs w:val="21"/>
            </w:rPr>
          </w:pPr>
          <w:r/>
          <w:hyperlink w:tooltip="#_Toc196127016" w:anchor="_Toc196127016" w:history="1">
            <w:r>
              <w:rPr>
                <w:rStyle w:val="1038"/>
                <w:rFonts w:ascii="Arial Narrow" w:hAnsi="Arial Narrow" w:eastAsiaTheme="majorEastAsia" w:cstheme="minorHAnsi"/>
                <w:b/>
                <w:color w:val="365f91" w:themeColor="accent1" w:themeShade="BF"/>
                <w:sz w:val="21"/>
                <w:szCs w:val="21"/>
                <w:lang w:eastAsia="en-US"/>
              </w:rPr>
              <w:t xml:space="preserve">Раздел 12. ЗАКУПОЧНАЯ ДЕЯТЕЛЬНОСТЬ</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_Toc196127016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84</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191"/>
            <w:tabs>
              <w:tab w:val="right" w:pos="10053" w:leader="dot"/>
            </w:tabs>
            <w:rPr>
              <w:rFonts w:asciiTheme="minorHAnsi" w:hAnsiTheme="minorHAnsi" w:eastAsiaTheme="minorEastAsia" w:cstheme="minorBidi"/>
              <w:color w:val="365f91" w:themeColor="accent1" w:themeShade="BF"/>
              <w:sz w:val="21"/>
              <w:szCs w:val="21"/>
            </w:rPr>
          </w:pPr>
          <w:r/>
          <w:hyperlink w:tooltip="#_Toc196127017" w:anchor="_Toc196127017" w:history="1">
            <w:r>
              <w:rPr>
                <w:rStyle w:val="1038"/>
                <w:rFonts w:ascii="Arial Narrow" w:hAnsi="Arial Narrow" w:eastAsiaTheme="majorEastAsia" w:cstheme="minorHAnsi"/>
                <w:b/>
                <w:color w:val="365f91" w:themeColor="accent1" w:themeShade="BF"/>
                <w:sz w:val="21"/>
                <w:szCs w:val="21"/>
                <w:lang w:eastAsia="en-US" w:bidi="ru-RU"/>
              </w:rPr>
              <w:t xml:space="preserve">12.1. Закупки у предприятий малого и среднего предпринимательства (МСП) за 2024 год</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_Toc196127017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84</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053"/>
            <w:tabs>
              <w:tab w:val="right" w:pos="10053" w:leader="dot"/>
            </w:tabs>
            <w:rPr>
              <w:rFonts w:asciiTheme="minorHAnsi" w:hAnsiTheme="minorHAnsi" w:eastAsiaTheme="minorEastAsia" w:cstheme="minorBidi"/>
              <w:color w:val="365f91" w:themeColor="accent1" w:themeShade="BF"/>
              <w:sz w:val="21"/>
              <w:szCs w:val="21"/>
            </w:rPr>
          </w:pPr>
          <w:r/>
          <w:hyperlink w:tooltip="#_Toc196127018" w:anchor="_Toc196127018" w:history="1">
            <w:r>
              <w:rPr>
                <w:rStyle w:val="1038"/>
                <w:rFonts w:ascii="Arial Narrow" w:hAnsi="Arial Narrow" w:eastAsiaTheme="majorEastAsia" w:cstheme="minorHAnsi"/>
                <w:b/>
                <w:color w:val="365f91" w:themeColor="accent1" w:themeShade="BF"/>
                <w:sz w:val="21"/>
                <w:szCs w:val="21"/>
                <w:lang w:eastAsia="en-US"/>
              </w:rPr>
              <w:t xml:space="preserve">Список приложений</w:t>
            </w:r>
            <w:r>
              <w:rPr>
                <w:color w:val="365f91" w:themeColor="accent1" w:themeShade="BF"/>
                <w:sz w:val="21"/>
                <w:szCs w:val="21"/>
              </w:rPr>
              <w:tab/>
            </w:r>
            <w:r>
              <w:rPr>
                <w:color w:val="365f91" w:themeColor="accent1" w:themeShade="BF"/>
                <w:sz w:val="21"/>
                <w:szCs w:val="21"/>
              </w:rPr>
              <w:fldChar w:fldCharType="begin"/>
            </w:r>
            <w:r>
              <w:rPr>
                <w:color w:val="365f91" w:themeColor="accent1" w:themeShade="BF"/>
                <w:sz w:val="21"/>
                <w:szCs w:val="21"/>
              </w:rPr>
              <w:instrText xml:space="preserve"> PAGEREF _Toc196127018 \h </w:instrText>
            </w:r>
            <w:r>
              <w:rPr>
                <w:color w:val="365f91" w:themeColor="accent1" w:themeShade="BF"/>
                <w:sz w:val="21"/>
                <w:szCs w:val="21"/>
              </w:rPr>
            </w:r>
            <w:r>
              <w:rPr>
                <w:color w:val="365f91" w:themeColor="accent1" w:themeShade="BF"/>
                <w:sz w:val="21"/>
                <w:szCs w:val="21"/>
              </w:rPr>
              <w:fldChar w:fldCharType="separate"/>
            </w:r>
            <w:r>
              <w:rPr>
                <w:color w:val="365f91" w:themeColor="accent1" w:themeShade="BF"/>
                <w:sz w:val="21"/>
                <w:szCs w:val="21"/>
              </w:rPr>
              <w:t xml:space="preserve">86</w:t>
            </w:r>
            <w:r>
              <w:rPr>
                <w:color w:val="365f91" w:themeColor="accent1" w:themeShade="BF"/>
                <w:sz w:val="21"/>
                <w:szCs w:val="21"/>
              </w:rPr>
              <w:fldChar w:fldCharType="end"/>
            </w:r>
          </w:hyperlink>
          <w:r>
            <w:rPr>
              <w:rFonts w:asciiTheme="minorHAnsi" w:hAnsiTheme="minorHAnsi" w:eastAsiaTheme="minorEastAsia" w:cstheme="minorBidi"/>
              <w:color w:val="365f91" w:themeColor="accent1" w:themeShade="BF"/>
              <w:sz w:val="21"/>
              <w:szCs w:val="21"/>
            </w:rPr>
          </w:r>
          <w:r>
            <w:rPr>
              <w:rFonts w:asciiTheme="minorHAnsi" w:hAnsiTheme="minorHAnsi" w:eastAsiaTheme="minorEastAsia" w:cstheme="minorBidi"/>
              <w:color w:val="365f91" w:themeColor="accent1" w:themeShade="BF"/>
              <w:sz w:val="21"/>
              <w:szCs w:val="21"/>
            </w:rPr>
          </w:r>
        </w:p>
        <w:p>
          <w:pPr>
            <w:pStyle w:val="1191"/>
            <w:tabs>
              <w:tab w:val="right" w:pos="10052" w:leader="dot"/>
            </w:tabs>
            <w:rPr>
              <w:rFonts w:asciiTheme="minorHAnsi" w:hAnsiTheme="minorHAnsi" w:eastAsiaTheme="minorEastAsia" w:cstheme="minorBidi"/>
              <w:sz w:val="22"/>
              <w:szCs w:val="22"/>
            </w:rPr>
          </w:pPr>
          <w:r>
            <w:rPr>
              <w:rFonts w:ascii="Arial Narrow" w:hAnsi="Arial Narrow" w:eastAsia="Arial" w:cs="Calibri"/>
              <w:bCs/>
              <w:color w:val="365f91" w:themeColor="accent1" w:themeShade="BF"/>
              <w:sz w:val="21"/>
              <w:szCs w:val="21"/>
              <w:lang w:eastAsia="en-US"/>
            </w:rPr>
            <w:fldChar w:fldCharType="end"/>
          </w:r>
          <w:bookmarkEnd w:id="0"/>
          <w:r/>
          <w:bookmarkEnd w:id="1"/>
          <w:r>
            <w:rPr>
              <w:rFonts w:asciiTheme="minorHAnsi" w:hAnsiTheme="minorHAnsi" w:eastAsiaTheme="minorEastAsia" w:cstheme="minorBidi"/>
              <w:sz w:val="22"/>
              <w:szCs w:val="22"/>
            </w:rPr>
          </w:r>
          <w:r>
            <w:rPr>
              <w:rFonts w:asciiTheme="minorHAnsi" w:hAnsiTheme="minorHAnsi" w:eastAsiaTheme="minorEastAsia" w:cstheme="minorBidi"/>
              <w:sz w:val="22"/>
              <w:szCs w:val="22"/>
            </w:rPr>
          </w:r>
        </w:p>
      </w:sdtContent>
    </w:sdt>
    <w:p>
      <w:pPr>
        <w:pStyle w:val="1062"/>
      </w:pPr>
      <w:r>
        <w:br w:type="page" w:clear="all"/>
      </w:r>
      <w:r/>
    </w:p>
    <w:p>
      <w:pPr>
        <w:contextualSpacing/>
        <w:jc w:val="center"/>
        <w:keepNext/>
        <w:spacing w:line="276" w:lineRule="auto"/>
        <w:rPr>
          <w:rFonts w:ascii="Arial Narrow" w:hAnsi="Arial Narrow" w:eastAsia="Arial" w:cs="Calibri"/>
          <w:b/>
          <w:color w:val="314e87"/>
          <w:sz w:val="28"/>
          <w:szCs w:val="28"/>
          <w:lang w:eastAsia="en-US"/>
        </w:rPr>
        <w:outlineLvl w:val="0"/>
      </w:pPr>
      <w:r/>
      <w:bookmarkStart w:id="2" w:name="_Toc68861828_Копия_1"/>
      <w:r/>
      <w:bookmarkStart w:id="3" w:name="_Toc69120995_Копия_1"/>
      <w:r/>
      <w:bookmarkStart w:id="4" w:name="_Toc164251522"/>
      <w:r/>
      <w:bookmarkStart w:id="5" w:name="_Toc196126978"/>
      <w:r/>
      <w:bookmarkStart w:id="6" w:name="_Toc193883477"/>
      <w:r/>
      <w:bookmarkEnd w:id="2"/>
      <w:r/>
      <w:bookmarkEnd w:id="3"/>
      <w:r>
        <w:rPr>
          <w:rFonts w:ascii="Arial Narrow" w:hAnsi="Arial Narrow" w:eastAsia="Arial" w:cs="Calibri"/>
          <w:b/>
          <w:color w:val="314e87"/>
          <w:sz w:val="28"/>
          <w:szCs w:val="28"/>
          <w:lang w:eastAsia="en-US"/>
        </w:rPr>
        <w:t xml:space="preserve">ОБРАЩЕНИЕ К АКЦИОНЕРАМ</w:t>
      </w:r>
      <w:bookmarkEnd w:id="4"/>
      <w:r/>
      <w:bookmarkEnd w:id="5"/>
      <w:r>
        <w:rPr>
          <w:rFonts w:ascii="Arial Narrow" w:hAnsi="Arial Narrow" w:eastAsia="Arial" w:cs="Calibri"/>
          <w:b/>
          <w:color w:val="314e87"/>
          <w:sz w:val="28"/>
          <w:szCs w:val="28"/>
          <w:lang w:eastAsia="en-US"/>
        </w:rPr>
        <w:t xml:space="preserve"> </w:t>
      </w:r>
      <w:r>
        <w:rPr>
          <w:rFonts w:ascii="Arial Narrow" w:hAnsi="Arial Narrow" w:eastAsia="Arial" w:cs="Calibri"/>
          <w:b/>
          <w:color w:val="314e87"/>
          <w:sz w:val="28"/>
          <w:szCs w:val="28"/>
          <w:lang w:eastAsia="en-US"/>
        </w:rPr>
      </w:r>
      <w:r>
        <w:rPr>
          <w:rFonts w:ascii="Arial Narrow" w:hAnsi="Arial Narrow" w:eastAsia="Arial" w:cs="Calibri"/>
          <w:b/>
          <w:color w:val="314e87"/>
          <w:sz w:val="28"/>
          <w:szCs w:val="28"/>
          <w:lang w:eastAsia="en-US"/>
        </w:rPr>
      </w:r>
    </w:p>
    <w:p>
      <w:pPr>
        <w:jc w:val="center"/>
        <w:spacing w:line="276" w:lineRule="auto"/>
        <w:rPr>
          <w:rFonts w:ascii="Arial Narrow" w:hAnsi="Arial Narrow" w:eastAsia="Arial" w:cs="Calibri"/>
          <w:sz w:val="24"/>
          <w:szCs w:val="24"/>
          <w:lang w:eastAsia="en-US" w:bidi="ru-RU"/>
        </w:rPr>
      </w:pPr>
      <w:r>
        <w:rPr>
          <w:rFonts w:ascii="Arial Narrow" w:hAnsi="Arial Narrow" w:eastAsia="Arial" w:cs="Calibri"/>
          <w:b/>
          <w:color w:val="314e87"/>
          <w:sz w:val="28"/>
          <w:szCs w:val="28"/>
          <w:lang w:eastAsia="en-US"/>
        </w:rPr>
        <w:t xml:space="preserve">ПАО «Камчатскэнерго»</w:t>
      </w:r>
      <w:bookmarkEnd w:id="6"/>
      <w:r>
        <w:rPr>
          <w:rFonts w:ascii="Arial Narrow" w:hAnsi="Arial Narrow" w:eastAsia="Arial" w:cs="Calibri"/>
          <w:sz w:val="24"/>
          <w:szCs w:val="24"/>
          <w:lang w:eastAsia="en-US" w:bidi="ru-RU"/>
        </w:rPr>
      </w:r>
      <w:r>
        <w:rPr>
          <w:rFonts w:ascii="Arial Narrow" w:hAnsi="Arial Narrow" w:eastAsia="Arial" w:cs="Calibri"/>
          <w:sz w:val="24"/>
          <w:szCs w:val="24"/>
          <w:lang w:eastAsia="en-US" w:bidi="ru-RU"/>
        </w:rPr>
      </w:r>
    </w:p>
    <w:p>
      <w:pPr>
        <w:pStyle w:val="1063"/>
        <w:ind w:firstLine="720"/>
        <w:jc w:val="both"/>
        <w:spacing w:before="120" w:line="276" w:lineRule="auto"/>
      </w:pPr>
      <w:r>
        <w:rPr>
          <w:rFonts w:ascii="Arial Narrow" w:hAnsi="Arial Narrow"/>
        </w:rPr>
        <w:t xml:space="preserve">2024 год стал для ПАО «Камчатскэнерго» юбилейным. За нашими плечами шесть десятков лет трудного, но славного пути: от первых энергопоездов и дизельных электростанций </w:t>
      </w:r>
      <w:r>
        <w:rPr>
          <w:rFonts w:ascii="Arial Narrow" w:hAnsi="Arial Narrow"/>
        </w:rPr>
        <w:t xml:space="preserve">до уникального комплекса практически всех объектов генерации, которые существуют в мире. За нашей спиной огромный задел, который создавался поистине фанатами своего дела – молодыми энергетиками, приезжающими на Камчатку строить станции и тянуть линии элект</w:t>
      </w:r>
      <w:r>
        <w:rPr>
          <w:rFonts w:ascii="Arial Narrow" w:hAnsi="Arial Narrow"/>
        </w:rPr>
        <w:t xml:space="preserve">ропередачи. За эти 60 лет нам пришлось многое сделать, чтобы отладить четкую систему, в работе которой недопустимы сбои.  Успехи и неудачи — всё было за эти годы, и тем важнее для нас настоящее, ставшее результатом долгого, упорного и кропотливого труда.  </w:t>
      </w:r>
      <w:r/>
    </w:p>
    <w:p>
      <w:pPr>
        <w:pStyle w:val="1063"/>
        <w:ind w:firstLine="720"/>
        <w:jc w:val="both"/>
        <w:spacing w:line="276" w:lineRule="auto"/>
      </w:pPr>
      <w:r>
        <w:rPr>
          <w:rFonts w:ascii="Arial Narrow" w:hAnsi="Arial Narrow"/>
        </w:rPr>
        <w:t xml:space="preserve">Сегодня Камчатскэнерго не только ежедневно подтверждает звание надежного гарантирующего поставщика тепловой и электрической энергии, но и показывает, что мы умеем работать на перспективу, активно развивая энергетический потенциал Камчатского края.</w:t>
      </w:r>
      <w:r/>
    </w:p>
    <w:p>
      <w:pPr>
        <w:pStyle w:val="1063"/>
        <w:ind w:firstLine="720"/>
        <w:jc w:val="both"/>
        <w:spacing w:line="276" w:lineRule="auto"/>
      </w:pPr>
      <w:r>
        <w:rPr>
          <w:rFonts w:ascii="Arial Narrow" w:hAnsi="Arial Narrow"/>
        </w:rPr>
        <w:t xml:space="preserve">Электростанциями ПАО «Камчатскэнерго» в январе 2024 года был поставлен новый рекорд выработки электроэнергии - 6 млн 477 тыс кВт*ч. Это максимальный показатель за последние 16 лет работы энергокомпании.</w:t>
      </w:r>
      <w:r/>
    </w:p>
    <w:p>
      <w:pPr>
        <w:pStyle w:val="1063"/>
        <w:ind w:firstLine="720"/>
        <w:jc w:val="both"/>
        <w:spacing w:line="276" w:lineRule="auto"/>
      </w:pPr>
      <w:r>
        <w:rPr>
          <w:rFonts w:ascii="Arial Narrow" w:hAnsi="Arial Narrow"/>
        </w:rPr>
        <w:t xml:space="preserve">Постоянно растущее потребление, и, как следствие, выработка тепловой и электрической энергии, говорят о к</w:t>
      </w:r>
      <w:r>
        <w:rPr>
          <w:rFonts w:ascii="Arial Narrow" w:hAnsi="Arial Narrow"/>
        </w:rPr>
        <w:t xml:space="preserve">ачественной эксплуатации действующего оборудования.  В рамках подготовки к отопительному сезону 2023-2024 годов проведены масштабные ремонтные работы, включающие ремонт трансформаторных и распределительных подстанций, 8 котлоагрегатов, 12 турбоагрегатов и </w:t>
      </w:r>
      <w:r>
        <w:rPr>
          <w:rFonts w:ascii="Arial Narrow" w:hAnsi="Arial Narrow"/>
        </w:rPr>
        <w:br/>
        <w:t xml:space="preserve">6 гидроагрегатов, также отремонтировано более 109 км линий электропередачи. Чтобы исключить возникновение непредвиденных ситуаций в осенне-зимний пери</w:t>
      </w:r>
      <w:r>
        <w:rPr>
          <w:rFonts w:ascii="Arial Narrow" w:hAnsi="Arial Narrow"/>
        </w:rPr>
        <w:t xml:space="preserve">од были отремонтированы и заменены участки изношенных тепловых сетей протяженностью 9 635 метров в однотрубном исчислении, при этом часть тепловых сетей 1 250 метров, была заменена на трубы из изопрофлекса, что позволило не только снизить эксплуатационные </w:t>
      </w:r>
      <w:r>
        <w:rPr>
          <w:rFonts w:ascii="Arial Narrow" w:hAnsi="Arial Narrow"/>
        </w:rPr>
        <w:t xml:space="preserve">расходы, но и существенно увеличить срок службы трубопроводов. Так же внимание было уделено эксплуатируемым котельным -  отремонтировано 17 котлов, 6 зданий и сооружений, установлена новая дымовая труба на котельной № 6 «Авача» в Петропавловске-Камчатском.</w:t>
      </w:r>
      <w:r/>
    </w:p>
    <w:p>
      <w:pPr>
        <w:pStyle w:val="1063"/>
        <w:ind w:firstLine="720"/>
        <w:jc w:val="both"/>
        <w:spacing w:line="276" w:lineRule="auto"/>
      </w:pPr>
      <w:r>
        <w:rPr>
          <w:rFonts w:ascii="Arial Narrow" w:hAnsi="Arial Narrow"/>
          <w:color w:val="000000"/>
        </w:rPr>
        <w:t xml:space="preserve">В 2024 году энергокомпания успешно завершила работы по обеспечению защиты высоковольтной линии ВЛ-201</w:t>
      </w:r>
      <w:r>
        <w:rPr>
          <w:rFonts w:ascii="Arial Narrow" w:hAnsi="Arial Narrow"/>
          <w:color w:val="000000"/>
        </w:rPr>
        <w:t xml:space="preserve"> от потенциального схода лавин.  Еще три противолавинные опоры были установлены у подножия Вилючинского вулкана. В общей сложности на данной линии, которая начинается от Мутновской геотермальной станции, установлено восемь современных противолавинных опор.</w:t>
      </w:r>
      <w:r/>
    </w:p>
    <w:p>
      <w:pPr>
        <w:pStyle w:val="1144"/>
        <w:ind w:firstLine="708"/>
        <w:jc w:val="both"/>
        <w:spacing w:line="276" w:lineRule="auto"/>
      </w:pPr>
      <w:r>
        <w:rPr>
          <w:rFonts w:ascii="Arial Narrow" w:hAnsi="Arial Narrow"/>
          <w:sz w:val="24"/>
          <w:szCs w:val="24"/>
        </w:rPr>
        <w:t xml:space="preserve">В целях обеспечения надежной работы Мутновских ГеоЭС проводится регулярное об</w:t>
      </w:r>
      <w:r>
        <w:rPr>
          <w:rFonts w:ascii="Arial Narrow" w:hAnsi="Arial Narrow"/>
          <w:sz w:val="24"/>
          <w:szCs w:val="24"/>
        </w:rPr>
        <w:t xml:space="preserve">новление парка продуктивных геотермальных скважин.  В 2024 году на мутновском месторождении были пробурены две новые скважины -  ГЕО-10 и ГЕО-11, обеспечивающие работу станции с максимальной выработкой электроэнергии без ограничения располагаемой мощности.</w:t>
      </w:r>
      <w:r/>
    </w:p>
    <w:p>
      <w:pPr>
        <w:pStyle w:val="1144"/>
        <w:ind w:firstLine="708"/>
        <w:jc w:val="both"/>
        <w:spacing w:line="276" w:lineRule="auto"/>
      </w:pPr>
      <w:r>
        <w:rPr>
          <w:rFonts w:ascii="Arial Narrow" w:hAnsi="Arial Narrow"/>
          <w:sz w:val="24"/>
          <w:szCs w:val="24"/>
        </w:rPr>
        <w:t xml:space="preserve">Ещ</w:t>
      </w:r>
      <w:r>
        <w:rPr>
          <w:rFonts w:ascii="Arial Narrow" w:hAnsi="Arial Narrow"/>
          <w:sz w:val="24"/>
          <w:szCs w:val="24"/>
        </w:rPr>
        <w:t xml:space="preserve">е одним важным шагов в развитии геотермальной энергетики станет строительство бинарного блока Мутновской ГеоЭс. В 2024 году мы начали проектирование бинарного блока, который позволит, используя действующие скважины, выдать дополнительные 16,5 МВт мощности.</w:t>
      </w:r>
      <w:r/>
    </w:p>
    <w:p>
      <w:pPr>
        <w:pStyle w:val="1144"/>
        <w:ind w:firstLine="708"/>
        <w:jc w:val="both"/>
        <w:spacing w:line="276" w:lineRule="auto"/>
      </w:pPr>
      <w:r>
        <w:rPr>
          <w:rFonts w:ascii="Arial Narrow" w:hAnsi="Arial Narrow"/>
          <w:sz w:val="24"/>
          <w:szCs w:val="24"/>
        </w:rPr>
        <w:t xml:space="preserve">Для максимального использования возобновляемых источников энергии, которыми богата Камчатка, в</w:t>
      </w:r>
      <w:r>
        <w:rPr>
          <w:rFonts w:ascii="Arial Narrow" w:hAnsi="Arial Narrow"/>
          <w:sz w:val="24"/>
          <w:szCs w:val="24"/>
        </w:rPr>
        <w:t xml:space="preserve"> 2024 году принято решение о начале проектных работ по строительству Толмачевской ГЭС-4. Станция должна стать завершающей ступенью каскада малых гидроэлектростанций на реке Толмачева в Усть-Большерецком районе. В отчетном году проведены полевые геотехничес</w:t>
      </w:r>
      <w:r>
        <w:rPr>
          <w:rFonts w:ascii="Arial Narrow" w:hAnsi="Arial Narrow"/>
          <w:sz w:val="24"/>
          <w:szCs w:val="24"/>
        </w:rPr>
        <w:t xml:space="preserve">кие и инженерно-сейсмологические работы в рамках проектирования будущей станции. Согласно предварительным проектным проработкам и технико-экономическим расчетам, мощность станции составит 6 МВт, в год она сможет вырабатывать 41,55 млн кВт∙ч электроэнергии.</w:t>
      </w:r>
      <w:r/>
    </w:p>
    <w:p>
      <w:pPr>
        <w:pStyle w:val="1063"/>
        <w:ind w:firstLine="720"/>
        <w:jc w:val="both"/>
        <w:spacing w:line="276" w:lineRule="auto"/>
      </w:pPr>
      <w:r>
        <w:rPr>
          <w:rFonts w:ascii="Arial Narrow" w:hAnsi="Arial Narrow"/>
          <w:color w:val="000000"/>
        </w:rPr>
        <w:t xml:space="preserve">Не остаю</w:t>
      </w:r>
      <w:r>
        <w:rPr>
          <w:rFonts w:ascii="Arial Narrow" w:hAnsi="Arial Narrow"/>
          <w:color w:val="000000"/>
        </w:rPr>
        <w:t xml:space="preserve">тся без внимания и действующие энергообъекты, которые являются основой всей камчатской энергетики. В минувшем году на станции ТЭЦ-1 была внедрена инновационная система, предназначенная для защиты трубопроводов циркуляционной воды и конденсаторов турбин от </w:t>
      </w:r>
      <w:r>
        <w:rPr>
          <w:rFonts w:ascii="Arial Narrow" w:hAnsi="Arial Narrow"/>
          <w:color w:val="000000"/>
        </w:rPr>
        <w:t xml:space="preserve">биологических обрастаний и коррозии. Эта система обеспечивает защиту трубопроводов от разрушительного воздействия морской воды, а также эффективно предотвращает оседание микроорганизмов и бактерий на внутренних стенках конденсаторов.</w:t>
      </w:r>
      <w:r/>
    </w:p>
    <w:p>
      <w:pPr>
        <w:pStyle w:val="1063"/>
        <w:ind w:firstLine="720"/>
        <w:jc w:val="both"/>
        <w:spacing w:line="276" w:lineRule="auto"/>
      </w:pPr>
      <w:r>
        <w:rPr>
          <w:rFonts w:ascii="Arial Narrow" w:hAnsi="Arial Narrow"/>
        </w:rPr>
        <w:t xml:space="preserve">В рамках постоянно проводимой работы по повышению надежности электроснабжения потребителей и снижению аварийности в 2024 году на станции ТЭЦ-2 линейные и трансформаторные высоковольтные вводы были заменены на современные с твердой изоляцией.</w:t>
      </w:r>
      <w:r/>
    </w:p>
    <w:p>
      <w:pPr>
        <w:pStyle w:val="1063"/>
        <w:ind w:firstLine="720"/>
        <w:jc w:val="both"/>
        <w:spacing w:line="276" w:lineRule="auto"/>
      </w:pPr>
      <w:r>
        <w:rPr>
          <w:rFonts w:ascii="Arial Narrow" w:hAnsi="Arial Narrow"/>
        </w:rPr>
        <w:t xml:space="preserve">Также на Камчатских ТЭЦ начали устанавливать новые элегазовые выключатели 110 кВ, произведенные в России. В минувшем году их было установлено восемь, работа по замене этих выключателей продолжается. Элегазовый выключатель — это высокотехноло</w:t>
      </w:r>
      <w:r>
        <w:rPr>
          <w:rFonts w:ascii="Arial Narrow" w:hAnsi="Arial Narrow"/>
        </w:rPr>
        <w:t xml:space="preserve">гичное оборудование, обеспечивающее защиту сети от перегрузок и коротких замыканий с минимальным временем отключения, что значительно снижает риск аварийных ситуаций и позволяет стабильно поддерживать работу критически важной инфраструктуры на полуострове.</w:t>
      </w:r>
      <w:r/>
    </w:p>
    <w:p>
      <w:pPr>
        <w:pStyle w:val="1091"/>
        <w:ind w:left="0" w:firstLine="720"/>
        <w:jc w:val="both"/>
        <w:spacing w:line="276" w:lineRule="auto"/>
        <w:rPr>
          <w:lang w:val="ru-RU"/>
        </w:rPr>
      </w:pPr>
      <w:r>
        <w:rPr>
          <w:rFonts w:ascii="Arial Narrow" w:hAnsi="Arial Narrow"/>
          <w:color w:val="000000"/>
          <w:sz w:val="24"/>
          <w:szCs w:val="24"/>
          <w:lang w:val="ru-RU"/>
        </w:rPr>
        <w:t xml:space="preserve">Фактический объем реализова</w:t>
      </w:r>
      <w:r>
        <w:rPr>
          <w:rFonts w:ascii="Arial Narrow" w:hAnsi="Arial Narrow"/>
          <w:color w:val="000000"/>
          <w:sz w:val="24"/>
          <w:szCs w:val="24"/>
          <w:lang w:val="ru-RU"/>
        </w:rPr>
        <w:t xml:space="preserve">нной продукции в 2024 году достиг отметки в 40 359 225 тыс. рублей. По сравнению с аналогичным периодом прошлого года выручка была увеличена на 5 246 203 тыс. рублей (прирост 15 %). По результатам производственно-хозяйственной деятельности энергокомпанией </w:t>
      </w:r>
      <w:r>
        <w:rPr>
          <w:rFonts w:ascii="Arial Narrow" w:hAnsi="Arial Narrow"/>
          <w:color w:val="000000"/>
          <w:sz w:val="24"/>
          <w:szCs w:val="24"/>
          <w:lang w:val="ru-RU"/>
        </w:rPr>
        <w:br/>
        <w:t xml:space="preserve">в 2024 году получена чистая прибыль в размере 112 337 тыс. рублей.</w:t>
      </w:r>
      <w:r>
        <w:rPr>
          <w:lang w:val="ru-RU"/>
        </w:rPr>
      </w:r>
      <w:r>
        <w:rPr>
          <w:lang w:val="ru-RU"/>
        </w:rPr>
      </w:r>
    </w:p>
    <w:p>
      <w:pPr>
        <w:pStyle w:val="1063"/>
        <w:ind w:firstLine="720"/>
        <w:jc w:val="both"/>
        <w:spacing w:line="276" w:lineRule="auto"/>
      </w:pPr>
      <w:r>
        <w:rPr>
          <w:rFonts w:ascii="Arial Narrow" w:hAnsi="Arial Narrow"/>
        </w:rPr>
        <w:t xml:space="preserve">Работая в порой экстремальных условиях, вкладыв</w:t>
      </w:r>
      <w:r>
        <w:rPr>
          <w:rFonts w:ascii="Arial Narrow" w:hAnsi="Arial Narrow"/>
        </w:rPr>
        <w:t xml:space="preserve">ая свою душу, свой труд и свои знания несколько тысяч сотрудников Камчатскэнерго вот уже 60 лет несут свет и тепло в каждый дом. И сегодня уже новое поколение молодых профессионалов пишет новую историю камчатской энергосистемы. И у них точно все получится!</w:t>
      </w:r>
      <w:r/>
    </w:p>
    <w:p>
      <w:pPr>
        <w:pStyle w:val="1178"/>
        <w:jc w:val="left"/>
        <w:spacing w:line="276" w:lineRule="auto"/>
        <w:rPr>
          <w:rFonts w:ascii="Arial Narrow" w:hAnsi="Arial Narrow" w:eastAsia="Arial" w:cs="Calibri"/>
          <w:i w:val="0"/>
          <w:iCs w:val="0"/>
          <w:szCs w:val="24"/>
          <w:u w:val="none"/>
          <w:lang w:bidi="ru-RU"/>
        </w:rPr>
      </w:pPr>
      <w:r>
        <w:rPr>
          <w:rFonts w:ascii="Arial Narrow" w:hAnsi="Arial Narrow" w:eastAsia="Arial" w:cs="Calibri"/>
          <w:i w:val="0"/>
          <w:iCs w:val="0"/>
          <w:szCs w:val="24"/>
          <w:u w:val="none"/>
          <w:lang w:bidi="ru-RU"/>
        </w:rPr>
      </w:r>
      <w:r>
        <w:rPr>
          <w:rFonts w:ascii="Arial Narrow" w:hAnsi="Arial Narrow" w:eastAsia="Arial" w:cs="Calibri"/>
          <w:i w:val="0"/>
          <w:iCs w:val="0"/>
          <w:szCs w:val="24"/>
          <w:u w:val="none"/>
          <w:lang w:bidi="ru-RU"/>
        </w:rPr>
      </w:r>
      <w:r>
        <w:rPr>
          <w:rFonts w:ascii="Arial Narrow" w:hAnsi="Arial Narrow" w:eastAsia="Arial" w:cs="Calibri"/>
          <w:i w:val="0"/>
          <w:iCs w:val="0"/>
          <w:szCs w:val="24"/>
          <w:u w:val="none"/>
          <w:lang w:bidi="ru-RU"/>
        </w:rPr>
      </w:r>
    </w:p>
    <w:p>
      <w:pPr>
        <w:pStyle w:val="1178"/>
        <w:jc w:val="left"/>
        <w:spacing w:line="276" w:lineRule="auto"/>
        <w:rPr>
          <w:rFonts w:ascii="Arial Narrow" w:hAnsi="Arial Narrow" w:eastAsia="Arial" w:cs="Calibri"/>
          <w:i w:val="0"/>
          <w:iCs w:val="0"/>
          <w:szCs w:val="24"/>
          <w:u w:val="none"/>
          <w:lang w:bidi="ru-RU"/>
        </w:rPr>
      </w:pPr>
      <w:r>
        <w:rPr>
          <w:rFonts w:ascii="Arial Narrow" w:hAnsi="Arial Narrow" w:eastAsia="Arial" w:cs="Calibri"/>
          <w:i w:val="0"/>
          <w:iCs w:val="0"/>
          <w:szCs w:val="24"/>
          <w:u w:val="none"/>
          <w:lang w:bidi="ru-RU"/>
        </w:rPr>
      </w:r>
      <w:r>
        <w:rPr>
          <w:rFonts w:ascii="Arial Narrow" w:hAnsi="Arial Narrow" w:eastAsia="Arial" w:cs="Calibri"/>
          <w:i w:val="0"/>
          <w:iCs w:val="0"/>
          <w:szCs w:val="24"/>
          <w:u w:val="none"/>
          <w:lang w:bidi="ru-RU"/>
        </w:rPr>
      </w:r>
      <w:r>
        <w:rPr>
          <w:rFonts w:ascii="Arial Narrow" w:hAnsi="Arial Narrow" w:eastAsia="Arial" w:cs="Calibri"/>
          <w:i w:val="0"/>
          <w:iCs w:val="0"/>
          <w:szCs w:val="24"/>
          <w:u w:val="none"/>
          <w:lang w:bidi="ru-RU"/>
        </w:rPr>
      </w:r>
    </w:p>
    <w:p>
      <w:pPr>
        <w:pStyle w:val="1178"/>
        <w:jc w:val="left"/>
        <w:spacing w:line="276" w:lineRule="auto"/>
        <w:rPr>
          <w:rFonts w:ascii="Arial Narrow" w:hAnsi="Arial Narrow" w:eastAsia="Arial" w:cs="Calibri"/>
          <w:i w:val="0"/>
          <w:iCs w:val="0"/>
          <w:szCs w:val="24"/>
          <w:u w:val="none"/>
          <w:lang w:bidi="ru-RU"/>
        </w:rPr>
      </w:pPr>
      <w:r>
        <w:rPr>
          <w:rFonts w:ascii="Arial Narrow" w:hAnsi="Arial Narrow" w:eastAsia="Arial" w:cs="Calibri"/>
          <w:i w:val="0"/>
          <w:iCs w:val="0"/>
          <w:szCs w:val="24"/>
          <w:u w:val="none"/>
          <w:lang w:bidi="ru-RU"/>
        </w:rPr>
      </w:r>
      <w:r>
        <w:rPr>
          <w:rFonts w:ascii="Arial Narrow" w:hAnsi="Arial Narrow" w:eastAsia="Arial" w:cs="Calibri"/>
          <w:i w:val="0"/>
          <w:iCs w:val="0"/>
          <w:szCs w:val="24"/>
          <w:u w:val="none"/>
          <w:lang w:bidi="ru-RU"/>
        </w:rPr>
      </w:r>
      <w:r>
        <w:rPr>
          <w:rFonts w:ascii="Arial Narrow" w:hAnsi="Arial Narrow" w:eastAsia="Arial" w:cs="Calibri"/>
          <w:i w:val="0"/>
          <w:iCs w:val="0"/>
          <w:szCs w:val="24"/>
          <w:u w:val="none"/>
          <w:lang w:bidi="ru-RU"/>
        </w:rPr>
      </w:r>
    </w:p>
    <w:p>
      <w:pPr>
        <w:pStyle w:val="1178"/>
        <w:jc w:val="left"/>
        <w:spacing w:line="276" w:lineRule="auto"/>
      </w:pPr>
      <w:r>
        <w:rPr>
          <w:rFonts w:ascii="Arial Narrow" w:hAnsi="Arial Narrow" w:eastAsia="Arial" w:cs="Calibri"/>
          <w:i w:val="0"/>
          <w:iCs w:val="0"/>
          <w:szCs w:val="24"/>
          <w:u w:val="none"/>
          <w:lang w:bidi="ru-RU"/>
        </w:rPr>
        <w:t xml:space="preserve">Председатель Совета директоров ПАО «Камчатскэнерго»                 </w:t>
      </w:r>
      <w:r>
        <w:rPr>
          <w:rFonts w:ascii="Arial Narrow" w:hAnsi="Arial Narrow" w:eastAsia="Arial" w:cs="Calibri"/>
          <w:i w:val="0"/>
          <w:iCs w:val="0"/>
          <w:szCs w:val="24"/>
          <w:u w:val="none"/>
          <w:lang w:bidi="ru-RU"/>
        </w:rPr>
        <w:tab/>
      </w:r>
      <w:r>
        <w:rPr>
          <w:rFonts w:ascii="Arial Narrow" w:hAnsi="Arial Narrow" w:eastAsia="Arial" w:cs="Calibri"/>
          <w:i w:val="0"/>
          <w:iCs w:val="0"/>
          <w:szCs w:val="24"/>
          <w:u w:val="none"/>
          <w:lang w:bidi="ru-RU"/>
        </w:rPr>
        <w:tab/>
      </w:r>
      <w:r>
        <w:rPr>
          <w:rFonts w:ascii="Arial Narrow" w:hAnsi="Arial Narrow" w:eastAsia="Arial" w:cs="Calibri"/>
          <w:i w:val="0"/>
          <w:iCs w:val="0"/>
          <w:szCs w:val="24"/>
          <w:u w:val="none"/>
          <w:lang w:bidi="ru-RU"/>
        </w:rPr>
        <w:tab/>
      </w:r>
      <w:r>
        <w:rPr>
          <w:rFonts w:ascii="Arial Narrow" w:hAnsi="Arial Narrow" w:eastAsia="Arial" w:cs="Calibri"/>
          <w:i w:val="0"/>
          <w:iCs w:val="0"/>
          <w:szCs w:val="24"/>
          <w:u w:val="none"/>
          <w:lang w:bidi="ru-RU"/>
        </w:rPr>
        <w:tab/>
        <w:t xml:space="preserve">Малков Д.А.</w:t>
      </w:r>
      <w:r/>
    </w:p>
    <w:p>
      <w:pPr>
        <w:pStyle w:val="1140"/>
        <w:ind w:firstLine="0"/>
        <w:spacing w:line="276" w:lineRule="auto"/>
        <w:tabs>
          <w:tab w:val="left" w:pos="719" w:leader="none"/>
        </w:tabs>
      </w:pPr>
      <w:r>
        <w:rPr>
          <w:rFonts w:ascii="Arial Narrow" w:hAnsi="Arial Narrow" w:eastAsia="Arial" w:cs="Calibri"/>
          <w:sz w:val="23"/>
          <w:szCs w:val="23"/>
          <w:lang w:eastAsia="en-US" w:bidi="ru-RU"/>
        </w:rPr>
        <w:t xml:space="preserve">«____»______________2025 г.</w:t>
      </w:r>
      <w:r/>
    </w:p>
    <w:p>
      <w:pPr>
        <w:pStyle w:val="1140"/>
        <w:ind w:firstLine="0"/>
        <w:spacing w:line="276" w:lineRule="auto"/>
        <w:tabs>
          <w:tab w:val="left" w:pos="719" w:leader="none"/>
        </w:tabs>
        <w:rPr>
          <w:rFonts w:ascii="Arial Narrow" w:hAnsi="Arial Narrow" w:eastAsia="Arial" w:cs="Calibri"/>
          <w:szCs w:val="24"/>
          <w:lang w:eastAsia="en-US" w:bidi="ru-RU"/>
        </w:rPr>
      </w:pPr>
      <w:r>
        <w:rPr>
          <w:rFonts w:ascii="Arial Narrow" w:hAnsi="Arial Narrow" w:eastAsia="Arial" w:cs="Calibri"/>
          <w:szCs w:val="24"/>
          <w:lang w:eastAsia="en-US" w:bidi="ru-RU"/>
        </w:rPr>
      </w:r>
      <w:r>
        <w:rPr>
          <w:rFonts w:ascii="Arial Narrow" w:hAnsi="Arial Narrow" w:eastAsia="Arial" w:cs="Calibri"/>
          <w:szCs w:val="24"/>
          <w:lang w:eastAsia="en-US" w:bidi="ru-RU"/>
        </w:rPr>
      </w:r>
      <w:r>
        <w:rPr>
          <w:rFonts w:ascii="Arial Narrow" w:hAnsi="Arial Narrow" w:eastAsia="Arial" w:cs="Calibri"/>
          <w:szCs w:val="24"/>
          <w:lang w:eastAsia="en-US" w:bidi="ru-RU"/>
        </w:rPr>
      </w:r>
    </w:p>
    <w:p>
      <w:pPr>
        <w:pStyle w:val="1140"/>
        <w:ind w:firstLine="0"/>
        <w:spacing w:line="276" w:lineRule="auto"/>
        <w:tabs>
          <w:tab w:val="left" w:pos="719" w:leader="none"/>
        </w:tabs>
        <w:rPr>
          <w:rFonts w:ascii="Arial Narrow" w:hAnsi="Arial Narrow" w:eastAsia="Arial" w:cs="Calibri"/>
          <w:szCs w:val="24"/>
          <w:lang w:eastAsia="en-US" w:bidi="ru-RU"/>
        </w:rPr>
      </w:pPr>
      <w:r>
        <w:rPr>
          <w:rFonts w:ascii="Arial Narrow" w:hAnsi="Arial Narrow" w:eastAsia="Arial" w:cs="Calibri"/>
          <w:szCs w:val="24"/>
          <w:lang w:eastAsia="en-US" w:bidi="ru-RU"/>
        </w:rPr>
      </w:r>
      <w:r>
        <w:rPr>
          <w:rFonts w:ascii="Arial Narrow" w:hAnsi="Arial Narrow" w:eastAsia="Arial" w:cs="Calibri"/>
          <w:szCs w:val="24"/>
          <w:lang w:eastAsia="en-US" w:bidi="ru-RU"/>
        </w:rPr>
      </w:r>
      <w:r>
        <w:rPr>
          <w:rFonts w:ascii="Arial Narrow" w:hAnsi="Arial Narrow" w:eastAsia="Arial" w:cs="Calibri"/>
          <w:szCs w:val="24"/>
          <w:lang w:eastAsia="en-US" w:bidi="ru-RU"/>
        </w:rPr>
      </w:r>
    </w:p>
    <w:p>
      <w:pPr>
        <w:pStyle w:val="1140"/>
        <w:ind w:firstLine="0"/>
        <w:spacing w:line="276" w:lineRule="auto"/>
        <w:tabs>
          <w:tab w:val="left" w:pos="719" w:leader="none"/>
        </w:tabs>
        <w:rPr>
          <w:rFonts w:ascii="Arial Narrow" w:hAnsi="Arial Narrow" w:eastAsia="Arial" w:cs="Calibri"/>
          <w:szCs w:val="24"/>
          <w:lang w:eastAsia="en-US" w:bidi="ru-RU"/>
        </w:rPr>
      </w:pPr>
      <w:r>
        <w:rPr>
          <w:rFonts w:ascii="Arial Narrow" w:hAnsi="Arial Narrow" w:eastAsia="Arial" w:cs="Calibri"/>
          <w:szCs w:val="24"/>
          <w:lang w:eastAsia="en-US" w:bidi="ru-RU"/>
        </w:rPr>
      </w:r>
      <w:r>
        <w:rPr>
          <w:rFonts w:ascii="Arial Narrow" w:hAnsi="Arial Narrow" w:eastAsia="Arial" w:cs="Calibri"/>
          <w:szCs w:val="24"/>
          <w:lang w:eastAsia="en-US" w:bidi="ru-RU"/>
        </w:rPr>
      </w:r>
      <w:r>
        <w:rPr>
          <w:rFonts w:ascii="Arial Narrow" w:hAnsi="Arial Narrow" w:eastAsia="Arial" w:cs="Calibri"/>
          <w:szCs w:val="24"/>
          <w:lang w:eastAsia="en-US" w:bidi="ru-RU"/>
        </w:rPr>
      </w:r>
    </w:p>
    <w:p>
      <w:pPr>
        <w:pStyle w:val="1140"/>
        <w:ind w:firstLine="0"/>
        <w:spacing w:line="276" w:lineRule="auto"/>
        <w:tabs>
          <w:tab w:val="left" w:pos="719" w:leader="none"/>
        </w:tabs>
      </w:pPr>
      <w:r>
        <w:rPr>
          <w:rFonts w:ascii="Arial Narrow" w:hAnsi="Arial Narrow" w:eastAsia="Arial" w:cs="Calibri"/>
          <w:szCs w:val="24"/>
          <w:lang w:eastAsia="en-US" w:bidi="ru-RU"/>
        </w:rPr>
        <w:t xml:space="preserve">Генеральный директор</w:t>
      </w:r>
      <w:r>
        <w:rPr>
          <w:rFonts w:ascii="Arial Narrow" w:hAnsi="Arial Narrow" w:eastAsia="Arial" w:cs="Calibri"/>
          <w:szCs w:val="24"/>
          <w:lang w:eastAsia="en-US" w:bidi="ru-RU"/>
        </w:rPr>
        <w:tab/>
        <w:t xml:space="preserve">ПАО «Камчатскэнерго»</w:t>
      </w:r>
      <w:r>
        <w:rPr>
          <w:rFonts w:ascii="Arial Narrow" w:hAnsi="Arial Narrow" w:eastAsia="Arial" w:cs="Calibri"/>
          <w:szCs w:val="24"/>
          <w:lang w:eastAsia="en-US" w:bidi="ru-RU"/>
        </w:rPr>
        <w:tab/>
      </w:r>
      <w:r>
        <w:rPr>
          <w:rFonts w:ascii="Arial Narrow" w:hAnsi="Arial Narrow" w:eastAsia="Arial" w:cs="Calibri"/>
          <w:szCs w:val="24"/>
          <w:lang w:eastAsia="en-US" w:bidi="ru-RU"/>
        </w:rPr>
        <w:tab/>
      </w:r>
      <w:r>
        <w:rPr>
          <w:rFonts w:ascii="Arial Narrow" w:hAnsi="Arial Narrow" w:eastAsia="Arial" w:cs="Calibri"/>
          <w:szCs w:val="24"/>
          <w:lang w:eastAsia="en-US" w:bidi="ru-RU"/>
        </w:rPr>
        <w:tab/>
      </w:r>
      <w:r>
        <w:rPr>
          <w:rFonts w:ascii="Arial Narrow" w:hAnsi="Arial Narrow" w:eastAsia="Arial" w:cs="Calibri"/>
          <w:szCs w:val="24"/>
          <w:lang w:eastAsia="en-US" w:bidi="ru-RU"/>
        </w:rPr>
        <w:tab/>
      </w:r>
      <w:r>
        <w:rPr>
          <w:rFonts w:ascii="Arial Narrow" w:hAnsi="Arial Narrow" w:eastAsia="Arial" w:cs="Calibri"/>
          <w:szCs w:val="24"/>
          <w:lang w:eastAsia="en-US" w:bidi="ru-RU"/>
        </w:rPr>
        <w:tab/>
        <w:t xml:space="preserve">Новиков А.Н.</w:t>
      </w:r>
      <w:r/>
    </w:p>
    <w:p>
      <w:pPr>
        <w:pStyle w:val="1140"/>
        <w:ind w:firstLine="0"/>
        <w:spacing w:line="276" w:lineRule="auto"/>
        <w:tabs>
          <w:tab w:val="left" w:pos="719" w:leader="none"/>
        </w:tabs>
        <w:rPr>
          <w:rFonts w:ascii="Arial Narrow" w:hAnsi="Arial Narrow" w:eastAsia="Arial" w:cs="Calibri"/>
          <w:sz w:val="23"/>
          <w:szCs w:val="23"/>
          <w:lang w:eastAsia="en-US" w:bidi="ru-RU"/>
        </w:rPr>
      </w:pPr>
      <w:r>
        <w:rPr>
          <w:rFonts w:ascii="Arial Narrow" w:hAnsi="Arial Narrow" w:eastAsia="Arial" w:cs="Calibri"/>
          <w:sz w:val="23"/>
          <w:szCs w:val="23"/>
          <w:lang w:eastAsia="en-US" w:bidi="ru-RU"/>
        </w:rPr>
        <w:t xml:space="preserve">«____»______________2025 г.</w:t>
      </w:r>
      <w:r>
        <w:rPr>
          <w:rFonts w:ascii="Arial Narrow" w:hAnsi="Arial Narrow" w:eastAsia="Arial" w:cs="Calibri"/>
          <w:sz w:val="23"/>
          <w:szCs w:val="23"/>
          <w:lang w:eastAsia="en-US" w:bidi="ru-RU"/>
        </w:rPr>
      </w:r>
      <w:r>
        <w:rPr>
          <w:rFonts w:ascii="Arial Narrow" w:hAnsi="Arial Narrow" w:eastAsia="Arial" w:cs="Calibri"/>
          <w:sz w:val="23"/>
          <w:szCs w:val="23"/>
          <w:lang w:eastAsia="en-US" w:bidi="ru-RU"/>
        </w:rPr>
      </w:r>
    </w:p>
    <w:p>
      <w:pPr>
        <w:pStyle w:val="1140"/>
        <w:ind w:firstLine="0"/>
        <w:spacing w:line="276" w:lineRule="auto"/>
        <w:tabs>
          <w:tab w:val="left" w:pos="719" w:leader="none"/>
        </w:tabs>
        <w:rPr>
          <w:rFonts w:ascii="Arial Narrow" w:hAnsi="Arial Narrow" w:eastAsia="Arial" w:cs="Calibri"/>
          <w:sz w:val="23"/>
          <w:szCs w:val="23"/>
          <w:lang w:eastAsia="en-US" w:bidi="ru-RU"/>
        </w:rPr>
      </w:pPr>
      <w:r>
        <w:rPr>
          <w:rFonts w:ascii="Arial Narrow" w:hAnsi="Arial Narrow" w:eastAsia="Arial" w:cs="Calibri"/>
          <w:sz w:val="23"/>
          <w:szCs w:val="23"/>
          <w:lang w:eastAsia="en-US" w:bidi="ru-RU"/>
        </w:rPr>
      </w:r>
      <w:r>
        <w:rPr>
          <w:rFonts w:ascii="Arial Narrow" w:hAnsi="Arial Narrow" w:eastAsia="Arial" w:cs="Calibri"/>
          <w:sz w:val="23"/>
          <w:szCs w:val="23"/>
          <w:lang w:eastAsia="en-US" w:bidi="ru-RU"/>
        </w:rPr>
      </w:r>
      <w:r>
        <w:rPr>
          <w:rFonts w:ascii="Arial Narrow" w:hAnsi="Arial Narrow" w:eastAsia="Arial" w:cs="Calibri"/>
          <w:sz w:val="23"/>
          <w:szCs w:val="23"/>
          <w:lang w:eastAsia="en-US" w:bidi="ru-RU"/>
        </w:rPr>
      </w:r>
    </w:p>
    <w:p>
      <w:pPr>
        <w:pStyle w:val="1140"/>
        <w:ind w:firstLine="0"/>
        <w:spacing w:line="276" w:lineRule="auto"/>
        <w:tabs>
          <w:tab w:val="left" w:pos="719" w:leader="none"/>
        </w:tabs>
        <w:rPr>
          <w:rFonts w:ascii="Arial Narrow" w:hAnsi="Arial Narrow" w:eastAsia="Arial" w:cs="Calibri"/>
          <w:sz w:val="23"/>
          <w:szCs w:val="23"/>
          <w:lang w:eastAsia="en-US" w:bidi="ru-RU"/>
        </w:rPr>
      </w:pPr>
      <w:r>
        <w:rPr>
          <w:rFonts w:ascii="Arial Narrow" w:hAnsi="Arial Narrow" w:eastAsia="Arial" w:cs="Calibri"/>
          <w:sz w:val="23"/>
          <w:szCs w:val="23"/>
          <w:lang w:eastAsia="en-US" w:bidi="ru-RU"/>
        </w:rPr>
      </w:r>
      <w:r>
        <w:rPr>
          <w:rFonts w:ascii="Arial Narrow" w:hAnsi="Arial Narrow" w:eastAsia="Arial" w:cs="Calibri"/>
          <w:sz w:val="23"/>
          <w:szCs w:val="23"/>
          <w:lang w:eastAsia="en-US" w:bidi="ru-RU"/>
        </w:rPr>
      </w:r>
      <w:r>
        <w:rPr>
          <w:rFonts w:ascii="Arial Narrow" w:hAnsi="Arial Narrow" w:eastAsia="Arial" w:cs="Calibri"/>
          <w:sz w:val="23"/>
          <w:szCs w:val="23"/>
          <w:lang w:eastAsia="en-US" w:bidi="ru-RU"/>
        </w:rPr>
      </w:r>
    </w:p>
    <w:p>
      <w:pPr>
        <w:pStyle w:val="1140"/>
        <w:ind w:firstLine="0"/>
        <w:spacing w:line="276" w:lineRule="auto"/>
        <w:tabs>
          <w:tab w:val="left" w:pos="719" w:leader="none"/>
        </w:tabs>
        <w:rPr>
          <w:rFonts w:ascii="Arial Narrow" w:hAnsi="Arial Narrow" w:eastAsia="Arial" w:cs="Calibri"/>
          <w:sz w:val="23"/>
          <w:szCs w:val="23"/>
          <w:lang w:eastAsia="en-US" w:bidi="ru-RU"/>
        </w:rPr>
      </w:pPr>
      <w:r>
        <w:rPr>
          <w:rFonts w:ascii="Arial Narrow" w:hAnsi="Arial Narrow" w:eastAsia="Arial" w:cs="Calibri"/>
          <w:sz w:val="23"/>
          <w:szCs w:val="23"/>
          <w:lang w:eastAsia="en-US" w:bidi="ru-RU"/>
        </w:rPr>
      </w:r>
      <w:r>
        <w:rPr>
          <w:rFonts w:ascii="Arial Narrow" w:hAnsi="Arial Narrow" w:eastAsia="Arial" w:cs="Calibri"/>
          <w:sz w:val="23"/>
          <w:szCs w:val="23"/>
          <w:lang w:eastAsia="en-US" w:bidi="ru-RU"/>
        </w:rPr>
      </w:r>
      <w:r>
        <w:rPr>
          <w:rFonts w:ascii="Arial Narrow" w:hAnsi="Arial Narrow" w:eastAsia="Arial" w:cs="Calibri"/>
          <w:sz w:val="23"/>
          <w:szCs w:val="23"/>
          <w:lang w:eastAsia="en-US" w:bidi="ru-RU"/>
        </w:rPr>
      </w:r>
    </w:p>
    <w:p>
      <w:pPr>
        <w:pStyle w:val="1140"/>
        <w:ind w:firstLine="0"/>
        <w:spacing w:line="276" w:lineRule="auto"/>
        <w:tabs>
          <w:tab w:val="left" w:pos="719" w:leader="none"/>
        </w:tabs>
        <w:rPr>
          <w:rFonts w:ascii="Arial Narrow" w:hAnsi="Arial Narrow" w:eastAsia="Arial" w:cs="Calibri"/>
          <w:sz w:val="23"/>
          <w:szCs w:val="23"/>
          <w:lang w:eastAsia="en-US" w:bidi="ru-RU"/>
        </w:rPr>
      </w:pPr>
      <w:r>
        <w:rPr>
          <w:rFonts w:ascii="Arial Narrow" w:hAnsi="Arial Narrow" w:eastAsia="Arial" w:cs="Calibri"/>
          <w:sz w:val="23"/>
          <w:szCs w:val="23"/>
          <w:lang w:eastAsia="en-US" w:bidi="ru-RU"/>
        </w:rPr>
      </w:r>
      <w:r>
        <w:rPr>
          <w:rFonts w:ascii="Arial Narrow" w:hAnsi="Arial Narrow" w:eastAsia="Arial" w:cs="Calibri"/>
          <w:sz w:val="23"/>
          <w:szCs w:val="23"/>
          <w:lang w:eastAsia="en-US" w:bidi="ru-RU"/>
        </w:rPr>
      </w:r>
      <w:r>
        <w:rPr>
          <w:rFonts w:ascii="Arial Narrow" w:hAnsi="Arial Narrow" w:eastAsia="Arial" w:cs="Calibri"/>
          <w:sz w:val="23"/>
          <w:szCs w:val="23"/>
          <w:lang w:eastAsia="en-US" w:bidi="ru-RU"/>
        </w:rPr>
      </w:r>
    </w:p>
    <w:p>
      <w:pPr>
        <w:pStyle w:val="1140"/>
        <w:ind w:firstLine="0"/>
        <w:spacing w:line="276" w:lineRule="auto"/>
        <w:tabs>
          <w:tab w:val="left" w:pos="719" w:leader="none"/>
        </w:tabs>
        <w:rPr>
          <w:rFonts w:ascii="Arial Narrow" w:hAnsi="Arial Narrow" w:eastAsia="Arial" w:cs="Calibri"/>
          <w:sz w:val="23"/>
          <w:szCs w:val="23"/>
          <w:lang w:eastAsia="en-US" w:bidi="ru-RU"/>
        </w:rPr>
      </w:pPr>
      <w:r>
        <w:rPr>
          <w:rFonts w:ascii="Arial Narrow" w:hAnsi="Arial Narrow" w:eastAsia="Arial" w:cs="Calibri"/>
          <w:sz w:val="23"/>
          <w:szCs w:val="23"/>
          <w:lang w:eastAsia="en-US" w:bidi="ru-RU"/>
        </w:rPr>
      </w:r>
      <w:r>
        <w:rPr>
          <w:rFonts w:ascii="Arial Narrow" w:hAnsi="Arial Narrow" w:eastAsia="Arial" w:cs="Calibri"/>
          <w:sz w:val="23"/>
          <w:szCs w:val="23"/>
          <w:lang w:eastAsia="en-US" w:bidi="ru-RU"/>
        </w:rPr>
      </w:r>
      <w:r>
        <w:rPr>
          <w:rFonts w:ascii="Arial Narrow" w:hAnsi="Arial Narrow" w:eastAsia="Arial" w:cs="Calibri"/>
          <w:sz w:val="23"/>
          <w:szCs w:val="23"/>
          <w:lang w:eastAsia="en-US" w:bidi="ru-RU"/>
        </w:rPr>
      </w:r>
    </w:p>
    <w:p>
      <w:pPr>
        <w:pStyle w:val="1140"/>
        <w:ind w:firstLine="0"/>
        <w:spacing w:line="276" w:lineRule="auto"/>
        <w:tabs>
          <w:tab w:val="left" w:pos="719" w:leader="none"/>
        </w:tabs>
        <w:rPr>
          <w:rFonts w:ascii="Arial Narrow" w:hAnsi="Arial Narrow" w:eastAsia="Arial" w:cs="Calibri"/>
          <w:sz w:val="23"/>
          <w:szCs w:val="23"/>
          <w:lang w:eastAsia="en-US" w:bidi="ru-RU"/>
        </w:rPr>
      </w:pPr>
      <w:r>
        <w:rPr>
          <w:rFonts w:ascii="Arial Narrow" w:hAnsi="Arial Narrow" w:eastAsia="Arial" w:cs="Calibri"/>
          <w:sz w:val="23"/>
          <w:szCs w:val="23"/>
          <w:lang w:eastAsia="en-US" w:bidi="ru-RU"/>
        </w:rPr>
      </w:r>
      <w:r>
        <w:rPr>
          <w:rFonts w:ascii="Arial Narrow" w:hAnsi="Arial Narrow" w:eastAsia="Arial" w:cs="Calibri"/>
          <w:sz w:val="23"/>
          <w:szCs w:val="23"/>
          <w:lang w:eastAsia="en-US" w:bidi="ru-RU"/>
        </w:rPr>
      </w:r>
      <w:r>
        <w:rPr>
          <w:rFonts w:ascii="Arial Narrow" w:hAnsi="Arial Narrow" w:eastAsia="Arial" w:cs="Calibri"/>
          <w:sz w:val="23"/>
          <w:szCs w:val="23"/>
          <w:lang w:eastAsia="en-US" w:bidi="ru-RU"/>
        </w:rPr>
      </w:r>
    </w:p>
    <w:p>
      <w:pPr>
        <w:pStyle w:val="1140"/>
        <w:ind w:firstLine="0"/>
        <w:spacing w:line="276" w:lineRule="auto"/>
        <w:tabs>
          <w:tab w:val="left" w:pos="719" w:leader="none"/>
        </w:tabs>
        <w:rPr>
          <w:rFonts w:ascii="Arial Narrow" w:hAnsi="Arial Narrow" w:eastAsia="Arial" w:cs="Calibri"/>
          <w:sz w:val="23"/>
          <w:szCs w:val="23"/>
          <w:lang w:eastAsia="en-US" w:bidi="ru-RU"/>
        </w:rPr>
      </w:pPr>
      <w:r>
        <w:rPr>
          <w:rFonts w:ascii="Arial Narrow" w:hAnsi="Arial Narrow" w:eastAsia="Arial" w:cs="Calibri"/>
          <w:sz w:val="23"/>
          <w:szCs w:val="23"/>
          <w:lang w:eastAsia="en-US" w:bidi="ru-RU"/>
        </w:rPr>
      </w:r>
      <w:r>
        <w:rPr>
          <w:rFonts w:ascii="Arial Narrow" w:hAnsi="Arial Narrow" w:eastAsia="Arial" w:cs="Calibri"/>
          <w:sz w:val="23"/>
          <w:szCs w:val="23"/>
          <w:lang w:eastAsia="en-US" w:bidi="ru-RU"/>
        </w:rPr>
      </w:r>
      <w:r>
        <w:rPr>
          <w:rFonts w:ascii="Arial Narrow" w:hAnsi="Arial Narrow" w:eastAsia="Arial" w:cs="Calibri"/>
          <w:sz w:val="23"/>
          <w:szCs w:val="23"/>
          <w:lang w:eastAsia="en-US" w:bidi="ru-RU"/>
        </w:rPr>
      </w:r>
    </w:p>
    <w:p>
      <w:pPr>
        <w:pStyle w:val="1140"/>
        <w:ind w:firstLine="0"/>
        <w:spacing w:line="276" w:lineRule="auto"/>
        <w:tabs>
          <w:tab w:val="left" w:pos="719" w:leader="none"/>
        </w:tabs>
        <w:rPr>
          <w:rFonts w:ascii="Arial Narrow" w:hAnsi="Arial Narrow" w:eastAsia="Arial" w:cs="Calibri"/>
          <w:sz w:val="23"/>
          <w:szCs w:val="23"/>
          <w:lang w:eastAsia="en-US" w:bidi="ru-RU"/>
        </w:rPr>
      </w:pPr>
      <w:r>
        <w:rPr>
          <w:rFonts w:ascii="Arial Narrow" w:hAnsi="Arial Narrow" w:eastAsia="Arial" w:cs="Calibri"/>
          <w:sz w:val="23"/>
          <w:szCs w:val="23"/>
          <w:lang w:eastAsia="en-US" w:bidi="ru-RU"/>
        </w:rPr>
      </w:r>
      <w:r>
        <w:rPr>
          <w:rFonts w:ascii="Arial Narrow" w:hAnsi="Arial Narrow" w:eastAsia="Arial" w:cs="Calibri"/>
          <w:sz w:val="23"/>
          <w:szCs w:val="23"/>
          <w:lang w:eastAsia="en-US" w:bidi="ru-RU"/>
        </w:rPr>
      </w:r>
      <w:r>
        <w:rPr>
          <w:rFonts w:ascii="Arial Narrow" w:hAnsi="Arial Narrow" w:eastAsia="Arial" w:cs="Calibri"/>
          <w:sz w:val="23"/>
          <w:szCs w:val="23"/>
          <w:lang w:eastAsia="en-US" w:bidi="ru-RU"/>
        </w:rPr>
      </w:r>
    </w:p>
    <w:p>
      <w:pPr>
        <w:pStyle w:val="1140"/>
        <w:ind w:firstLine="0"/>
        <w:spacing w:line="276" w:lineRule="auto"/>
        <w:tabs>
          <w:tab w:val="left" w:pos="719" w:leader="none"/>
        </w:tabs>
        <w:rPr>
          <w:rFonts w:ascii="Arial Narrow" w:hAnsi="Arial Narrow" w:eastAsia="Arial" w:cs="Calibri"/>
          <w:sz w:val="23"/>
          <w:szCs w:val="23"/>
          <w:lang w:eastAsia="en-US" w:bidi="ru-RU"/>
        </w:rPr>
      </w:pPr>
      <w:r>
        <w:rPr>
          <w:rFonts w:ascii="Arial Narrow" w:hAnsi="Arial Narrow" w:eastAsia="Arial" w:cs="Calibri"/>
          <w:sz w:val="23"/>
          <w:szCs w:val="23"/>
          <w:lang w:eastAsia="en-US" w:bidi="ru-RU"/>
        </w:rPr>
      </w:r>
      <w:r>
        <w:rPr>
          <w:rFonts w:ascii="Arial Narrow" w:hAnsi="Arial Narrow" w:eastAsia="Arial" w:cs="Calibri"/>
          <w:sz w:val="23"/>
          <w:szCs w:val="23"/>
          <w:lang w:eastAsia="en-US" w:bidi="ru-RU"/>
        </w:rPr>
      </w:r>
      <w:r>
        <w:rPr>
          <w:rFonts w:ascii="Arial Narrow" w:hAnsi="Arial Narrow" w:eastAsia="Arial" w:cs="Calibri"/>
          <w:sz w:val="23"/>
          <w:szCs w:val="23"/>
          <w:lang w:eastAsia="en-US" w:bidi="ru-RU"/>
        </w:rPr>
      </w:r>
    </w:p>
    <w:p>
      <w:pPr>
        <w:pStyle w:val="1140"/>
        <w:ind w:firstLine="0"/>
        <w:spacing w:line="276" w:lineRule="auto"/>
        <w:tabs>
          <w:tab w:val="left" w:pos="719" w:leader="none"/>
        </w:tabs>
        <w:rPr>
          <w:rFonts w:ascii="Arial Narrow" w:hAnsi="Arial Narrow" w:eastAsia="Arial" w:cs="Calibri"/>
          <w:sz w:val="23"/>
          <w:szCs w:val="23"/>
          <w:lang w:eastAsia="en-US" w:bidi="ru-RU"/>
        </w:rPr>
      </w:pPr>
      <w:r>
        <w:rPr>
          <w:rFonts w:ascii="Arial Narrow" w:hAnsi="Arial Narrow" w:eastAsia="Arial" w:cs="Calibri"/>
          <w:sz w:val="23"/>
          <w:szCs w:val="23"/>
          <w:lang w:eastAsia="en-US" w:bidi="ru-RU"/>
        </w:rPr>
      </w:r>
      <w:r>
        <w:rPr>
          <w:rFonts w:ascii="Arial Narrow" w:hAnsi="Arial Narrow" w:eastAsia="Arial" w:cs="Calibri"/>
          <w:sz w:val="23"/>
          <w:szCs w:val="23"/>
          <w:lang w:eastAsia="en-US" w:bidi="ru-RU"/>
        </w:rPr>
      </w:r>
      <w:r>
        <w:rPr>
          <w:rFonts w:ascii="Arial Narrow" w:hAnsi="Arial Narrow" w:eastAsia="Arial" w:cs="Calibri"/>
          <w:sz w:val="23"/>
          <w:szCs w:val="23"/>
          <w:lang w:eastAsia="en-US" w:bidi="ru-RU"/>
        </w:rPr>
      </w:r>
    </w:p>
    <w:p>
      <w:pPr>
        <w:pStyle w:val="1140"/>
        <w:ind w:firstLine="0"/>
        <w:spacing w:line="276" w:lineRule="auto"/>
        <w:tabs>
          <w:tab w:val="left" w:pos="719" w:leader="none"/>
        </w:tabs>
        <w:rPr>
          <w:rFonts w:ascii="Arial Narrow" w:hAnsi="Arial Narrow" w:eastAsia="Arial" w:cs="Calibri"/>
          <w:sz w:val="23"/>
          <w:szCs w:val="23"/>
          <w:lang w:eastAsia="en-US" w:bidi="ru-RU"/>
        </w:rPr>
      </w:pPr>
      <w:r>
        <w:rPr>
          <w:rFonts w:ascii="Arial Narrow" w:hAnsi="Arial Narrow" w:eastAsia="Arial" w:cs="Calibri"/>
          <w:sz w:val="23"/>
          <w:szCs w:val="23"/>
          <w:lang w:eastAsia="en-US" w:bidi="ru-RU"/>
        </w:rPr>
      </w:r>
      <w:r>
        <w:rPr>
          <w:rFonts w:ascii="Arial Narrow" w:hAnsi="Arial Narrow" w:eastAsia="Arial" w:cs="Calibri"/>
          <w:sz w:val="23"/>
          <w:szCs w:val="23"/>
          <w:lang w:eastAsia="en-US" w:bidi="ru-RU"/>
        </w:rPr>
      </w:r>
      <w:r>
        <w:rPr>
          <w:rFonts w:ascii="Arial Narrow" w:hAnsi="Arial Narrow" w:eastAsia="Arial" w:cs="Calibri"/>
          <w:sz w:val="23"/>
          <w:szCs w:val="23"/>
          <w:lang w:eastAsia="en-US" w:bidi="ru-RU"/>
        </w:rPr>
      </w:r>
    </w:p>
    <w:p>
      <w:pPr>
        <w:pStyle w:val="1140"/>
        <w:ind w:firstLine="0"/>
        <w:spacing w:line="276" w:lineRule="auto"/>
        <w:tabs>
          <w:tab w:val="left" w:pos="719" w:leader="none"/>
        </w:tabs>
        <w:rPr>
          <w:rFonts w:ascii="Arial Narrow" w:hAnsi="Arial Narrow" w:eastAsia="Arial" w:cs="Calibri"/>
          <w:sz w:val="23"/>
          <w:szCs w:val="23"/>
          <w:lang w:eastAsia="en-US" w:bidi="ru-RU"/>
        </w:rPr>
      </w:pPr>
      <w:r>
        <w:rPr>
          <w:rFonts w:ascii="Arial Narrow" w:hAnsi="Arial Narrow" w:eastAsia="Arial" w:cs="Calibri"/>
          <w:sz w:val="23"/>
          <w:szCs w:val="23"/>
          <w:lang w:eastAsia="en-US" w:bidi="ru-RU"/>
        </w:rPr>
      </w:r>
      <w:r>
        <w:rPr>
          <w:rFonts w:ascii="Arial Narrow" w:hAnsi="Arial Narrow" w:eastAsia="Arial" w:cs="Calibri"/>
          <w:sz w:val="23"/>
          <w:szCs w:val="23"/>
          <w:lang w:eastAsia="en-US" w:bidi="ru-RU"/>
        </w:rPr>
      </w:r>
      <w:r>
        <w:rPr>
          <w:rFonts w:ascii="Arial Narrow" w:hAnsi="Arial Narrow" w:eastAsia="Arial" w:cs="Calibri"/>
          <w:sz w:val="23"/>
          <w:szCs w:val="23"/>
          <w:lang w:eastAsia="en-US" w:bidi="ru-RU"/>
        </w:rPr>
      </w:r>
    </w:p>
    <w:p>
      <w:pPr>
        <w:rPr>
          <w:rFonts w:ascii="Arial Narrow" w:hAnsi="Arial Narrow" w:eastAsia="Arial" w:cs="Calibri"/>
          <w:sz w:val="23"/>
          <w:szCs w:val="23"/>
          <w:lang w:eastAsia="en-US" w:bidi="ru-RU"/>
        </w:rPr>
      </w:pPr>
      <w:r>
        <w:br w:type="page" w:clear="all"/>
      </w:r>
      <w:r>
        <w:rPr>
          <w:rFonts w:ascii="Arial Narrow" w:hAnsi="Arial Narrow" w:eastAsia="Arial" w:cs="Calibri"/>
          <w:sz w:val="23"/>
          <w:szCs w:val="23"/>
          <w:lang w:eastAsia="en-US" w:bidi="ru-RU"/>
        </w:rPr>
      </w:r>
      <w:r>
        <w:rPr>
          <w:rFonts w:ascii="Arial Narrow" w:hAnsi="Arial Narrow" w:eastAsia="Arial" w:cs="Calibri"/>
          <w:sz w:val="23"/>
          <w:szCs w:val="23"/>
          <w:lang w:eastAsia="en-US" w:bidi="ru-RU"/>
        </w:rPr>
      </w:r>
    </w:p>
    <w:p>
      <w:pPr>
        <w:pStyle w:val="762"/>
        <w:jc w:val="center"/>
        <w:keepLines w:val="0"/>
        <w:spacing w:before="0" w:after="0" w:line="276" w:lineRule="auto"/>
        <w:rPr>
          <w:rFonts w:ascii="Arial Narrow" w:hAnsi="Arial Narrow" w:eastAsiaTheme="majorEastAsia" w:cstheme="minorHAnsi"/>
          <w:color w:val="314e87"/>
          <w:lang w:eastAsia="en-US"/>
        </w:rPr>
      </w:pPr>
      <w:r/>
      <w:bookmarkStart w:id="7" w:name="_Toc69120996"/>
      <w:r/>
      <w:bookmarkStart w:id="8" w:name="_Toc68861829"/>
      <w:r/>
      <w:bookmarkStart w:id="9" w:name="_Toc193883478"/>
      <w:r/>
      <w:bookmarkStart w:id="10" w:name="_Toc196126979"/>
      <w:r>
        <w:rPr>
          <w:rFonts w:ascii="Arial Narrow" w:hAnsi="Arial Narrow" w:eastAsiaTheme="majorEastAsia" w:cstheme="minorHAnsi"/>
          <w:b/>
          <w:color w:val="314e87"/>
          <w:sz w:val="28"/>
          <w:szCs w:val="28"/>
          <w:lang w:eastAsia="en-US"/>
        </w:rPr>
        <w:t xml:space="preserve">Раздел 1. </w:t>
      </w:r>
      <w:bookmarkEnd w:id="7"/>
      <w:r/>
      <w:bookmarkEnd w:id="8"/>
      <w:r>
        <w:rPr>
          <w:rFonts w:ascii="Arial Narrow" w:hAnsi="Arial Narrow" w:eastAsiaTheme="majorEastAsia" w:cstheme="minorHAnsi"/>
          <w:b/>
          <w:color w:val="314e87"/>
          <w:sz w:val="28"/>
          <w:szCs w:val="28"/>
          <w:lang w:eastAsia="en-US"/>
        </w:rPr>
        <w:t xml:space="preserve">ОБЩАЯ ИНФОРМАЦИЯ ОБ ОБЩЕСТВЕ</w:t>
      </w:r>
      <w:bookmarkEnd w:id="9"/>
      <w:r/>
      <w:bookmarkEnd w:id="10"/>
      <w:r>
        <w:rPr>
          <w:rFonts w:ascii="Arial Narrow" w:hAnsi="Arial Narrow" w:eastAsiaTheme="majorEastAsia" w:cstheme="minorHAnsi"/>
          <w:color w:val="314e87"/>
          <w:lang w:eastAsia="en-US"/>
        </w:rPr>
      </w:r>
      <w:r>
        <w:rPr>
          <w:rFonts w:ascii="Arial Narrow" w:hAnsi="Arial Narrow" w:eastAsiaTheme="majorEastAsia" w:cstheme="minorHAnsi"/>
          <w:color w:val="314e87"/>
          <w:lang w:eastAsia="en-US"/>
        </w:rPr>
      </w:r>
    </w:p>
    <w:p>
      <w:pPr>
        <w:pStyle w:val="1065"/>
        <w:spacing w:before="0" w:after="0"/>
        <w:rPr>
          <w:sz w:val="16"/>
          <w:szCs w:val="16"/>
        </w:rPr>
      </w:pPr>
      <w:r>
        <w:rPr>
          <w:sz w:val="16"/>
          <w:szCs w:val="16"/>
        </w:rPr>
      </w:r>
      <w:r>
        <w:rPr>
          <w:sz w:val="16"/>
          <w:szCs w:val="16"/>
        </w:rPr>
      </w:r>
      <w:r>
        <w:rPr>
          <w:sz w:val="16"/>
          <w:szCs w:val="16"/>
        </w:rPr>
      </w:r>
    </w:p>
    <w:p>
      <w:pPr>
        <w:pStyle w:val="763"/>
        <w:numPr>
          <w:ilvl w:val="1"/>
          <w:numId w:val="1"/>
        </w:numPr>
        <w:jc w:val="both"/>
        <w:keepLines/>
        <w:spacing w:after="0" w:line="276" w:lineRule="auto"/>
        <w:tabs>
          <w:tab w:val="clear" w:pos="0" w:leader="none"/>
        </w:tabs>
        <w:rPr>
          <w:rFonts w:ascii="Arial Narrow" w:hAnsi="Arial Narrow" w:eastAsiaTheme="majorEastAsia" w:cstheme="minorHAnsi"/>
          <w:b/>
          <w:color w:val="314e87"/>
          <w:sz w:val="24"/>
          <w:szCs w:val="24"/>
          <w:lang w:eastAsia="en-US" w:bidi="ru-RU"/>
        </w:rPr>
      </w:pPr>
      <w:r/>
      <w:bookmarkStart w:id="11" w:name="_Toc69120997"/>
      <w:r/>
      <w:bookmarkStart w:id="12" w:name="_Toc68861830"/>
      <w:r/>
      <w:bookmarkStart w:id="13" w:name="_Toc193883479"/>
      <w:r/>
      <w:bookmarkStart w:id="14" w:name="_Toc196126980"/>
      <w:r>
        <w:rPr>
          <w:rFonts w:ascii="Arial Narrow" w:hAnsi="Arial Narrow" w:eastAsiaTheme="majorEastAsia" w:cstheme="minorHAnsi"/>
          <w:b/>
          <w:color w:val="314e87"/>
          <w:sz w:val="24"/>
          <w:szCs w:val="24"/>
          <w:lang w:eastAsia="en-US" w:bidi="ru-RU"/>
        </w:rPr>
        <w:t xml:space="preserve">Об Обществе и его положении в отрасли</w:t>
      </w:r>
      <w:bookmarkEnd w:id="11"/>
      <w:r/>
      <w:bookmarkEnd w:id="12"/>
      <w:r/>
      <w:bookmarkEnd w:id="13"/>
      <w:r/>
      <w:bookmarkEnd w:id="14"/>
      <w:r>
        <w:rPr>
          <w:rFonts w:ascii="Arial Narrow" w:hAnsi="Arial Narrow" w:eastAsiaTheme="majorEastAsia" w:cstheme="minorHAnsi"/>
          <w:b/>
          <w:color w:val="314e87"/>
          <w:sz w:val="24"/>
          <w:szCs w:val="24"/>
          <w:lang w:eastAsia="en-US" w:bidi="ru-RU"/>
        </w:rPr>
      </w:r>
      <w:r>
        <w:rPr>
          <w:rFonts w:ascii="Arial Narrow" w:hAnsi="Arial Narrow" w:eastAsiaTheme="majorEastAsia" w:cstheme="minorHAnsi"/>
          <w:b/>
          <w:color w:val="314e87"/>
          <w:sz w:val="24"/>
          <w:szCs w:val="24"/>
          <w:lang w:eastAsia="en-US" w:bidi="ru-RU"/>
        </w:rPr>
      </w:r>
    </w:p>
    <w:p>
      <w:pPr>
        <w:pStyle w:val="1063"/>
        <w:jc w:val="both"/>
        <w:tabs>
          <w:tab w:val="left" w:pos="709" w:leader="none"/>
        </w:tabs>
        <w:rPr>
          <w:rFonts w:ascii="Arial Narrow" w:hAnsi="Arial Narrow" w:cs="Calibri"/>
          <w:bCs/>
          <w:color w:val="314e87"/>
          <w:sz w:val="12"/>
          <w:szCs w:val="12"/>
          <w:lang w:bidi="ru-RU"/>
        </w:rPr>
      </w:pPr>
      <w:r>
        <w:rPr>
          <w:rFonts w:ascii="Arial Narrow" w:hAnsi="Arial Narrow" w:cs="Calibri"/>
          <w:bCs/>
          <w:color w:val="314e87"/>
          <w:sz w:val="12"/>
          <w:szCs w:val="12"/>
          <w:lang w:bidi="ru-RU"/>
        </w:rPr>
      </w:r>
      <w:r>
        <w:rPr>
          <w:rFonts w:ascii="Arial Narrow" w:hAnsi="Arial Narrow" w:cs="Calibri"/>
          <w:bCs/>
          <w:color w:val="314e87"/>
          <w:sz w:val="12"/>
          <w:szCs w:val="12"/>
          <w:lang w:bidi="ru-RU"/>
        </w:rPr>
      </w:r>
      <w:r>
        <w:rPr>
          <w:rFonts w:ascii="Arial Narrow" w:hAnsi="Arial Narrow" w:cs="Calibri"/>
          <w:bCs/>
          <w:color w:val="314e87"/>
          <w:sz w:val="12"/>
          <w:szCs w:val="12"/>
          <w:lang w:bidi="ru-RU"/>
        </w:rPr>
      </w:r>
    </w:p>
    <w:p>
      <w:pPr>
        <w:pStyle w:val="1063"/>
        <w:jc w:val="both"/>
        <w:spacing w:after="120"/>
        <w:tabs>
          <w:tab w:val="left" w:pos="709" w:leader="none"/>
        </w:tabs>
        <w:rPr>
          <w:b/>
        </w:rPr>
      </w:pPr>
      <w:r>
        <w:rPr>
          <w:rFonts w:ascii="Arial Narrow" w:hAnsi="Arial Narrow" w:eastAsia="Calibri" w:cs="Calibri"/>
          <w:b/>
          <w:iCs/>
          <w:color w:val="314e87"/>
          <w:lang w:eastAsia="ja-JP" w:bidi="ru-RU"/>
        </w:rPr>
        <w:t xml:space="preserve">Краткая история Общества</w:t>
      </w:r>
      <w:r>
        <w:rPr>
          <w:b/>
        </w:rPr>
      </w:r>
      <w:r>
        <w:rPr>
          <w:b/>
        </w:rPr>
      </w:r>
    </w:p>
    <w:p>
      <w:pPr>
        <w:pStyle w:val="1063"/>
        <w:ind w:firstLine="567"/>
        <w:jc w:val="both"/>
        <w:rPr>
          <w:rFonts w:ascii="Arial Narrow" w:hAnsi="Arial Narrow" w:cs="Calibri"/>
          <w:lang w:bidi="ru-RU"/>
        </w:rPr>
      </w:pPr>
      <w:r>
        <w:rPr>
          <w:rFonts w:ascii="Arial Narrow" w:hAnsi="Arial Narrow" w:cs="Calibri"/>
          <w:lang w:bidi="ru-RU"/>
        </w:rPr>
        <w:t xml:space="preserve">Районное энергетическое управление «Камчатскэнерго» было с</w:t>
      </w:r>
      <w:r>
        <w:rPr>
          <w:rFonts w:ascii="Arial Narrow" w:hAnsi="Arial Narrow" w:cs="Calibri"/>
          <w:lang w:bidi="ru-RU"/>
        </w:rPr>
        <w:t xml:space="preserve">оздано в 1 апреля 1964 году с целью централизации управления существующими энергообъектами Камчатки, которые на тот момент включали в себя пять энергопоездов, две паротурбинные электростанции и более десяти дизельных электростанций, общей мощностью 22 МВт.</w:t>
      </w:r>
      <w:r>
        <w:rPr>
          <w:rFonts w:ascii="Arial Narrow" w:hAnsi="Arial Narrow" w:cs="Calibri"/>
          <w:lang w:bidi="ru-RU"/>
        </w:rPr>
      </w:r>
      <w:r>
        <w:rPr>
          <w:rFonts w:ascii="Arial Narrow" w:hAnsi="Arial Narrow" w:cs="Calibri"/>
          <w:lang w:bidi="ru-RU"/>
        </w:rPr>
      </w:r>
    </w:p>
    <w:p>
      <w:pPr>
        <w:pStyle w:val="1063"/>
        <w:ind w:firstLine="567"/>
        <w:jc w:val="both"/>
        <w:rPr>
          <w:rFonts w:ascii="Arial Narrow" w:hAnsi="Arial Narrow" w:cs="Calibri"/>
          <w:lang w:bidi="ru-RU"/>
        </w:rPr>
      </w:pPr>
      <w:r>
        <w:rPr>
          <w:rFonts w:ascii="Arial Narrow" w:hAnsi="Arial Narrow" w:cs="Calibri"/>
          <w:lang w:bidi="ru-RU"/>
        </w:rPr>
        <w:t xml:space="preserve">В сентябре 1964 года было начато строительство первой крупной электростанции на Камчатке — Камчатской ТЭЦ-1. Первый пусковой комплекс станции был введен в эксплуатацию 30 мая 1965 года, в 1980 году Камчатская ТЭЦ-1 вышла на проектную мощность.</w:t>
      </w:r>
      <w:r>
        <w:rPr>
          <w:rFonts w:ascii="Arial Narrow" w:hAnsi="Arial Narrow" w:cs="Calibri"/>
          <w:lang w:bidi="ru-RU"/>
        </w:rPr>
      </w:r>
      <w:r>
        <w:rPr>
          <w:rFonts w:ascii="Arial Narrow" w:hAnsi="Arial Narrow" w:cs="Calibri"/>
          <w:lang w:bidi="ru-RU"/>
        </w:rPr>
      </w:r>
    </w:p>
    <w:p>
      <w:pPr>
        <w:pStyle w:val="1063"/>
        <w:ind w:firstLine="567"/>
        <w:jc w:val="both"/>
        <w:rPr>
          <w:rFonts w:ascii="Arial Narrow" w:hAnsi="Arial Narrow" w:cs="Calibri"/>
          <w:lang w:bidi="ru-RU"/>
        </w:rPr>
      </w:pPr>
      <w:r>
        <w:rPr>
          <w:rFonts w:ascii="Arial Narrow" w:hAnsi="Arial Narrow" w:cs="Calibri"/>
          <w:lang w:bidi="ru-RU"/>
        </w:rPr>
        <w:t xml:space="preserve">К началу 1980-х годов мощностей Камчатской ТЭЦ-1 для энергоснабжения Центрального энергорайона Камчатки стало не хватать. Изначально рассматривался проект строительства атомной электростан</w:t>
      </w:r>
      <w:r>
        <w:rPr>
          <w:rFonts w:ascii="Arial Narrow" w:hAnsi="Arial Narrow" w:cs="Calibri"/>
          <w:lang w:bidi="ru-RU"/>
        </w:rPr>
        <w:t xml:space="preserve">ции, но в итоге предпочтение было отдано возведению ещё одной тепловой электростанции. Подготовительные работы по строительству Камчатской ТЭЦ-2 были начаты в 1978 году, первый турбоагрегат ТЭЦ-2 был введен в эксплуатацию в 1985 году, второй — в 1987 году.</w:t>
      </w:r>
      <w:r>
        <w:rPr>
          <w:rFonts w:ascii="Arial Narrow" w:hAnsi="Arial Narrow" w:cs="Calibri"/>
          <w:lang w:bidi="ru-RU"/>
        </w:rPr>
      </w:r>
      <w:r>
        <w:rPr>
          <w:rFonts w:ascii="Arial Narrow" w:hAnsi="Arial Narrow" w:cs="Calibri"/>
          <w:lang w:bidi="ru-RU"/>
        </w:rPr>
      </w:r>
    </w:p>
    <w:p>
      <w:pPr>
        <w:pStyle w:val="1063"/>
        <w:ind w:firstLine="567"/>
        <w:jc w:val="both"/>
        <w:rPr>
          <w:rFonts w:ascii="Arial Narrow" w:hAnsi="Arial Narrow" w:cs="Calibri"/>
          <w:lang w:bidi="ru-RU"/>
        </w:rPr>
      </w:pPr>
      <w:r>
        <w:rPr>
          <w:rFonts w:ascii="Arial Narrow" w:hAnsi="Arial Narrow" w:cs="Calibri"/>
          <w:lang w:bidi="ru-RU"/>
        </w:rPr>
        <w:t xml:space="preserve">В начале 1990-х годов зависимая от привозного мазута энергетик</w:t>
      </w:r>
      <w:r>
        <w:rPr>
          <w:rFonts w:ascii="Arial Narrow" w:hAnsi="Arial Narrow" w:cs="Calibri"/>
          <w:lang w:bidi="ru-RU"/>
        </w:rPr>
        <w:t xml:space="preserve">а Камчатки вступила в перманентный кризис, связанный с высокой стоимостью топлива и хроническими неплатежами потребителей. Было принято решение переориентировать энергетику региона на местные ресурсы — природный газ, геотермальную и гидравлическую энергию.</w:t>
      </w:r>
      <w:r>
        <w:rPr>
          <w:rFonts w:ascii="Arial Narrow" w:hAnsi="Arial Narrow" w:cs="Calibri"/>
          <w:lang w:bidi="ru-RU"/>
        </w:rPr>
      </w:r>
      <w:r>
        <w:rPr>
          <w:rFonts w:ascii="Arial Narrow" w:hAnsi="Arial Narrow" w:cs="Calibri"/>
          <w:lang w:bidi="ru-RU"/>
        </w:rPr>
      </w:r>
    </w:p>
    <w:p>
      <w:pPr>
        <w:pStyle w:val="1063"/>
        <w:ind w:firstLine="567"/>
        <w:jc w:val="both"/>
        <w:rPr>
          <w:rFonts w:ascii="Arial Narrow" w:hAnsi="Arial Narrow" w:cs="Calibri"/>
          <w:lang w:bidi="ru-RU"/>
        </w:rPr>
      </w:pPr>
      <w:r>
        <w:rPr>
          <w:rFonts w:ascii="Arial Narrow" w:hAnsi="Arial Narrow" w:cs="Calibri"/>
          <w:lang w:bidi="ru-RU"/>
        </w:rPr>
        <w:t xml:space="preserve">Публичное акционерное общество энергетики и электрификации ПАО «Камчатскэнерго» (д</w:t>
      </w:r>
      <w:r>
        <w:rPr>
          <w:rFonts w:ascii="Arial Narrow" w:hAnsi="Arial Narrow" w:cs="Calibri"/>
          <w:lang w:bidi="ru-RU"/>
        </w:rPr>
        <w:t xml:space="preserve">алее – ПАО «Камчатскэнерго», Общество) учреждено в соответствии с Указами Президента Российской Федерации от 14.08.1992 № 922 «Об особенностях преобразования государственных предприятий, объединений, организаций топливно-энергетического комплекса в акционе</w:t>
      </w:r>
      <w:r>
        <w:rPr>
          <w:rFonts w:ascii="Arial Narrow" w:hAnsi="Arial Narrow" w:cs="Calibri"/>
          <w:lang w:bidi="ru-RU"/>
        </w:rPr>
        <w:t xml:space="preserve">рные общества», от 15.08.1992 № 923 «Об организации управления электроэнергетическим комплексом Российской Федерации в условиях приватизации», от 05.11.1992 № 1334 «О реализации в электроэнергетической промышленности Указа Президента Российской Федерации о</w:t>
      </w:r>
      <w:r>
        <w:rPr>
          <w:rFonts w:ascii="Arial Narrow" w:hAnsi="Arial Narrow" w:cs="Calibri"/>
          <w:lang w:bidi="ru-RU"/>
        </w:rPr>
        <w:t xml:space="preserve">т 14.08.1992 № 922 «Об особенностях преобразования государственных предприятий, объединений, организаций топливно-энергетического комплекса в акционерные общества», от 16.11.1992 № 1392 «О мерах по реализации промышленной политики при приватизации государс</w:t>
      </w:r>
      <w:r>
        <w:rPr>
          <w:rFonts w:ascii="Arial Narrow" w:hAnsi="Arial Narrow" w:cs="Calibri"/>
          <w:lang w:bidi="ru-RU"/>
        </w:rPr>
        <w:t xml:space="preserve">твенных предприятий», от 01.07.1992 № 721 «Об организационных мерах по преобразованию государственных предприятий, добровольных объединений государственных предприятий в акционерные общества», Гражданским кодексом Российской Федерации, Федеральным законом </w:t>
      </w:r>
      <w:r>
        <w:rPr>
          <w:rFonts w:ascii="Arial Narrow" w:hAnsi="Arial Narrow" w:cs="Calibri"/>
          <w:lang w:bidi="ru-RU"/>
        </w:rPr>
        <w:br/>
        <w:t xml:space="preserve">«Об акционерных обществах», иными нормативными правовыми актами Российской Федерации. В своей деятельности Общество руководствуется законодательством Российской Федерации и Уставом Общества.</w:t>
      </w:r>
      <w:r>
        <w:rPr>
          <w:rFonts w:ascii="Arial Narrow" w:hAnsi="Arial Narrow" w:cs="Calibri"/>
          <w:lang w:bidi="ru-RU"/>
        </w:rPr>
      </w:r>
      <w:r>
        <w:rPr>
          <w:rFonts w:ascii="Arial Narrow" w:hAnsi="Arial Narrow" w:cs="Calibri"/>
          <w:lang w:bidi="ru-RU"/>
        </w:rPr>
      </w:r>
    </w:p>
    <w:p>
      <w:pPr>
        <w:pStyle w:val="1063"/>
        <w:ind w:firstLine="567"/>
        <w:jc w:val="both"/>
      </w:pPr>
      <w:r>
        <w:rPr>
          <w:rFonts w:ascii="Arial Narrow" w:hAnsi="Arial Narrow" w:cs="Calibri"/>
          <w:lang w:bidi="ru-RU"/>
        </w:rPr>
        <w:t xml:space="preserve">ПАО «Камчатскэнерго» является основным поставщиком электрической энергии на территории Камчатского края, а также вырабатывает более половины тепловой энергии для нужд г. Петропавловска-Камчатского.</w:t>
      </w:r>
      <w:r/>
    </w:p>
    <w:p>
      <w:pPr>
        <w:pStyle w:val="1063"/>
        <w:ind w:firstLine="567"/>
        <w:jc w:val="both"/>
      </w:pPr>
      <w:r>
        <w:rPr>
          <w:rFonts w:ascii="Arial Narrow" w:hAnsi="Arial Narrow" w:cs="Calibri"/>
          <w:lang w:bidi="ru-RU"/>
        </w:rPr>
        <w:t xml:space="preserve">Общество входит в Группу РусГидро.</w:t>
      </w:r>
      <w:r/>
    </w:p>
    <w:p>
      <w:pPr>
        <w:pStyle w:val="1063"/>
        <w:ind w:firstLine="567"/>
        <w:jc w:val="both"/>
      </w:pPr>
      <w:r>
        <w:rPr>
          <w:rFonts w:ascii="Arial Narrow" w:hAnsi="Arial Narrow" w:cs="Calibri"/>
          <w:lang w:bidi="ru-RU"/>
        </w:rPr>
        <w:t xml:space="preserve">ПАО «РусГидро» владеет 28,06 % обыкновенных акций ПАО «Камчатскэнерго».</w:t>
      </w:r>
      <w:r/>
    </w:p>
    <w:p>
      <w:pPr>
        <w:pStyle w:val="1063"/>
        <w:ind w:firstLine="567"/>
        <w:jc w:val="both"/>
      </w:pPr>
      <w:r>
        <w:rPr>
          <w:rFonts w:ascii="Arial Narrow" w:hAnsi="Arial Narrow" w:cs="Calibri"/>
          <w:lang w:bidi="ru-RU"/>
        </w:rPr>
        <w:t xml:space="preserve">Доля косвенного участия ПАО «РусГидро» через АО «РАО ЭС Востока» и АО «ЮЭСК» - 99,33 %.</w:t>
      </w:r>
      <w:r/>
    </w:p>
    <w:p>
      <w:pPr>
        <w:pStyle w:val="1063"/>
        <w:ind w:firstLine="567"/>
        <w:jc w:val="both"/>
      </w:pPr>
      <w:r>
        <w:rPr>
          <w:rFonts w:ascii="Arial Narrow" w:hAnsi="Arial Narrow" w:cs="Calibri"/>
          <w:color w:val="0f0d29"/>
          <w:lang w:bidi="ru-RU"/>
        </w:rPr>
        <w:t xml:space="preserve">ПАО «РусГидро» – одна из крупнейших российских генерирующих компаний, которая объединяет боле</w:t>
      </w:r>
      <w:r>
        <w:rPr>
          <w:rFonts w:ascii="Arial Narrow" w:hAnsi="Arial Narrow" w:cs="Calibri"/>
          <w:color w:val="0f0d29"/>
          <w:lang w:bidi="ru-RU"/>
        </w:rPr>
        <w:t xml:space="preserve">е 60 гидроэлектростанций в России, тепловые электростанции и электросетевые активы на Дальнем Востоке, а также энергосбытовые компании и научно-проектные институты. Установленная мощность электростанций, входящих в состав РусГидро, составляет более 38 ГВт.</w:t>
      </w:r>
      <w:r/>
    </w:p>
    <w:p>
      <w:pPr>
        <w:pStyle w:val="1063"/>
        <w:ind w:firstLine="567"/>
        <w:jc w:val="both"/>
      </w:pPr>
      <w:r>
        <w:rPr>
          <w:rFonts w:ascii="Arial Narrow" w:hAnsi="Arial Narrow" w:cs="Calibri"/>
          <w:lang w:bidi="ru-RU"/>
        </w:rPr>
        <w:t xml:space="preserve">С 1997 года ПАО «Камчатскэнерго» включено в реестр субъектов естественных монополий топливно-энергетического комплекса.</w:t>
      </w:r>
      <w:r/>
    </w:p>
    <w:p>
      <w:pPr>
        <w:pStyle w:val="1063"/>
        <w:ind w:firstLine="567"/>
        <w:jc w:val="both"/>
      </w:pPr>
      <w:r>
        <w:rPr>
          <w:rFonts w:ascii="Arial Narrow" w:hAnsi="Arial Narrow" w:cs="Calibri"/>
          <w:lang w:bidi="ru-RU"/>
        </w:rPr>
        <w:t xml:space="preserve">С 2006 года Обществу присвоен статус хозяйствующего субъекта, имеющего на рынке определенного товара долю более 35 %.</w:t>
      </w:r>
      <w:r/>
    </w:p>
    <w:p>
      <w:pPr>
        <w:pStyle w:val="1063"/>
        <w:ind w:firstLine="567"/>
        <w:jc w:val="both"/>
        <w:rPr>
          <w:rFonts w:ascii="Arial Narrow" w:hAnsi="Arial Narrow" w:cs="Calibri"/>
          <w:lang w:bidi="ru-RU"/>
        </w:rPr>
      </w:pPr>
      <w:r>
        <w:rPr>
          <w:rFonts w:ascii="Arial Narrow" w:hAnsi="Arial Narrow" w:cs="Calibri"/>
          <w:lang w:bidi="ru-RU"/>
        </w:rPr>
        <w:t xml:space="preserve">Местонахождение Общества: Российская Федерация, Камчатский край, г. Петропавловск-Камчатский, ул. Набережная, 10.</w:t>
      </w:r>
      <w:r>
        <w:rPr>
          <w:rFonts w:ascii="Arial Narrow" w:hAnsi="Arial Narrow" w:cs="Calibri"/>
          <w:lang w:bidi="ru-RU"/>
        </w:rPr>
      </w:r>
      <w:r>
        <w:rPr>
          <w:rFonts w:ascii="Arial Narrow" w:hAnsi="Arial Narrow" w:cs="Calibri"/>
          <w:lang w:bidi="ru-RU"/>
        </w:rPr>
      </w:r>
    </w:p>
    <w:p>
      <w:pPr>
        <w:pStyle w:val="1063"/>
        <w:ind w:firstLine="567"/>
        <w:jc w:val="both"/>
        <w:rPr>
          <w:rFonts w:ascii="Arial Narrow" w:hAnsi="Arial Narrow" w:cs="Calibri"/>
          <w:sz w:val="12"/>
          <w:szCs w:val="12"/>
          <w:lang w:bidi="ru-RU"/>
        </w:rPr>
      </w:pPr>
      <w:r>
        <w:rPr>
          <w:rFonts w:ascii="Arial Narrow" w:hAnsi="Arial Narrow" w:cs="Calibri"/>
          <w:sz w:val="12"/>
          <w:szCs w:val="12"/>
          <w:lang w:bidi="ru-RU"/>
        </w:rPr>
      </w:r>
      <w:r>
        <w:rPr>
          <w:rFonts w:ascii="Arial Narrow" w:hAnsi="Arial Narrow" w:cs="Calibri"/>
          <w:sz w:val="12"/>
          <w:szCs w:val="12"/>
          <w:lang w:bidi="ru-RU"/>
        </w:rPr>
      </w:r>
      <w:r>
        <w:rPr>
          <w:rFonts w:ascii="Arial Narrow" w:hAnsi="Arial Narrow" w:cs="Calibri"/>
          <w:sz w:val="12"/>
          <w:szCs w:val="12"/>
          <w:lang w:bidi="ru-RU"/>
        </w:rPr>
      </w:r>
    </w:p>
    <w:p>
      <w:pPr>
        <w:rPr>
          <w:rFonts w:ascii="Arial Narrow" w:hAnsi="Arial Narrow" w:eastAsia="Times New Roman" w:cs="Calibri"/>
          <w:sz w:val="12"/>
          <w:szCs w:val="12"/>
          <w:lang w:eastAsia="zh-CN" w:bidi="ru-RU"/>
        </w:rPr>
      </w:pPr>
      <w:r>
        <w:br w:type="page" w:clear="all"/>
      </w:r>
      <w:r>
        <w:rPr>
          <w:rFonts w:ascii="Arial Narrow" w:hAnsi="Arial Narrow" w:eastAsia="Times New Roman" w:cs="Calibri"/>
          <w:sz w:val="12"/>
          <w:szCs w:val="12"/>
          <w:lang w:eastAsia="zh-CN" w:bidi="ru-RU"/>
        </w:rPr>
      </w:r>
      <w:r>
        <w:rPr>
          <w:rFonts w:ascii="Arial Narrow" w:hAnsi="Arial Narrow" w:eastAsia="Times New Roman" w:cs="Calibri"/>
          <w:sz w:val="12"/>
          <w:szCs w:val="12"/>
          <w:lang w:eastAsia="zh-CN" w:bidi="ru-RU"/>
        </w:rPr>
      </w:r>
    </w:p>
    <w:p>
      <w:pPr>
        <w:pStyle w:val="1063"/>
        <w:jc w:val="both"/>
        <w:spacing w:after="120"/>
        <w:rPr>
          <w:b/>
        </w:rPr>
      </w:pPr>
      <w:r>
        <w:rPr>
          <w:rFonts w:ascii="Arial Narrow" w:hAnsi="Arial Narrow" w:cs="Calibri"/>
          <w:b/>
          <w:bCs/>
          <w:color w:val="314e87"/>
          <w:lang w:bidi="ru-RU"/>
        </w:rPr>
        <w:t xml:space="preserve">Организационная структура Общества</w:t>
      </w:r>
      <w:r>
        <w:rPr>
          <w:b/>
        </w:rPr>
      </w:r>
      <w:r>
        <w:rPr>
          <w:b/>
        </w:rPr>
      </w:r>
    </w:p>
    <w:p>
      <w:pPr>
        <w:pStyle w:val="1063"/>
        <w:ind w:firstLine="708"/>
        <w:jc w:val="both"/>
      </w:pPr>
      <w:r>
        <w:rPr>
          <w:rFonts w:ascii="Arial Narrow" w:hAnsi="Arial Narrow" w:cs="Calibri"/>
          <w:lang w:bidi="ru-RU"/>
        </w:rPr>
        <w:t xml:space="preserve">Организационная структура Общества по состоянию на 31.12.2024 утверждена решением Совета директоров 30.10.2023 (протокол от 30.10.2023 № 5).</w:t>
      </w:r>
      <w:r/>
    </w:p>
    <w:p>
      <w:pPr>
        <w:pStyle w:val="1063"/>
        <w:jc w:val="both"/>
        <w:spacing w:before="120" w:after="120"/>
      </w:pPr>
      <w:r>
        <w:rPr>
          <w:lang w:eastAsia="ru-RU"/>
        </w:rPr>
        <mc:AlternateContent>
          <mc:Choice Requires="wpg">
            <w:drawing>
              <wp:inline xmlns:wp="http://schemas.openxmlformats.org/drawingml/2006/wordprocessingDrawing" distT="0" distB="0" distL="0" distR="0">
                <wp:extent cx="6506210" cy="4676775"/>
                <wp:effectExtent l="0" t="0" r="0" b="0"/>
                <wp:docPr id="2"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5"/>
                        <pic:cNvPicPr>
                          <a:picLocks noChangeAspect="1"/>
                        </pic:cNvPicPr>
                        <pic:nvPr/>
                      </pic:nvPicPr>
                      <pic:blipFill>
                        <a:blip r:embed="rId12"/>
                        <a:stretch/>
                      </pic:blipFill>
                      <pic:spPr bwMode="auto">
                        <a:xfrm>
                          <a:off x="0" y="0"/>
                          <a:ext cx="6506210" cy="4676775"/>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512.30pt;height:368.25pt;mso-wrap-distance-left:0.00pt;mso-wrap-distance-top:0.00pt;mso-wrap-distance-right:0.00pt;mso-wrap-distance-bottom:0.00pt;" stroked="false">
                <v:path textboxrect="0,0,0,0"/>
                <v:imagedata r:id="rId12" o:title=""/>
              </v:shape>
            </w:pict>
          </mc:Fallback>
        </mc:AlternateContent>
      </w:r>
      <w:r/>
    </w:p>
    <w:p>
      <w:pPr>
        <w:pStyle w:val="1063"/>
        <w:jc w:val="both"/>
        <w:tabs>
          <w:tab w:val="left" w:pos="709" w:leader="none"/>
        </w:tabs>
        <w:rPr>
          <w:sz w:val="12"/>
          <w:szCs w:val="12"/>
        </w:rPr>
      </w:pPr>
      <w:r>
        <w:rPr>
          <w:sz w:val="12"/>
          <w:szCs w:val="12"/>
        </w:rPr>
      </w:r>
      <w:r>
        <w:rPr>
          <w:sz w:val="12"/>
          <w:szCs w:val="12"/>
        </w:rPr>
      </w:r>
      <w:r>
        <w:rPr>
          <w:sz w:val="12"/>
          <w:szCs w:val="12"/>
        </w:rPr>
      </w:r>
    </w:p>
    <w:p>
      <w:pPr>
        <w:pStyle w:val="1063"/>
        <w:jc w:val="both"/>
        <w:tabs>
          <w:tab w:val="left" w:pos="709" w:leader="none"/>
        </w:tabs>
        <w:rPr>
          <w:rFonts w:ascii="Arial Narrow" w:hAnsi="Arial Narrow" w:cs="Calibri"/>
          <w:b/>
          <w:color w:val="314e87"/>
          <w:lang w:bidi="ru-RU"/>
        </w:rPr>
      </w:pPr>
      <w:r>
        <w:rPr>
          <w:rFonts w:ascii="Arial Narrow" w:hAnsi="Arial Narrow" w:cs="Calibri"/>
          <w:b/>
          <w:bCs/>
          <w:color w:val="314e87"/>
          <w:lang w:bidi="ru-RU"/>
        </w:rPr>
        <w:t xml:space="preserve">Основные виды деятельности Общества</w:t>
      </w:r>
      <w:r>
        <w:rPr>
          <w:rFonts w:ascii="Arial Narrow" w:hAnsi="Arial Narrow" w:cs="Calibri"/>
          <w:b/>
          <w:color w:val="314e87"/>
          <w:lang w:bidi="ru-RU"/>
        </w:rPr>
      </w:r>
      <w:r>
        <w:rPr>
          <w:rFonts w:ascii="Arial Narrow" w:hAnsi="Arial Narrow" w:cs="Calibri"/>
          <w:b/>
          <w:color w:val="314e87"/>
          <w:lang w:bidi="ru-RU"/>
        </w:rPr>
      </w:r>
    </w:p>
    <w:p>
      <w:pPr>
        <w:pStyle w:val="1063"/>
        <w:jc w:val="both"/>
        <w:spacing w:after="120"/>
        <w:tabs>
          <w:tab w:val="left" w:pos="709" w:leader="none"/>
        </w:tabs>
        <w:rPr>
          <w:b/>
        </w:rPr>
      </w:pPr>
      <w:r>
        <w:rPr>
          <w:rFonts w:ascii="Arial Narrow" w:hAnsi="Arial Narrow" w:cs="Calibri"/>
          <w:b/>
          <w:color w:val="314e87"/>
          <w:lang w:bidi="ru-RU"/>
        </w:rPr>
        <w:t xml:space="preserve">Краткий обзор основных рынков, на которых Общество осуществляет деятельность</w:t>
      </w:r>
      <w:r>
        <w:rPr>
          <w:b/>
        </w:rPr>
      </w:r>
      <w:r>
        <w:rPr>
          <w:b/>
        </w:rPr>
      </w:r>
    </w:p>
    <w:p>
      <w:pPr>
        <w:pStyle w:val="1063"/>
        <w:ind w:firstLine="567"/>
        <w:jc w:val="both"/>
      </w:pPr>
      <w:r>
        <w:rPr>
          <w:rFonts w:ascii="Arial Narrow" w:hAnsi="Arial Narrow" w:cs="Calibri"/>
          <w:lang w:bidi="ru-RU"/>
        </w:rPr>
        <w:t xml:space="preserve">ПАО «Камчатскэнерго» осуществляет свою деятельност</w:t>
      </w:r>
      <w:r>
        <w:rPr>
          <w:rFonts w:ascii="Arial Narrow" w:hAnsi="Arial Narrow" w:cs="Calibri"/>
          <w:lang w:bidi="ru-RU"/>
        </w:rPr>
        <w:t xml:space="preserve">ь в рамках изолированной энергетической системы. Основным рынком сбыта продукции ПАО «Камчатскэнерго» является ограниченная инфраструктурными мощностями Общества территория Камчатского края в пределах Центрального и Озерновского (с 20.12.2019) энергоузлов.</w:t>
      </w:r>
      <w:r/>
    </w:p>
    <w:p>
      <w:pPr>
        <w:pStyle w:val="1063"/>
        <w:ind w:firstLine="567"/>
        <w:jc w:val="both"/>
      </w:pPr>
      <w:r>
        <w:rPr>
          <w:rFonts w:ascii="Arial Narrow" w:hAnsi="Arial Narrow" w:cs="Calibri"/>
          <w:lang w:bidi="ru-RU"/>
        </w:rPr>
        <w:t xml:space="preserve">В зону охвата Центрального и Озерновского энергоузлов ПАО «</w:t>
      </w:r>
      <w:r>
        <w:rPr>
          <w:rFonts w:ascii="Arial Narrow" w:hAnsi="Arial Narrow" w:cs="Calibri"/>
          <w:lang w:bidi="ru-RU"/>
        </w:rPr>
        <w:t xml:space="preserve">Камчатскэнерго» входят следующие населенные пункты: г. Петропавловск-Камчатский, г. Елизово и районы вдоль трассы автодороги до посёлка Мильково, с. Усть-Большерецк и г. Вилючинск (по договорам купли-продажи электрической энергии), Усть-Большерецкий район.</w:t>
      </w:r>
      <w:r/>
    </w:p>
    <w:p>
      <w:pPr>
        <w:pStyle w:val="1063"/>
        <w:ind w:firstLine="567"/>
        <w:jc w:val="both"/>
      </w:pPr>
      <w:r>
        <w:rPr>
          <w:rFonts w:ascii="Arial Narrow" w:hAnsi="Arial Narrow" w:cs="Calibri"/>
          <w:lang w:bidi="ru-RU"/>
        </w:rPr>
        <w:t xml:space="preserve">Теплоснабжение от энергоисточников ПАО «Камчатскэнерго» ТЭЦ-1 и ТЭЦ-2 осуществляется только в городе Петропавловске-Камчатском; от котельных, эксплуатируемых ПАО «Камчатскэнерго» -г. Петропавловске-Камчатском, Елизовском муниципальном районе.</w:t>
      </w:r>
      <w:r/>
    </w:p>
    <w:p>
      <w:pPr>
        <w:pStyle w:val="1063"/>
        <w:ind w:firstLine="567"/>
        <w:jc w:val="both"/>
      </w:pPr>
      <w:r>
        <w:rPr>
          <w:rFonts w:ascii="Arial Narrow" w:hAnsi="Arial Narrow" w:cs="Calibri"/>
          <w:lang w:bidi="ru-RU"/>
        </w:rPr>
        <w:t xml:space="preserve">Электроснабжение: юридические лица – 5 561.</w:t>
      </w:r>
      <w:r/>
    </w:p>
    <w:p>
      <w:pPr>
        <w:pStyle w:val="1063"/>
        <w:ind w:firstLine="567"/>
        <w:jc w:val="both"/>
      </w:pPr>
      <w:r>
        <w:rPr>
          <w:rFonts w:ascii="Arial Narrow" w:hAnsi="Arial Narrow" w:cs="Calibri"/>
          <w:lang w:bidi="ru-RU"/>
        </w:rPr>
        <w:t xml:space="preserve">Теплоснабжение: юридические лица – 1 801.</w:t>
      </w:r>
      <w:r/>
    </w:p>
    <w:p>
      <w:pPr>
        <w:pStyle w:val="1063"/>
        <w:ind w:firstLine="567"/>
        <w:jc w:val="both"/>
      </w:pPr>
      <w:r>
        <w:rPr>
          <w:rFonts w:ascii="Arial Narrow" w:hAnsi="Arial Narrow" w:cs="Calibri"/>
          <w:lang w:bidi="ru-RU"/>
        </w:rPr>
        <w:t xml:space="preserve">Основными потребителями электро- и теплоэнергии, вырабатываемой ПАО «Камчатскэнерго», являются: управляющие организации, </w:t>
      </w:r>
      <w:r>
        <w:rPr>
          <w:rFonts w:ascii="Arial Narrow" w:hAnsi="Arial Narrow" w:cs="Calibri"/>
          <w:lang w:bidi="ru-RU"/>
        </w:rPr>
        <w:t xml:space="preserve">ТСЖ, население на прямых договорах, ФГБУ «ЦЖКУ» Минобороны России по ТОФ ЖЭ(К)О №3, КГУП «Камчатский водоканал», предприятия жилищно-коммунального хозяйства, предприятия финансируемые из средств бюджетов всех уровней и хозрасчетные потребители, а также юри</w:t>
      </w:r>
      <w:r>
        <w:rPr>
          <w:rFonts w:ascii="Arial Narrow" w:hAnsi="Arial Narrow" w:cs="Calibri"/>
          <w:lang w:bidi="ru-RU"/>
        </w:rPr>
        <w:t xml:space="preserve">дические лица, оказывающие услуги по транспортировке электроэнергии по своим распределительным электрическим сетям (ООО «Марлин», АО «Оборонэнерго», ООО «РСО «Силуэт», МУП Петропавловск-Камчатского городского округа «ТеплоЭлектроСетевая компания», ООО «41 </w:t>
      </w:r>
      <w:r>
        <w:rPr>
          <w:rFonts w:ascii="Arial Narrow" w:hAnsi="Arial Narrow" w:cs="Calibri"/>
          <w:lang w:bidi="ru-RU"/>
        </w:rPr>
        <w:t xml:space="preserve">Электрическая сеть», ООО «Алеир», АО «Петропавловск-Камчатский морской торговый порт», ООО «28-Электросеть», ООО «Терминал «Сероглазка», ООО «МК Транс», ООО «Электролиния», ООО «Камчатская энергетическая компания», ООО «Океан Газ»).</w:t>
      </w:r>
      <w:r/>
    </w:p>
    <w:p>
      <w:pPr>
        <w:pStyle w:val="1063"/>
        <w:ind w:firstLine="567"/>
        <w:jc w:val="both"/>
        <w:rPr>
          <w:rFonts w:ascii="Arial Narrow" w:hAnsi="Arial Narrow" w:cs="Calibri"/>
          <w:lang w:bidi="ru-RU"/>
        </w:rPr>
      </w:pPr>
      <w:r>
        <w:rPr>
          <w:rFonts w:ascii="Arial Narrow" w:hAnsi="Arial Narrow" w:cs="Calibri"/>
          <w:lang w:bidi="ru-RU"/>
        </w:rPr>
        <w:t xml:space="preserve">Основными видами деятельности Общества являются производство, передача и сбыт электрической и тепловой энергии, в том числе от возобновляемых источников энергии.</w:t>
      </w:r>
      <w:r>
        <w:rPr>
          <w:rFonts w:ascii="Arial Narrow" w:hAnsi="Arial Narrow" w:cs="Calibri"/>
          <w:lang w:bidi="ru-RU"/>
        </w:rPr>
      </w:r>
      <w:r>
        <w:rPr>
          <w:rFonts w:ascii="Arial Narrow" w:hAnsi="Arial Narrow" w:cs="Calibri"/>
          <w:lang w:bidi="ru-RU"/>
        </w:rPr>
      </w:r>
    </w:p>
    <w:p>
      <w:pPr>
        <w:pStyle w:val="1063"/>
        <w:ind w:firstLine="567"/>
        <w:jc w:val="both"/>
        <w:rPr>
          <w:rFonts w:ascii="Arial Narrow" w:hAnsi="Arial Narrow" w:cs="Calibri"/>
          <w:lang w:bidi="ru-RU"/>
        </w:rPr>
      </w:pPr>
      <w:r>
        <w:rPr>
          <w:rFonts w:ascii="Arial Narrow" w:hAnsi="Arial Narrow" w:cs="Calibri"/>
          <w:lang w:bidi="ru-RU"/>
        </w:rPr>
        <w:t xml:space="preserve">Энергетическая политика, проводимая в Камчатском крае и направленная на использование местных энергетических ресурсов, привела к созданию в 1996 - 2002 годах двух энергокомпаний, использующих местные природные ресурсы:</w:t>
      </w:r>
      <w:r>
        <w:rPr>
          <w:rFonts w:ascii="Arial Narrow" w:hAnsi="Arial Narrow" w:cs="Calibri"/>
          <w:lang w:bidi="ru-RU"/>
        </w:rPr>
      </w:r>
      <w:r>
        <w:rPr>
          <w:rFonts w:ascii="Arial Narrow" w:hAnsi="Arial Narrow" w:cs="Calibri"/>
          <w:lang w:bidi="ru-RU"/>
        </w:rPr>
      </w:r>
    </w:p>
    <w:p>
      <w:pPr>
        <w:pStyle w:val="1091"/>
        <w:numPr>
          <w:ilvl w:val="0"/>
          <w:numId w:val="9"/>
        </w:numPr>
        <w:ind w:left="0" w:firstLine="567"/>
        <w:jc w:val="both"/>
        <w:spacing w:line="276" w:lineRule="auto"/>
        <w:tabs>
          <w:tab w:val="left" w:pos="1133" w:leader="none"/>
        </w:tabs>
        <w:rPr>
          <w:lang w:val="ru-RU"/>
        </w:rPr>
      </w:pPr>
      <w:r>
        <w:rPr>
          <w:rFonts w:ascii="Arial Narrow" w:hAnsi="Arial Narrow" w:cs="Calibri"/>
          <w:sz w:val="24"/>
          <w:szCs w:val="24"/>
          <w:lang w:val="ru-RU" w:bidi="ru-RU"/>
        </w:rPr>
        <w:t xml:space="preserve">Верхне – Мутновская, Мутновская ГеоЭС и Паужетская ГеоЭС, использующие геотермальные ресурсы (парогидротерм) и расположенные в 60 км от п.</w:t>
      </w:r>
      <w:r>
        <w:rPr>
          <w:rFonts w:ascii="Arial Narrow" w:hAnsi="Arial Narrow" w:cs="Calibri"/>
          <w:sz w:val="24"/>
          <w:szCs w:val="24"/>
          <w:lang w:bidi="ru-RU"/>
        </w:rPr>
        <w:t xml:space="preserve"> </w:t>
      </w:r>
      <w:r>
        <w:rPr>
          <w:rFonts w:ascii="Arial Narrow" w:hAnsi="Arial Narrow" w:cs="Calibri"/>
          <w:sz w:val="24"/>
          <w:szCs w:val="24"/>
          <w:lang w:val="ru-RU" w:bidi="ru-RU"/>
        </w:rPr>
        <w:t xml:space="preserve">Паратунка до 20.12.2019 эксплуатировались АО</w:t>
      </w:r>
      <w:r>
        <w:rPr>
          <w:rFonts w:ascii="Arial Narrow" w:hAnsi="Arial Narrow" w:cs="Calibri"/>
          <w:sz w:val="24"/>
          <w:szCs w:val="24"/>
          <w:lang w:bidi="ru-RU"/>
        </w:rPr>
        <w:t xml:space="preserve"> </w:t>
      </w:r>
      <w:r>
        <w:rPr>
          <w:rFonts w:ascii="Arial Narrow" w:hAnsi="Arial Narrow" w:cs="Calibri"/>
          <w:sz w:val="24"/>
          <w:szCs w:val="24"/>
          <w:lang w:val="ru-RU" w:bidi="ru-RU"/>
        </w:rPr>
        <w:t xml:space="preserve">«Геотерм». В связи с ликвидацией АО «Геотерм» с 20.12.2019 электростанции перешли в эксплуатационную ответственность ПАО</w:t>
      </w:r>
      <w:r>
        <w:rPr>
          <w:rFonts w:ascii="Arial Narrow" w:hAnsi="Arial Narrow" w:cs="Calibri"/>
          <w:sz w:val="24"/>
          <w:szCs w:val="24"/>
          <w:lang w:bidi="ru-RU"/>
        </w:rPr>
        <w:t xml:space="preserve"> </w:t>
      </w:r>
      <w:r>
        <w:rPr>
          <w:rFonts w:ascii="Arial Narrow" w:hAnsi="Arial Narrow" w:cs="Calibri"/>
          <w:sz w:val="24"/>
          <w:szCs w:val="24"/>
          <w:lang w:val="ru-RU" w:bidi="ru-RU"/>
        </w:rPr>
        <w:t xml:space="preserve">«Камчатскэнерго» (ГРН 2194101150406 от 19.12.2019).</w:t>
      </w:r>
      <w:r>
        <w:rPr>
          <w:rFonts w:ascii="Arial Narrow" w:hAnsi="Arial Narrow" w:cs="Calibri"/>
          <w:sz w:val="24"/>
          <w:szCs w:val="24"/>
          <w:lang w:bidi="ru-RU"/>
        </w:rPr>
        <w:t xml:space="preserve"> </w:t>
      </w:r>
      <w:r>
        <w:rPr>
          <w:lang w:val="ru-RU"/>
        </w:rPr>
      </w:r>
      <w:r>
        <w:rPr>
          <w:lang w:val="ru-RU"/>
        </w:rPr>
      </w:r>
    </w:p>
    <w:p>
      <w:pPr>
        <w:pStyle w:val="1091"/>
        <w:numPr>
          <w:ilvl w:val="0"/>
          <w:numId w:val="9"/>
        </w:numPr>
        <w:ind w:left="0" w:firstLine="567"/>
        <w:jc w:val="both"/>
        <w:spacing w:line="276" w:lineRule="auto"/>
        <w:tabs>
          <w:tab w:val="left" w:pos="1133" w:leader="none"/>
        </w:tabs>
        <w:rPr>
          <w:lang w:val="ru-RU"/>
        </w:rPr>
      </w:pPr>
      <w:r>
        <w:rPr>
          <w:rFonts w:ascii="Arial Narrow" w:hAnsi="Arial Narrow" w:cs="Calibri"/>
          <w:sz w:val="24"/>
          <w:szCs w:val="24"/>
          <w:lang w:val="ru-RU" w:bidi="ru-RU"/>
        </w:rPr>
        <w:t xml:space="preserve">Каскад Толмачёвских ГЭС (ГЭС-1, ГЭС-2 и ГЭС-3), расположенных в 53 км от п.</w:t>
      </w:r>
      <w:r>
        <w:rPr>
          <w:rFonts w:ascii="Arial Narrow" w:hAnsi="Arial Narrow" w:cs="Calibri"/>
          <w:sz w:val="24"/>
          <w:szCs w:val="24"/>
          <w:lang w:bidi="ru-RU"/>
        </w:rPr>
        <w:t xml:space="preserve"> </w:t>
      </w:r>
      <w:r>
        <w:rPr>
          <w:rFonts w:ascii="Arial Narrow" w:hAnsi="Arial Narrow" w:cs="Calibri"/>
          <w:sz w:val="24"/>
          <w:szCs w:val="24"/>
          <w:lang w:val="ru-RU" w:bidi="ru-RU"/>
        </w:rPr>
        <w:t xml:space="preserve">Апача и использующих гидроресурсы до 20.12.2019 эксплуатировались ПАО</w:t>
      </w:r>
      <w:r>
        <w:rPr>
          <w:rFonts w:ascii="Arial Narrow" w:hAnsi="Arial Narrow" w:cs="Calibri"/>
          <w:sz w:val="24"/>
          <w:szCs w:val="24"/>
          <w:lang w:bidi="ru-RU"/>
        </w:rPr>
        <w:t xml:space="preserve"> </w:t>
      </w:r>
      <w:r>
        <w:rPr>
          <w:rFonts w:ascii="Arial Narrow" w:hAnsi="Arial Narrow" w:cs="Calibri"/>
          <w:sz w:val="24"/>
          <w:szCs w:val="24"/>
          <w:lang w:val="ru-RU" w:bidi="ru-RU"/>
        </w:rPr>
        <w:t xml:space="preserve">«КамГЭК» (Камчатский газоэнергетический комплекс). В связи с ликвидацией ПАО</w:t>
      </w:r>
      <w:r>
        <w:rPr>
          <w:rFonts w:ascii="Arial Narrow" w:hAnsi="Arial Narrow" w:cs="Calibri"/>
          <w:sz w:val="24"/>
          <w:szCs w:val="24"/>
          <w:lang w:bidi="ru-RU"/>
        </w:rPr>
        <w:t xml:space="preserve"> </w:t>
      </w:r>
      <w:r>
        <w:rPr>
          <w:rFonts w:ascii="Arial Narrow" w:hAnsi="Arial Narrow" w:cs="Calibri"/>
          <w:sz w:val="24"/>
          <w:szCs w:val="24"/>
          <w:lang w:val="ru-RU" w:bidi="ru-RU"/>
        </w:rPr>
        <w:t xml:space="preserve">«КамГЭК» электростанции перешли в доверительное управление ПАО</w:t>
      </w:r>
      <w:r>
        <w:rPr>
          <w:rFonts w:ascii="Arial Narrow" w:hAnsi="Arial Narrow" w:cs="Calibri"/>
          <w:sz w:val="24"/>
          <w:szCs w:val="24"/>
          <w:lang w:bidi="ru-RU"/>
        </w:rPr>
        <w:t xml:space="preserve"> </w:t>
      </w:r>
      <w:r>
        <w:rPr>
          <w:rFonts w:ascii="Arial Narrow" w:hAnsi="Arial Narrow" w:cs="Calibri"/>
          <w:sz w:val="24"/>
          <w:szCs w:val="24"/>
          <w:lang w:val="ru-RU" w:bidi="ru-RU"/>
        </w:rPr>
        <w:t xml:space="preserve">«Камчатскэнерго» (ГРН 2194101150406 от 19.12.2019).</w:t>
      </w:r>
      <w:r>
        <w:rPr>
          <w:lang w:val="ru-RU"/>
        </w:rPr>
      </w:r>
      <w:r>
        <w:rPr>
          <w:lang w:val="ru-RU"/>
        </w:rPr>
      </w:r>
    </w:p>
    <w:p>
      <w:pPr>
        <w:pStyle w:val="1063"/>
        <w:ind w:firstLine="567"/>
        <w:jc w:val="both"/>
      </w:pPr>
      <w:r>
        <w:rPr>
          <w:rFonts w:ascii="Arial Narrow" w:hAnsi="Arial Narrow" w:cs="Calibri"/>
          <w:lang w:bidi="ru-RU"/>
        </w:rPr>
        <w:t xml:space="preserve">Поставку электрической энергии на региональном рынке Центрального и Озерновского (с 20.12.2019) энергоузлов Камчатского края в сети ПАО «Камчатскэнерго» осуществляют:</w:t>
      </w:r>
      <w:r/>
    </w:p>
    <w:p>
      <w:pPr>
        <w:pStyle w:val="1063"/>
        <w:ind w:firstLine="720"/>
        <w:jc w:val="both"/>
        <w:rPr>
          <w:rFonts w:ascii="Arial Narrow" w:hAnsi="Arial Narrow" w:cs="Calibri"/>
          <w:sz w:val="12"/>
          <w:szCs w:val="12"/>
          <w:lang w:bidi="ru-RU"/>
        </w:rPr>
      </w:pPr>
      <w:r>
        <w:rPr>
          <w:rFonts w:ascii="Arial Narrow" w:hAnsi="Arial Narrow" w:cs="Calibri"/>
          <w:sz w:val="12"/>
          <w:szCs w:val="12"/>
          <w:lang w:bidi="ru-RU"/>
        </w:rPr>
      </w:r>
      <w:r>
        <w:rPr>
          <w:rFonts w:ascii="Arial Narrow" w:hAnsi="Arial Narrow" w:cs="Calibri"/>
          <w:sz w:val="12"/>
          <w:szCs w:val="12"/>
          <w:lang w:bidi="ru-RU"/>
        </w:rPr>
      </w:r>
      <w:r>
        <w:rPr>
          <w:rFonts w:ascii="Arial Narrow" w:hAnsi="Arial Narrow" w:cs="Calibri"/>
          <w:sz w:val="12"/>
          <w:szCs w:val="12"/>
          <w:lang w:bidi="ru-RU"/>
        </w:rPr>
      </w:r>
    </w:p>
    <w:p>
      <w:pPr>
        <w:pStyle w:val="1063"/>
        <w:ind w:firstLine="567"/>
        <w:jc w:val="both"/>
      </w:pPr>
      <w:r>
        <w:rPr>
          <w:rFonts w:ascii="Arial Narrow" w:hAnsi="Arial Narrow" w:cs="Calibri"/>
          <w:lang w:bidi="ru-RU"/>
        </w:rPr>
        <w:t xml:space="preserve">Электростанции ПАО «Камчатскэнерго» установленной мощностью:</w:t>
      </w:r>
      <w:r/>
    </w:p>
    <w:p>
      <w:pPr>
        <w:pStyle w:val="1063"/>
        <w:ind w:firstLine="567"/>
        <w:jc w:val="both"/>
      </w:pPr>
      <w:r>
        <w:rPr>
          <w:rFonts w:ascii="Arial Narrow" w:hAnsi="Arial Narrow" w:cs="Calibri"/>
          <w:iCs/>
          <w:lang w:bidi="ru-RU"/>
        </w:rPr>
        <w:t xml:space="preserve">По Центральному энергоузлу (ЦЭУ):</w:t>
      </w:r>
      <w:r/>
    </w:p>
    <w:tbl>
      <w:tblPr>
        <w:tblW w:w="6549" w:type="dxa"/>
        <w:tblInd w:w="216" w:type="dxa"/>
        <w:tblLayout w:type="fixed"/>
        <w:tblLook w:val="04A0" w:firstRow="1" w:lastRow="0" w:firstColumn="1" w:lastColumn="0" w:noHBand="0" w:noVBand="1"/>
      </w:tblPr>
      <w:tblGrid>
        <w:gridCol w:w="3545"/>
        <w:gridCol w:w="3004"/>
      </w:tblGrid>
      <w:tr>
        <w:trPr>
          <w:trHeight w:val="318"/>
        </w:trPr>
        <w:tc>
          <w:tcPr>
            <w:tcW w:w="3544" w:type="dxa"/>
            <w:textDirection w:val="lrTb"/>
            <w:noWrap w:val="false"/>
          </w:tcPr>
          <w:p>
            <w:pPr>
              <w:pStyle w:val="1091"/>
              <w:numPr>
                <w:ilvl w:val="0"/>
                <w:numId w:val="3"/>
              </w:numPr>
              <w:ind w:left="709" w:hanging="368"/>
              <w:jc w:val="both"/>
              <w:spacing w:line="276" w:lineRule="auto"/>
              <w:widowControl w:val="off"/>
              <w:tabs>
                <w:tab w:val="left" w:pos="1701" w:leader="none"/>
              </w:tabs>
            </w:pPr>
            <w:r>
              <w:rPr>
                <w:rFonts w:ascii="Arial Narrow" w:hAnsi="Arial Narrow" w:cs="Calibri"/>
                <w:sz w:val="24"/>
                <w:szCs w:val="24"/>
                <w:lang w:bidi="ru-RU"/>
              </w:rPr>
              <w:t xml:space="preserve">ТЭЦ – 1</w:t>
            </w:r>
            <w:r/>
          </w:p>
        </w:tc>
        <w:tc>
          <w:tcPr>
            <w:tcMar>
              <w:left w:w="0" w:type="dxa"/>
              <w:right w:w="0" w:type="dxa"/>
            </w:tcMar>
            <w:tcW w:w="3004" w:type="dxa"/>
            <w:textDirection w:val="lrTb"/>
            <w:noWrap w:val="false"/>
          </w:tcPr>
          <w:p>
            <w:pPr>
              <w:pStyle w:val="1093"/>
              <w:jc w:val="both"/>
              <w:spacing w:before="0" w:after="0" w:line="276" w:lineRule="auto"/>
              <w:widowControl w:val="off"/>
              <w:tabs>
                <w:tab w:val="left" w:pos="993" w:leader="none"/>
              </w:tabs>
            </w:pPr>
            <w:r>
              <w:rPr>
                <w:rFonts w:ascii="Arial Narrow" w:hAnsi="Arial Narrow" w:cs="Calibri"/>
                <w:sz w:val="24"/>
                <w:szCs w:val="24"/>
              </w:rPr>
              <w:t xml:space="preserve">204,0 МВт;</w:t>
            </w:r>
            <w:r/>
          </w:p>
        </w:tc>
      </w:tr>
      <w:tr>
        <w:trPr>
          <w:trHeight w:val="318"/>
        </w:trPr>
        <w:tc>
          <w:tcPr>
            <w:tcW w:w="3544" w:type="dxa"/>
            <w:textDirection w:val="lrTb"/>
            <w:noWrap w:val="false"/>
          </w:tcPr>
          <w:p>
            <w:pPr>
              <w:pStyle w:val="1091"/>
              <w:numPr>
                <w:ilvl w:val="0"/>
                <w:numId w:val="3"/>
              </w:numPr>
              <w:ind w:left="709" w:hanging="368"/>
              <w:jc w:val="both"/>
              <w:spacing w:line="276" w:lineRule="auto"/>
              <w:widowControl w:val="off"/>
              <w:tabs>
                <w:tab w:val="left" w:pos="1701" w:leader="none"/>
              </w:tabs>
              <w:rPr>
                <w:rFonts w:ascii="Arial Narrow" w:hAnsi="Arial Narrow" w:eastAsia="Calibri" w:cs="Calibri"/>
                <w:sz w:val="24"/>
                <w:szCs w:val="24"/>
                <w:lang w:val="ru-RU" w:eastAsia="ja-JP" w:bidi="ru-RU"/>
              </w:rPr>
            </w:pPr>
            <w:r>
              <w:rPr>
                <w:rFonts w:ascii="Arial Narrow" w:hAnsi="Arial Narrow" w:eastAsia="Calibri" w:cs="Calibri"/>
                <w:sz w:val="24"/>
                <w:szCs w:val="24"/>
                <w:lang w:val="ru-RU" w:eastAsia="ja-JP" w:bidi="ru-RU"/>
              </w:rPr>
              <w:t xml:space="preserve">ТЭЦ – 2</w:t>
            </w:r>
            <w:r>
              <w:rPr>
                <w:rFonts w:ascii="Arial Narrow" w:hAnsi="Arial Narrow" w:eastAsia="Calibri" w:cs="Calibri"/>
                <w:sz w:val="24"/>
                <w:szCs w:val="24"/>
                <w:lang w:val="ru-RU" w:eastAsia="ja-JP" w:bidi="ru-RU"/>
              </w:rPr>
            </w:r>
            <w:r>
              <w:rPr>
                <w:rFonts w:ascii="Arial Narrow" w:hAnsi="Arial Narrow" w:eastAsia="Calibri" w:cs="Calibri"/>
                <w:sz w:val="24"/>
                <w:szCs w:val="24"/>
                <w:lang w:val="ru-RU" w:eastAsia="ja-JP" w:bidi="ru-RU"/>
              </w:rPr>
            </w:r>
          </w:p>
        </w:tc>
        <w:tc>
          <w:tcPr>
            <w:tcMar>
              <w:left w:w="0" w:type="dxa"/>
              <w:right w:w="0" w:type="dxa"/>
            </w:tcMar>
            <w:tcW w:w="3004" w:type="dxa"/>
            <w:textDirection w:val="lrTb"/>
            <w:noWrap w:val="false"/>
          </w:tcPr>
          <w:p>
            <w:pPr>
              <w:pStyle w:val="1093"/>
              <w:jc w:val="both"/>
              <w:spacing w:before="0" w:after="0" w:line="276" w:lineRule="auto"/>
              <w:widowControl w:val="off"/>
              <w:tabs>
                <w:tab w:val="left" w:pos="993" w:leader="none"/>
              </w:tabs>
            </w:pPr>
            <w:r>
              <w:rPr>
                <w:rFonts w:ascii="Arial Narrow" w:hAnsi="Arial Narrow" w:cs="Calibri"/>
                <w:sz w:val="24"/>
                <w:szCs w:val="24"/>
              </w:rPr>
              <w:t xml:space="preserve">160,0 МВт;</w:t>
            </w:r>
            <w:r/>
          </w:p>
        </w:tc>
      </w:tr>
      <w:tr>
        <w:trPr>
          <w:trHeight w:val="318"/>
        </w:trPr>
        <w:tc>
          <w:tcPr>
            <w:tcW w:w="3544" w:type="dxa"/>
            <w:textDirection w:val="lrTb"/>
            <w:noWrap w:val="false"/>
          </w:tcPr>
          <w:p>
            <w:pPr>
              <w:pStyle w:val="1091"/>
              <w:numPr>
                <w:ilvl w:val="0"/>
                <w:numId w:val="3"/>
              </w:numPr>
              <w:ind w:left="709" w:hanging="368"/>
              <w:jc w:val="both"/>
              <w:spacing w:line="276" w:lineRule="auto"/>
              <w:widowControl w:val="off"/>
              <w:tabs>
                <w:tab w:val="left" w:pos="1701" w:leader="none"/>
              </w:tabs>
              <w:rPr>
                <w:rFonts w:ascii="Arial Narrow" w:hAnsi="Arial Narrow" w:eastAsia="Calibri" w:cs="Calibri"/>
                <w:sz w:val="24"/>
                <w:szCs w:val="24"/>
                <w:lang w:val="ru-RU" w:eastAsia="ja-JP" w:bidi="ru-RU"/>
              </w:rPr>
            </w:pPr>
            <w:r>
              <w:rPr>
                <w:rFonts w:ascii="Arial Narrow" w:hAnsi="Arial Narrow" w:eastAsia="Calibri" w:cs="Calibri"/>
                <w:sz w:val="24"/>
                <w:szCs w:val="24"/>
                <w:lang w:val="ru-RU" w:eastAsia="ja-JP" w:bidi="ru-RU"/>
              </w:rPr>
              <w:t xml:space="preserve">В-Мутновская ГеоЭС</w:t>
            </w:r>
            <w:r>
              <w:rPr>
                <w:rFonts w:ascii="Arial Narrow" w:hAnsi="Arial Narrow" w:eastAsia="Calibri" w:cs="Calibri"/>
                <w:sz w:val="24"/>
                <w:szCs w:val="24"/>
                <w:lang w:val="ru-RU" w:eastAsia="ja-JP" w:bidi="ru-RU"/>
              </w:rPr>
            </w:r>
            <w:r>
              <w:rPr>
                <w:rFonts w:ascii="Arial Narrow" w:hAnsi="Arial Narrow" w:eastAsia="Calibri" w:cs="Calibri"/>
                <w:sz w:val="24"/>
                <w:szCs w:val="24"/>
                <w:lang w:val="ru-RU" w:eastAsia="ja-JP" w:bidi="ru-RU"/>
              </w:rPr>
            </w:r>
          </w:p>
        </w:tc>
        <w:tc>
          <w:tcPr>
            <w:tcMar>
              <w:left w:w="0" w:type="dxa"/>
              <w:right w:w="0" w:type="dxa"/>
            </w:tcMar>
            <w:tcW w:w="3004" w:type="dxa"/>
            <w:textDirection w:val="lrTb"/>
            <w:noWrap w:val="false"/>
          </w:tcPr>
          <w:p>
            <w:pPr>
              <w:pStyle w:val="1093"/>
              <w:jc w:val="both"/>
              <w:spacing w:before="0" w:after="0" w:line="276" w:lineRule="auto"/>
              <w:widowControl w:val="off"/>
              <w:tabs>
                <w:tab w:val="left" w:pos="993" w:leader="none"/>
              </w:tabs>
            </w:pPr>
            <w:r>
              <w:rPr>
                <w:rFonts w:ascii="Arial Narrow" w:hAnsi="Arial Narrow" w:cs="Calibri"/>
                <w:sz w:val="24"/>
                <w:szCs w:val="24"/>
              </w:rPr>
              <w:t xml:space="preserve">12,0 МВт;</w:t>
            </w:r>
            <w:r/>
          </w:p>
        </w:tc>
      </w:tr>
      <w:tr>
        <w:trPr>
          <w:trHeight w:val="318"/>
        </w:trPr>
        <w:tc>
          <w:tcPr>
            <w:tcW w:w="3544" w:type="dxa"/>
            <w:textDirection w:val="lrTb"/>
            <w:noWrap w:val="false"/>
          </w:tcPr>
          <w:p>
            <w:pPr>
              <w:pStyle w:val="1091"/>
              <w:numPr>
                <w:ilvl w:val="0"/>
                <w:numId w:val="3"/>
              </w:numPr>
              <w:ind w:left="709" w:hanging="368"/>
              <w:jc w:val="both"/>
              <w:spacing w:line="276" w:lineRule="auto"/>
              <w:widowControl w:val="off"/>
              <w:tabs>
                <w:tab w:val="left" w:pos="1701" w:leader="none"/>
              </w:tabs>
              <w:rPr>
                <w:rFonts w:ascii="Arial Narrow" w:hAnsi="Arial Narrow" w:eastAsia="Calibri" w:cs="Calibri"/>
                <w:sz w:val="24"/>
                <w:szCs w:val="24"/>
                <w:lang w:val="ru-RU" w:eastAsia="ja-JP" w:bidi="ru-RU"/>
              </w:rPr>
            </w:pPr>
            <w:r>
              <w:rPr>
                <w:rFonts w:ascii="Arial Narrow" w:hAnsi="Arial Narrow" w:eastAsia="Calibri" w:cs="Calibri"/>
                <w:sz w:val="24"/>
                <w:szCs w:val="24"/>
                <w:lang w:val="ru-RU" w:eastAsia="ja-JP" w:bidi="ru-RU"/>
              </w:rPr>
              <w:t xml:space="preserve">Мутновская ГеоЭС</w:t>
            </w:r>
            <w:r>
              <w:rPr>
                <w:rFonts w:ascii="Arial Narrow" w:hAnsi="Arial Narrow" w:eastAsia="Calibri" w:cs="Calibri"/>
                <w:sz w:val="24"/>
                <w:szCs w:val="24"/>
                <w:lang w:val="ru-RU" w:eastAsia="ja-JP" w:bidi="ru-RU"/>
              </w:rPr>
            </w:r>
            <w:r>
              <w:rPr>
                <w:rFonts w:ascii="Arial Narrow" w:hAnsi="Arial Narrow" w:eastAsia="Calibri" w:cs="Calibri"/>
                <w:sz w:val="24"/>
                <w:szCs w:val="24"/>
                <w:lang w:val="ru-RU" w:eastAsia="ja-JP" w:bidi="ru-RU"/>
              </w:rPr>
            </w:r>
          </w:p>
        </w:tc>
        <w:tc>
          <w:tcPr>
            <w:tcMar>
              <w:left w:w="0" w:type="dxa"/>
              <w:right w:w="0" w:type="dxa"/>
            </w:tcMar>
            <w:tcW w:w="3004" w:type="dxa"/>
            <w:textDirection w:val="lrTb"/>
            <w:noWrap w:val="false"/>
          </w:tcPr>
          <w:p>
            <w:pPr>
              <w:pStyle w:val="1093"/>
              <w:jc w:val="both"/>
              <w:spacing w:before="0" w:after="0" w:line="276" w:lineRule="auto"/>
              <w:widowControl w:val="off"/>
              <w:tabs>
                <w:tab w:val="left" w:pos="993" w:leader="none"/>
              </w:tabs>
            </w:pPr>
            <w:r>
              <w:rPr>
                <w:rFonts w:ascii="Arial Narrow" w:hAnsi="Arial Narrow" w:cs="Calibri"/>
                <w:sz w:val="24"/>
                <w:szCs w:val="24"/>
              </w:rPr>
              <w:t xml:space="preserve">50,0 МВт;</w:t>
            </w:r>
            <w:r/>
          </w:p>
        </w:tc>
      </w:tr>
      <w:tr>
        <w:trPr>
          <w:trHeight w:val="318"/>
        </w:trPr>
        <w:tc>
          <w:tcPr>
            <w:tcW w:w="3544" w:type="dxa"/>
            <w:textDirection w:val="lrTb"/>
            <w:noWrap w:val="false"/>
          </w:tcPr>
          <w:p>
            <w:pPr>
              <w:pStyle w:val="1091"/>
              <w:numPr>
                <w:ilvl w:val="0"/>
                <w:numId w:val="3"/>
              </w:numPr>
              <w:ind w:left="709" w:hanging="368"/>
              <w:jc w:val="both"/>
              <w:spacing w:line="276" w:lineRule="auto"/>
              <w:widowControl w:val="off"/>
              <w:tabs>
                <w:tab w:val="left" w:pos="1701" w:leader="none"/>
              </w:tabs>
              <w:rPr>
                <w:rFonts w:ascii="Arial Narrow" w:hAnsi="Arial Narrow" w:eastAsia="Calibri" w:cs="Calibri"/>
                <w:sz w:val="24"/>
                <w:szCs w:val="24"/>
                <w:lang w:val="ru-RU" w:eastAsia="ja-JP" w:bidi="ru-RU"/>
              </w:rPr>
            </w:pPr>
            <w:r>
              <w:rPr>
                <w:rFonts w:ascii="Arial Narrow" w:hAnsi="Arial Narrow" w:eastAsia="Calibri" w:cs="Calibri"/>
                <w:sz w:val="24"/>
                <w:szCs w:val="24"/>
                <w:lang w:val="ru-RU" w:eastAsia="ja-JP" w:bidi="ru-RU"/>
              </w:rPr>
              <w:t xml:space="preserve">ДЭС - 5</w:t>
            </w:r>
            <w:r>
              <w:rPr>
                <w:rFonts w:ascii="Arial Narrow" w:hAnsi="Arial Narrow" w:eastAsia="Calibri" w:cs="Calibri"/>
                <w:sz w:val="24"/>
                <w:szCs w:val="24"/>
                <w:lang w:val="ru-RU" w:eastAsia="ja-JP" w:bidi="ru-RU"/>
              </w:rPr>
            </w:r>
            <w:r>
              <w:rPr>
                <w:rFonts w:ascii="Arial Narrow" w:hAnsi="Arial Narrow" w:eastAsia="Calibri" w:cs="Calibri"/>
                <w:sz w:val="24"/>
                <w:szCs w:val="24"/>
                <w:lang w:val="ru-RU" w:eastAsia="ja-JP" w:bidi="ru-RU"/>
              </w:rPr>
            </w:r>
          </w:p>
        </w:tc>
        <w:tc>
          <w:tcPr>
            <w:tcMar>
              <w:left w:w="0" w:type="dxa"/>
              <w:right w:w="0" w:type="dxa"/>
            </w:tcMar>
            <w:tcW w:w="3004" w:type="dxa"/>
            <w:textDirection w:val="lrTb"/>
            <w:noWrap w:val="false"/>
          </w:tcPr>
          <w:p>
            <w:pPr>
              <w:pStyle w:val="1093"/>
              <w:jc w:val="both"/>
              <w:spacing w:before="0" w:after="0" w:line="276" w:lineRule="auto"/>
              <w:widowControl w:val="off"/>
              <w:tabs>
                <w:tab w:val="left" w:pos="993" w:leader="none"/>
              </w:tabs>
            </w:pPr>
            <w:r>
              <w:rPr>
                <w:rFonts w:ascii="Arial Narrow" w:hAnsi="Arial Narrow" w:cs="Calibri"/>
                <w:sz w:val="24"/>
                <w:szCs w:val="24"/>
              </w:rPr>
              <w:t xml:space="preserve">6,0 МВт;</w:t>
            </w:r>
            <w:r/>
          </w:p>
        </w:tc>
      </w:tr>
      <w:tr>
        <w:trPr>
          <w:trHeight w:val="318"/>
        </w:trPr>
        <w:tc>
          <w:tcPr>
            <w:tcW w:w="3544" w:type="dxa"/>
            <w:textDirection w:val="lrTb"/>
            <w:noWrap w:val="false"/>
          </w:tcPr>
          <w:p>
            <w:pPr>
              <w:pStyle w:val="1091"/>
              <w:numPr>
                <w:ilvl w:val="0"/>
                <w:numId w:val="3"/>
              </w:numPr>
              <w:ind w:left="709" w:hanging="368"/>
              <w:jc w:val="both"/>
              <w:spacing w:line="276" w:lineRule="auto"/>
              <w:widowControl w:val="off"/>
              <w:tabs>
                <w:tab w:val="left" w:pos="1701" w:leader="none"/>
              </w:tabs>
              <w:rPr>
                <w:rFonts w:ascii="Arial Narrow" w:hAnsi="Arial Narrow" w:eastAsia="Calibri" w:cs="Calibri"/>
                <w:sz w:val="24"/>
                <w:szCs w:val="24"/>
                <w:lang w:val="ru-RU" w:eastAsia="ja-JP" w:bidi="ru-RU"/>
              </w:rPr>
            </w:pPr>
            <w:r>
              <w:rPr>
                <w:rFonts w:ascii="Arial Narrow" w:hAnsi="Arial Narrow" w:eastAsia="Calibri" w:cs="Calibri"/>
                <w:sz w:val="24"/>
                <w:szCs w:val="24"/>
                <w:lang w:val="ru-RU" w:eastAsia="ja-JP" w:bidi="ru-RU"/>
              </w:rPr>
              <w:t xml:space="preserve">ДЭС-6</w:t>
            </w:r>
            <w:r>
              <w:rPr>
                <w:rFonts w:ascii="Arial Narrow" w:hAnsi="Arial Narrow" w:eastAsia="Calibri" w:cs="Calibri"/>
                <w:sz w:val="24"/>
                <w:szCs w:val="24"/>
                <w:lang w:val="ru-RU" w:eastAsia="ja-JP" w:bidi="ru-RU"/>
              </w:rPr>
            </w:r>
            <w:r>
              <w:rPr>
                <w:rFonts w:ascii="Arial Narrow" w:hAnsi="Arial Narrow" w:eastAsia="Calibri" w:cs="Calibri"/>
                <w:sz w:val="24"/>
                <w:szCs w:val="24"/>
                <w:lang w:val="ru-RU" w:eastAsia="ja-JP" w:bidi="ru-RU"/>
              </w:rPr>
            </w:r>
          </w:p>
        </w:tc>
        <w:tc>
          <w:tcPr>
            <w:tcMar>
              <w:left w:w="0" w:type="dxa"/>
              <w:right w:w="0" w:type="dxa"/>
            </w:tcMar>
            <w:tcW w:w="3004" w:type="dxa"/>
            <w:textDirection w:val="lrTb"/>
            <w:noWrap w:val="false"/>
          </w:tcPr>
          <w:p>
            <w:pPr>
              <w:pStyle w:val="1093"/>
              <w:jc w:val="both"/>
              <w:spacing w:before="0" w:after="0" w:line="276" w:lineRule="auto"/>
              <w:widowControl w:val="off"/>
              <w:tabs>
                <w:tab w:val="left" w:pos="993" w:leader="none"/>
              </w:tabs>
            </w:pPr>
            <w:r>
              <w:rPr>
                <w:rFonts w:ascii="Arial Narrow" w:hAnsi="Arial Narrow" w:cs="Calibri"/>
                <w:sz w:val="24"/>
                <w:szCs w:val="24"/>
              </w:rPr>
              <w:t xml:space="preserve">4,4 МВт;</w:t>
            </w:r>
            <w:r/>
          </w:p>
        </w:tc>
      </w:tr>
      <w:tr>
        <w:trPr>
          <w:trHeight w:val="318"/>
        </w:trPr>
        <w:tc>
          <w:tcPr>
            <w:tcW w:w="3544" w:type="dxa"/>
            <w:textDirection w:val="lrTb"/>
            <w:noWrap w:val="false"/>
          </w:tcPr>
          <w:p>
            <w:pPr>
              <w:pStyle w:val="1091"/>
              <w:numPr>
                <w:ilvl w:val="0"/>
                <w:numId w:val="3"/>
              </w:numPr>
              <w:ind w:left="709" w:hanging="368"/>
              <w:jc w:val="both"/>
              <w:spacing w:line="276" w:lineRule="auto"/>
              <w:widowControl w:val="off"/>
              <w:tabs>
                <w:tab w:val="left" w:pos="1701" w:leader="none"/>
              </w:tabs>
              <w:rPr>
                <w:rFonts w:ascii="Arial Narrow" w:hAnsi="Arial Narrow" w:eastAsia="Calibri" w:cs="Calibri"/>
                <w:sz w:val="24"/>
                <w:szCs w:val="24"/>
                <w:lang w:val="ru-RU" w:eastAsia="ja-JP" w:bidi="ru-RU"/>
              </w:rPr>
            </w:pPr>
            <w:r>
              <w:rPr>
                <w:rFonts w:ascii="Arial Narrow" w:hAnsi="Arial Narrow" w:eastAsia="Calibri" w:cs="Calibri"/>
                <w:sz w:val="24"/>
                <w:szCs w:val="24"/>
                <w:lang w:val="ru-RU" w:eastAsia="ja-JP" w:bidi="ru-RU"/>
              </w:rPr>
              <w:t xml:space="preserve">ДЭС (ТЭЦ-2)</w:t>
            </w:r>
            <w:r>
              <w:rPr>
                <w:rFonts w:ascii="Arial Narrow" w:hAnsi="Arial Narrow" w:eastAsia="Calibri" w:cs="Calibri"/>
                <w:sz w:val="24"/>
                <w:szCs w:val="24"/>
                <w:lang w:val="ru-RU" w:eastAsia="ja-JP" w:bidi="ru-RU"/>
              </w:rPr>
            </w:r>
            <w:r>
              <w:rPr>
                <w:rFonts w:ascii="Arial Narrow" w:hAnsi="Arial Narrow" w:eastAsia="Calibri" w:cs="Calibri"/>
                <w:sz w:val="24"/>
                <w:szCs w:val="24"/>
                <w:lang w:val="ru-RU" w:eastAsia="ja-JP" w:bidi="ru-RU"/>
              </w:rPr>
            </w:r>
          </w:p>
        </w:tc>
        <w:tc>
          <w:tcPr>
            <w:tcMar>
              <w:left w:w="0" w:type="dxa"/>
              <w:right w:w="0" w:type="dxa"/>
            </w:tcMar>
            <w:tcW w:w="3004" w:type="dxa"/>
            <w:textDirection w:val="lrTb"/>
            <w:noWrap w:val="false"/>
          </w:tcPr>
          <w:p>
            <w:pPr>
              <w:pStyle w:val="1093"/>
              <w:jc w:val="both"/>
              <w:spacing w:before="0" w:after="0" w:line="276" w:lineRule="auto"/>
              <w:widowControl w:val="off"/>
              <w:tabs>
                <w:tab w:val="left" w:pos="993" w:leader="none"/>
              </w:tabs>
            </w:pPr>
            <w:r>
              <w:rPr>
                <w:rFonts w:ascii="Arial Narrow" w:hAnsi="Arial Narrow" w:cs="Calibri"/>
                <w:sz w:val="24"/>
                <w:szCs w:val="24"/>
              </w:rPr>
              <w:t xml:space="preserve">3,150 МВт</w:t>
            </w:r>
            <w:r/>
          </w:p>
        </w:tc>
      </w:tr>
    </w:tbl>
    <w:p>
      <w:pPr>
        <w:pStyle w:val="1149"/>
        <w:ind w:firstLine="567"/>
        <w:spacing w:after="0" w:line="276" w:lineRule="auto"/>
      </w:pPr>
      <w:r>
        <w:rPr>
          <w:rFonts w:ascii="Arial Narrow" w:hAnsi="Arial Narrow" w:eastAsia="Arial" w:cs="Calibri"/>
          <w:szCs w:val="24"/>
          <w:lang w:eastAsia="en-US" w:bidi="ru-RU"/>
        </w:rPr>
        <w:t xml:space="preserve">По Озерновскому, изолированному энергоузлу (ОЭУ):</w:t>
      </w:r>
      <w:r/>
    </w:p>
    <w:tbl>
      <w:tblPr>
        <w:tblW w:w="8646" w:type="dxa"/>
        <w:tblInd w:w="216" w:type="dxa"/>
        <w:tblLayout w:type="fixed"/>
        <w:tblLook w:val="04A0" w:firstRow="1" w:lastRow="0" w:firstColumn="1" w:lastColumn="0" w:noHBand="0" w:noVBand="1"/>
      </w:tblPr>
      <w:tblGrid>
        <w:gridCol w:w="3573"/>
        <w:gridCol w:w="5073"/>
      </w:tblGrid>
      <w:tr>
        <w:trPr>
          <w:trHeight w:val="175"/>
        </w:trPr>
        <w:tc>
          <w:tcPr>
            <w:tcW w:w="3573" w:type="dxa"/>
            <w:textDirection w:val="lrTb"/>
            <w:noWrap w:val="false"/>
          </w:tcPr>
          <w:p>
            <w:pPr>
              <w:pStyle w:val="1091"/>
              <w:numPr>
                <w:ilvl w:val="0"/>
                <w:numId w:val="3"/>
              </w:numPr>
              <w:ind w:left="709" w:hanging="368"/>
              <w:jc w:val="both"/>
              <w:spacing w:line="276" w:lineRule="auto"/>
              <w:widowControl w:val="off"/>
              <w:tabs>
                <w:tab w:val="left" w:pos="1701" w:leader="none"/>
              </w:tabs>
              <w:rPr>
                <w:rFonts w:ascii="Arial Narrow" w:hAnsi="Arial Narrow" w:eastAsia="Calibri" w:cs="Calibri"/>
                <w:sz w:val="24"/>
                <w:szCs w:val="24"/>
                <w:lang w:val="ru-RU" w:eastAsia="ja-JP" w:bidi="ru-RU"/>
              </w:rPr>
            </w:pPr>
            <w:r>
              <w:rPr>
                <w:rFonts w:ascii="Arial Narrow" w:hAnsi="Arial Narrow" w:eastAsia="Calibri" w:cs="Calibri"/>
                <w:sz w:val="24"/>
                <w:szCs w:val="24"/>
                <w:lang w:val="ru-RU" w:eastAsia="ja-JP" w:bidi="ru-RU"/>
              </w:rPr>
              <w:t xml:space="preserve">Паужетская ГеоЭС</w:t>
            </w:r>
            <w:r>
              <w:rPr>
                <w:rFonts w:ascii="Arial Narrow" w:hAnsi="Arial Narrow" w:eastAsia="Calibri" w:cs="Calibri"/>
                <w:sz w:val="24"/>
                <w:szCs w:val="24"/>
                <w:lang w:val="ru-RU" w:eastAsia="ja-JP" w:bidi="ru-RU"/>
              </w:rPr>
            </w:r>
            <w:r>
              <w:rPr>
                <w:rFonts w:ascii="Arial Narrow" w:hAnsi="Arial Narrow" w:eastAsia="Calibri" w:cs="Calibri"/>
                <w:sz w:val="24"/>
                <w:szCs w:val="24"/>
                <w:lang w:val="ru-RU" w:eastAsia="ja-JP" w:bidi="ru-RU"/>
              </w:rPr>
            </w:r>
          </w:p>
        </w:tc>
        <w:tc>
          <w:tcPr>
            <w:tcMar>
              <w:left w:w="0" w:type="dxa"/>
              <w:right w:w="0" w:type="dxa"/>
            </w:tcMar>
            <w:tcW w:w="5072" w:type="dxa"/>
            <w:textDirection w:val="lrTb"/>
            <w:noWrap w:val="false"/>
          </w:tcPr>
          <w:p>
            <w:pPr>
              <w:pStyle w:val="1093"/>
              <w:jc w:val="both"/>
              <w:spacing w:before="0" w:after="0" w:line="276" w:lineRule="auto"/>
              <w:widowControl w:val="off"/>
              <w:tabs>
                <w:tab w:val="left" w:pos="993" w:leader="none"/>
              </w:tabs>
            </w:pPr>
            <w:r>
              <w:rPr>
                <w:rFonts w:ascii="Arial Narrow" w:hAnsi="Arial Narrow" w:cs="Calibri"/>
                <w:sz w:val="24"/>
                <w:szCs w:val="24"/>
              </w:rPr>
              <w:t xml:space="preserve">12,0 МВт;</w:t>
            </w:r>
            <w:r/>
          </w:p>
        </w:tc>
      </w:tr>
      <w:tr>
        <w:trPr>
          <w:trHeight w:val="351"/>
        </w:trPr>
        <w:tc>
          <w:tcPr>
            <w:tcW w:w="3573" w:type="dxa"/>
            <w:textDirection w:val="lrTb"/>
            <w:noWrap w:val="false"/>
          </w:tcPr>
          <w:p>
            <w:pPr>
              <w:pStyle w:val="1091"/>
              <w:numPr>
                <w:ilvl w:val="0"/>
                <w:numId w:val="3"/>
              </w:numPr>
              <w:ind w:left="709" w:hanging="368"/>
              <w:jc w:val="both"/>
              <w:spacing w:line="276" w:lineRule="auto"/>
              <w:widowControl w:val="off"/>
              <w:tabs>
                <w:tab w:val="left" w:pos="1701" w:leader="none"/>
              </w:tabs>
              <w:rPr>
                <w:rFonts w:ascii="Arial Narrow" w:hAnsi="Arial Narrow" w:eastAsia="Calibri" w:cs="Calibri"/>
                <w:sz w:val="24"/>
                <w:szCs w:val="24"/>
                <w:lang w:val="ru-RU" w:eastAsia="ja-JP" w:bidi="ru-RU"/>
              </w:rPr>
            </w:pPr>
            <w:r>
              <w:rPr>
                <w:rFonts w:ascii="Arial Narrow" w:hAnsi="Arial Narrow" w:eastAsia="Calibri" w:cs="Calibri"/>
                <w:sz w:val="24"/>
                <w:szCs w:val="24"/>
                <w:lang w:val="ru-RU" w:eastAsia="ja-JP" w:bidi="ru-RU"/>
              </w:rPr>
              <w:t xml:space="preserve">Озерновские ДЭС</w:t>
            </w:r>
            <w:r>
              <w:rPr>
                <w:rFonts w:ascii="Arial Narrow" w:hAnsi="Arial Narrow" w:eastAsia="Calibri" w:cs="Calibri"/>
                <w:sz w:val="24"/>
                <w:szCs w:val="24"/>
                <w:lang w:val="ru-RU" w:eastAsia="ja-JP" w:bidi="ru-RU"/>
              </w:rPr>
            </w:r>
            <w:r>
              <w:rPr>
                <w:rFonts w:ascii="Arial Narrow" w:hAnsi="Arial Narrow" w:eastAsia="Calibri" w:cs="Calibri"/>
                <w:sz w:val="24"/>
                <w:szCs w:val="24"/>
                <w:lang w:val="ru-RU" w:eastAsia="ja-JP" w:bidi="ru-RU"/>
              </w:rPr>
            </w:r>
          </w:p>
        </w:tc>
        <w:tc>
          <w:tcPr>
            <w:tcMar>
              <w:left w:w="0" w:type="dxa"/>
              <w:right w:w="0" w:type="dxa"/>
            </w:tcMar>
            <w:tcW w:w="5072" w:type="dxa"/>
            <w:textDirection w:val="lrTb"/>
            <w:noWrap w:val="false"/>
          </w:tcPr>
          <w:p>
            <w:pPr>
              <w:pStyle w:val="1093"/>
              <w:jc w:val="both"/>
              <w:spacing w:before="0" w:after="0" w:line="276" w:lineRule="auto"/>
              <w:widowControl w:val="off"/>
              <w:tabs>
                <w:tab w:val="left" w:pos="993" w:leader="none"/>
              </w:tabs>
            </w:pPr>
            <w:r>
              <w:rPr>
                <w:rFonts w:ascii="Arial Narrow" w:hAnsi="Arial Narrow" w:cs="Calibri"/>
                <w:sz w:val="24"/>
                <w:szCs w:val="24"/>
              </w:rPr>
              <w:t xml:space="preserve">5,57 МВт.</w:t>
            </w:r>
            <w:r/>
          </w:p>
        </w:tc>
      </w:tr>
    </w:tbl>
    <w:p>
      <w:pPr>
        <w:pStyle w:val="1149"/>
        <w:ind w:firstLine="567"/>
        <w:spacing w:after="0" w:line="276" w:lineRule="auto"/>
      </w:pPr>
      <w:r>
        <w:rPr>
          <w:rFonts w:ascii="Arial Narrow" w:hAnsi="Arial Narrow" w:eastAsia="Arial" w:cs="Calibri"/>
          <w:szCs w:val="24"/>
          <w:lang w:eastAsia="en-US" w:bidi="ru-RU"/>
        </w:rPr>
        <w:t xml:space="preserve">Электростанции в доверительном управлении у ПАО «Камчатскэнерго»</w:t>
      </w:r>
      <w:r/>
    </w:p>
    <w:p>
      <w:pPr>
        <w:pStyle w:val="1149"/>
        <w:ind w:firstLine="567"/>
        <w:spacing w:after="0" w:line="276" w:lineRule="auto"/>
      </w:pPr>
      <w:r>
        <w:rPr>
          <w:rFonts w:ascii="Arial Narrow" w:hAnsi="Arial Narrow" w:eastAsia="Arial" w:cs="Calibri"/>
          <w:szCs w:val="24"/>
          <w:lang w:eastAsia="en-US" w:bidi="ru-RU"/>
        </w:rPr>
        <w:t xml:space="preserve">По Центральному энергоузлу (ЦЭУ) (Толмачевские ГЭС):</w:t>
      </w:r>
      <w:r/>
    </w:p>
    <w:tbl>
      <w:tblPr>
        <w:tblW w:w="6468" w:type="dxa"/>
        <w:tblInd w:w="216" w:type="dxa"/>
        <w:tblLayout w:type="fixed"/>
        <w:tblLook w:val="04A0" w:firstRow="1" w:lastRow="0" w:firstColumn="1" w:lastColumn="0" w:noHBand="0" w:noVBand="1"/>
      </w:tblPr>
      <w:tblGrid>
        <w:gridCol w:w="3544"/>
        <w:gridCol w:w="2924"/>
      </w:tblGrid>
      <w:tr>
        <w:trPr/>
        <w:tc>
          <w:tcPr>
            <w:tcW w:w="3543" w:type="dxa"/>
            <w:textDirection w:val="lrTb"/>
            <w:noWrap w:val="false"/>
          </w:tcPr>
          <w:p>
            <w:pPr>
              <w:pStyle w:val="1091"/>
              <w:numPr>
                <w:ilvl w:val="0"/>
                <w:numId w:val="3"/>
              </w:numPr>
              <w:ind w:left="709" w:hanging="368"/>
              <w:jc w:val="both"/>
              <w:spacing w:line="276" w:lineRule="auto"/>
              <w:widowControl w:val="off"/>
              <w:tabs>
                <w:tab w:val="left" w:pos="1701" w:leader="none"/>
              </w:tabs>
              <w:rPr>
                <w:rFonts w:ascii="Arial Narrow" w:hAnsi="Arial Narrow" w:eastAsia="Calibri" w:cs="Calibri"/>
                <w:sz w:val="24"/>
                <w:szCs w:val="24"/>
                <w:lang w:val="ru-RU" w:eastAsia="ja-JP" w:bidi="ru-RU"/>
              </w:rPr>
            </w:pPr>
            <w:r>
              <w:rPr>
                <w:rFonts w:ascii="Arial Narrow" w:hAnsi="Arial Narrow" w:eastAsia="Calibri" w:cs="Calibri"/>
                <w:sz w:val="24"/>
                <w:szCs w:val="24"/>
                <w:lang w:val="ru-RU" w:eastAsia="ja-JP" w:bidi="ru-RU"/>
              </w:rPr>
              <w:t xml:space="preserve">ГЭС – 1</w:t>
            </w:r>
            <w:r>
              <w:rPr>
                <w:rFonts w:ascii="Arial Narrow" w:hAnsi="Arial Narrow" w:eastAsia="Calibri" w:cs="Calibri"/>
                <w:sz w:val="24"/>
                <w:szCs w:val="24"/>
                <w:lang w:val="ru-RU" w:eastAsia="ja-JP" w:bidi="ru-RU"/>
              </w:rPr>
            </w:r>
            <w:r>
              <w:rPr>
                <w:rFonts w:ascii="Arial Narrow" w:hAnsi="Arial Narrow" w:eastAsia="Calibri" w:cs="Calibri"/>
                <w:sz w:val="24"/>
                <w:szCs w:val="24"/>
                <w:lang w:val="ru-RU" w:eastAsia="ja-JP" w:bidi="ru-RU"/>
              </w:rPr>
            </w:r>
          </w:p>
        </w:tc>
        <w:tc>
          <w:tcPr>
            <w:tcMar>
              <w:left w:w="0" w:type="dxa"/>
              <w:right w:w="0" w:type="dxa"/>
            </w:tcMar>
            <w:tcW w:w="2924" w:type="dxa"/>
            <w:textDirection w:val="lrTb"/>
            <w:noWrap w:val="false"/>
          </w:tcPr>
          <w:p>
            <w:pPr>
              <w:pStyle w:val="1063"/>
              <w:jc w:val="both"/>
              <w:widowControl w:val="off"/>
              <w:tabs>
                <w:tab w:val="left" w:pos="992" w:leader="none"/>
              </w:tabs>
            </w:pPr>
            <w:r>
              <w:rPr>
                <w:rFonts w:ascii="Arial Narrow" w:hAnsi="Arial Narrow" w:cs="Calibri"/>
                <w:lang w:bidi="ru-RU"/>
              </w:rPr>
              <w:t xml:space="preserve">2,2 МВт;</w:t>
            </w:r>
            <w:r/>
          </w:p>
        </w:tc>
      </w:tr>
      <w:tr>
        <w:trPr/>
        <w:tc>
          <w:tcPr>
            <w:tcW w:w="3543" w:type="dxa"/>
            <w:textDirection w:val="lrTb"/>
            <w:noWrap w:val="false"/>
          </w:tcPr>
          <w:p>
            <w:pPr>
              <w:pStyle w:val="1091"/>
              <w:numPr>
                <w:ilvl w:val="0"/>
                <w:numId w:val="3"/>
              </w:numPr>
              <w:ind w:left="709" w:hanging="368"/>
              <w:jc w:val="both"/>
              <w:spacing w:line="276" w:lineRule="auto"/>
              <w:widowControl w:val="off"/>
              <w:tabs>
                <w:tab w:val="left" w:pos="1701" w:leader="none"/>
              </w:tabs>
              <w:rPr>
                <w:rFonts w:ascii="Arial Narrow" w:hAnsi="Arial Narrow" w:eastAsia="Calibri" w:cs="Calibri"/>
                <w:sz w:val="24"/>
                <w:szCs w:val="24"/>
                <w:lang w:val="ru-RU" w:eastAsia="ja-JP" w:bidi="ru-RU"/>
              </w:rPr>
            </w:pPr>
            <w:r>
              <w:rPr>
                <w:rFonts w:ascii="Arial Narrow" w:hAnsi="Arial Narrow" w:eastAsia="Calibri" w:cs="Calibri"/>
                <w:sz w:val="24"/>
                <w:szCs w:val="24"/>
                <w:lang w:val="ru-RU" w:eastAsia="ja-JP" w:bidi="ru-RU"/>
              </w:rPr>
              <w:t xml:space="preserve">ГЭС – 2</w:t>
            </w:r>
            <w:r>
              <w:rPr>
                <w:rFonts w:ascii="Arial Narrow" w:hAnsi="Arial Narrow" w:eastAsia="Calibri" w:cs="Calibri"/>
                <w:sz w:val="24"/>
                <w:szCs w:val="24"/>
                <w:lang w:val="ru-RU" w:eastAsia="ja-JP" w:bidi="ru-RU"/>
              </w:rPr>
            </w:r>
            <w:r>
              <w:rPr>
                <w:rFonts w:ascii="Arial Narrow" w:hAnsi="Arial Narrow" w:eastAsia="Calibri" w:cs="Calibri"/>
                <w:sz w:val="24"/>
                <w:szCs w:val="24"/>
                <w:lang w:val="ru-RU" w:eastAsia="ja-JP" w:bidi="ru-RU"/>
              </w:rPr>
            </w:r>
          </w:p>
        </w:tc>
        <w:tc>
          <w:tcPr>
            <w:tcMar>
              <w:left w:w="0" w:type="dxa"/>
              <w:right w:w="0" w:type="dxa"/>
            </w:tcMar>
            <w:tcW w:w="2924" w:type="dxa"/>
            <w:textDirection w:val="lrTb"/>
            <w:noWrap w:val="false"/>
          </w:tcPr>
          <w:p>
            <w:pPr>
              <w:pStyle w:val="1063"/>
              <w:jc w:val="both"/>
              <w:widowControl w:val="off"/>
              <w:tabs>
                <w:tab w:val="left" w:pos="992" w:leader="none"/>
              </w:tabs>
            </w:pPr>
            <w:r>
              <w:rPr>
                <w:rFonts w:ascii="Arial Narrow" w:hAnsi="Arial Narrow" w:cs="Calibri"/>
                <w:lang w:bidi="ru-RU"/>
              </w:rPr>
              <w:t xml:space="preserve">24,8 МВт;</w:t>
            </w:r>
            <w:r/>
          </w:p>
        </w:tc>
      </w:tr>
      <w:tr>
        <w:trPr>
          <w:trHeight w:val="324"/>
        </w:trPr>
        <w:tc>
          <w:tcPr>
            <w:tcW w:w="3543" w:type="dxa"/>
            <w:textDirection w:val="lrTb"/>
            <w:noWrap w:val="false"/>
          </w:tcPr>
          <w:p>
            <w:pPr>
              <w:pStyle w:val="1091"/>
              <w:numPr>
                <w:ilvl w:val="0"/>
                <w:numId w:val="3"/>
              </w:numPr>
              <w:ind w:left="709" w:hanging="368"/>
              <w:jc w:val="both"/>
              <w:spacing w:line="276" w:lineRule="auto"/>
              <w:widowControl w:val="off"/>
              <w:tabs>
                <w:tab w:val="left" w:pos="1701" w:leader="none"/>
              </w:tabs>
              <w:rPr>
                <w:rFonts w:ascii="Arial Narrow" w:hAnsi="Arial Narrow" w:eastAsia="Calibri" w:cs="Calibri"/>
                <w:sz w:val="24"/>
                <w:szCs w:val="24"/>
                <w:lang w:val="ru-RU" w:eastAsia="ja-JP" w:bidi="ru-RU"/>
              </w:rPr>
            </w:pPr>
            <w:r>
              <w:rPr>
                <w:rFonts w:ascii="Arial Narrow" w:hAnsi="Arial Narrow" w:eastAsia="Calibri" w:cs="Calibri"/>
                <w:sz w:val="24"/>
                <w:szCs w:val="24"/>
                <w:lang w:val="ru-RU" w:eastAsia="ja-JP" w:bidi="ru-RU"/>
              </w:rPr>
              <w:t xml:space="preserve">ГЭС – 3</w:t>
            </w:r>
            <w:r>
              <w:rPr>
                <w:rFonts w:ascii="Arial Narrow" w:hAnsi="Arial Narrow" w:eastAsia="Calibri" w:cs="Calibri"/>
                <w:sz w:val="24"/>
                <w:szCs w:val="24"/>
                <w:lang w:val="ru-RU" w:eastAsia="ja-JP" w:bidi="ru-RU"/>
              </w:rPr>
            </w:r>
            <w:r>
              <w:rPr>
                <w:rFonts w:ascii="Arial Narrow" w:hAnsi="Arial Narrow" w:eastAsia="Calibri" w:cs="Calibri"/>
                <w:sz w:val="24"/>
                <w:szCs w:val="24"/>
                <w:lang w:val="ru-RU" w:eastAsia="ja-JP" w:bidi="ru-RU"/>
              </w:rPr>
            </w:r>
          </w:p>
        </w:tc>
        <w:tc>
          <w:tcPr>
            <w:tcMar>
              <w:left w:w="0" w:type="dxa"/>
              <w:right w:w="0" w:type="dxa"/>
            </w:tcMar>
            <w:tcW w:w="2924" w:type="dxa"/>
            <w:textDirection w:val="lrTb"/>
            <w:noWrap w:val="false"/>
          </w:tcPr>
          <w:p>
            <w:pPr>
              <w:pStyle w:val="1063"/>
              <w:jc w:val="both"/>
              <w:widowControl w:val="off"/>
              <w:tabs>
                <w:tab w:val="left" w:pos="992" w:leader="none"/>
              </w:tabs>
            </w:pPr>
            <w:r>
              <w:rPr>
                <w:rFonts w:ascii="Arial Narrow" w:hAnsi="Arial Narrow" w:cs="Calibri"/>
                <w:lang w:bidi="ru-RU"/>
              </w:rPr>
              <w:t xml:space="preserve">18,4 МВт.</w:t>
            </w:r>
            <w:r/>
          </w:p>
        </w:tc>
      </w:tr>
    </w:tbl>
    <w:p>
      <w:pPr>
        <w:pStyle w:val="1063"/>
        <w:ind w:firstLine="567"/>
        <w:jc w:val="both"/>
      </w:pPr>
      <w:r>
        <w:rPr>
          <w:rFonts w:ascii="Arial Narrow" w:hAnsi="Arial Narrow" w:cs="Calibri"/>
          <w:lang w:bidi="ru-RU"/>
        </w:rPr>
        <w:t xml:space="preserve">В соответствии с агентским Договором оказания услуг </w:t>
      </w:r>
      <w:r>
        <w:rPr>
          <w:rFonts w:ascii="Arial Narrow" w:hAnsi="Arial Narrow" w:cs="Calibri"/>
          <w:lang w:eastAsia="ar-SA" w:bidi="ru-RU"/>
        </w:rPr>
        <w:t xml:space="preserve">по выполнению энергосбытовых функций</w:t>
      </w:r>
      <w:r>
        <w:rPr>
          <w:rFonts w:ascii="Arial Narrow" w:hAnsi="Arial Narrow" w:cs="Calibri"/>
          <w:lang w:bidi="ru-RU"/>
        </w:rPr>
        <w:t xml:space="preserve"> деятельность по реализации электрической и тепловой энергии потребителям осуществляется ПАО «ДЭК».</w:t>
      </w:r>
      <w:r/>
    </w:p>
    <w:p>
      <w:pPr>
        <w:rPr>
          <w:rFonts w:ascii="Arial Narrow" w:hAnsi="Arial Narrow" w:eastAsia="Calibri" w:cs="Calibri"/>
          <w:b/>
          <w:iCs/>
          <w:color w:val="314e87"/>
          <w:sz w:val="24"/>
          <w:szCs w:val="24"/>
          <w:lang w:eastAsia="ja-JP" w:bidi="ru-RU"/>
        </w:rPr>
      </w:pPr>
      <w:r>
        <w:br w:type="page" w:clear="all"/>
      </w:r>
      <w:r>
        <w:rPr>
          <w:rFonts w:ascii="Arial Narrow" w:hAnsi="Arial Narrow" w:eastAsia="Calibri" w:cs="Calibri"/>
          <w:b/>
          <w:iCs/>
          <w:color w:val="314e87"/>
          <w:sz w:val="24"/>
          <w:szCs w:val="24"/>
          <w:lang w:eastAsia="ja-JP" w:bidi="ru-RU"/>
        </w:rPr>
      </w:r>
      <w:r>
        <w:rPr>
          <w:rFonts w:ascii="Arial Narrow" w:hAnsi="Arial Narrow" w:eastAsia="Calibri" w:cs="Calibri"/>
          <w:b/>
          <w:iCs/>
          <w:color w:val="314e87"/>
          <w:sz w:val="24"/>
          <w:szCs w:val="24"/>
          <w:lang w:eastAsia="ja-JP" w:bidi="ru-RU"/>
        </w:rPr>
      </w:r>
    </w:p>
    <w:p>
      <w:pPr>
        <w:pStyle w:val="1063"/>
        <w:jc w:val="both"/>
        <w:tabs>
          <w:tab w:val="left" w:pos="709" w:leader="none"/>
        </w:tabs>
        <w:rPr>
          <w:b/>
        </w:rPr>
      </w:pPr>
      <w:r>
        <w:rPr>
          <w:rFonts w:ascii="Arial Narrow" w:hAnsi="Arial Narrow" w:eastAsia="Calibri" w:cs="Calibri"/>
          <w:b/>
          <w:iCs/>
          <w:color w:val="314e87"/>
          <w:lang w:eastAsia="ja-JP" w:bidi="ru-RU"/>
        </w:rPr>
        <w:t xml:space="preserve">Выполнение планового уровня оплаты энергии</w:t>
      </w:r>
      <w:r>
        <w:rPr>
          <w:b/>
        </w:rPr>
      </w:r>
      <w:r>
        <w:rPr>
          <w:b/>
        </w:rPr>
      </w:r>
    </w:p>
    <w:p>
      <w:pPr>
        <w:pStyle w:val="1063"/>
        <w:rPr>
          <w:i/>
          <w:sz w:val="18"/>
          <w:szCs w:val="18"/>
        </w:rPr>
      </w:pPr>
      <w:r>
        <w:rPr>
          <w:rFonts w:ascii="Arial Narrow" w:hAnsi="Arial Narrow" w:cs="Calibri"/>
          <w:i/>
          <w:sz w:val="18"/>
          <w:szCs w:val="18"/>
        </w:rPr>
        <w:t xml:space="preserve">                                                                                                                                                                      </w:t>
      </w:r>
      <w:r>
        <w:rPr>
          <w:rFonts w:ascii="Arial Narrow" w:hAnsi="Arial Narrow" w:eastAsia="Calibri" w:cs="Calibri"/>
          <w:i/>
          <w:lang w:eastAsia="ja-JP"/>
        </w:rPr>
        <w:t xml:space="preserve">Таблица № 1, </w:t>
      </w:r>
      <w:r>
        <w:rPr>
          <w:rFonts w:ascii="Arial Narrow" w:hAnsi="Arial Narrow" w:cs="Calibri"/>
          <w:i/>
        </w:rPr>
        <w:t xml:space="preserve">млн. рублей с НДС</w:t>
      </w:r>
      <w:r>
        <w:rPr>
          <w:rFonts w:ascii="Arial Narrow" w:hAnsi="Arial Narrow" w:cs="Calibri"/>
          <w:i/>
        </w:rPr>
        <w:tab/>
      </w:r>
      <w:r>
        <w:rPr>
          <w:i/>
          <w:sz w:val="18"/>
          <w:szCs w:val="18"/>
        </w:rPr>
      </w:r>
      <w:r>
        <w:rPr>
          <w:i/>
          <w:sz w:val="18"/>
          <w:szCs w:val="18"/>
        </w:rPr>
      </w:r>
    </w:p>
    <w:tbl>
      <w:tblPr>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239"/>
        <w:gridCol w:w="858"/>
        <w:gridCol w:w="845"/>
        <w:gridCol w:w="1000"/>
        <w:gridCol w:w="812"/>
        <w:gridCol w:w="739"/>
        <w:gridCol w:w="1021"/>
        <w:gridCol w:w="740"/>
        <w:gridCol w:w="619"/>
        <w:gridCol w:w="1031"/>
        <w:gridCol w:w="1014"/>
      </w:tblGrid>
      <w:tr>
        <w:trPr>
          <w:jc w:val="center"/>
          <w:trHeight w:val="47"/>
        </w:trPr>
        <w:tc>
          <w:tcPr>
            <w:shd w:val="clear" w:color="auto" w:fill="ffffff"/>
            <w:tcW w:w="1239" w:type="dxa"/>
            <w:vAlign w:val="center"/>
            <w:vMerge w:val="restart"/>
            <w:textDirection w:val="lrTb"/>
            <w:noWrap w:val="false"/>
          </w:tcPr>
          <w:p>
            <w:pPr>
              <w:pStyle w:val="1063"/>
              <w:ind w:left="-111" w:right="-104" w:firstLine="112"/>
              <w:jc w:val="center"/>
              <w:spacing w:before="120" w:after="120"/>
              <w:widowControl w:val="off"/>
              <w:rPr>
                <w:sz w:val="20"/>
                <w:szCs w:val="20"/>
              </w:rPr>
            </w:pPr>
            <w:r>
              <w:rPr>
                <w:rFonts w:ascii="Arial Narrow" w:hAnsi="Arial Narrow" w:cs="Calibri"/>
                <w:sz w:val="20"/>
                <w:szCs w:val="20"/>
              </w:rPr>
              <w:t xml:space="preserve">2024</w:t>
            </w:r>
            <w:r>
              <w:rPr>
                <w:sz w:val="20"/>
                <w:szCs w:val="20"/>
              </w:rPr>
            </w:r>
            <w:r>
              <w:rPr>
                <w:sz w:val="20"/>
                <w:szCs w:val="20"/>
              </w:rPr>
            </w:r>
          </w:p>
        </w:tc>
        <w:tc>
          <w:tcPr>
            <w:gridSpan w:val="3"/>
            <w:shd w:val="clear" w:color="auto" w:fill="ffffff"/>
            <w:tcW w:w="2703" w:type="dxa"/>
            <w:vAlign w:val="center"/>
            <w:textDirection w:val="lrTb"/>
            <w:noWrap w:val="false"/>
          </w:tcPr>
          <w:p>
            <w:pPr>
              <w:pStyle w:val="1063"/>
              <w:ind w:left="-111" w:right="-104" w:firstLine="112"/>
              <w:jc w:val="center"/>
              <w:spacing w:before="120" w:after="120"/>
              <w:widowControl w:val="off"/>
              <w:rPr>
                <w:sz w:val="20"/>
                <w:szCs w:val="20"/>
              </w:rPr>
            </w:pPr>
            <w:r>
              <w:rPr>
                <w:rFonts w:ascii="Arial Narrow" w:hAnsi="Arial Narrow" w:cs="Calibri"/>
                <w:sz w:val="20"/>
                <w:szCs w:val="20"/>
              </w:rPr>
              <w:t xml:space="preserve">Объем продаж</w:t>
            </w:r>
            <w:r>
              <w:rPr>
                <w:sz w:val="20"/>
                <w:szCs w:val="20"/>
              </w:rPr>
            </w:r>
            <w:r>
              <w:rPr>
                <w:sz w:val="20"/>
                <w:szCs w:val="20"/>
              </w:rPr>
            </w:r>
          </w:p>
        </w:tc>
        <w:tc>
          <w:tcPr>
            <w:gridSpan w:val="3"/>
            <w:shd w:val="clear" w:color="auto" w:fill="ffffff"/>
            <w:tcW w:w="2572" w:type="dxa"/>
            <w:vAlign w:val="center"/>
            <w:textDirection w:val="lrTb"/>
            <w:noWrap w:val="false"/>
          </w:tcPr>
          <w:p>
            <w:pPr>
              <w:pStyle w:val="1063"/>
              <w:ind w:left="-111" w:right="-104" w:firstLine="112"/>
              <w:jc w:val="center"/>
              <w:spacing w:before="120" w:after="120"/>
              <w:widowControl w:val="off"/>
              <w:rPr>
                <w:sz w:val="20"/>
                <w:szCs w:val="20"/>
              </w:rPr>
            </w:pPr>
            <w:r>
              <w:rPr>
                <w:rFonts w:ascii="Arial Narrow" w:hAnsi="Arial Narrow" w:cs="Calibri"/>
                <w:sz w:val="20"/>
                <w:szCs w:val="20"/>
              </w:rPr>
              <w:t xml:space="preserve">Оплата</w:t>
            </w:r>
            <w:r>
              <w:rPr>
                <w:sz w:val="20"/>
                <w:szCs w:val="20"/>
              </w:rPr>
            </w:r>
            <w:r>
              <w:rPr>
                <w:sz w:val="20"/>
                <w:szCs w:val="20"/>
              </w:rPr>
            </w:r>
          </w:p>
        </w:tc>
        <w:tc>
          <w:tcPr>
            <w:gridSpan w:val="3"/>
            <w:shd w:val="clear" w:color="auto" w:fill="ffffff"/>
            <w:tcW w:w="2390" w:type="dxa"/>
            <w:vAlign w:val="center"/>
            <w:textDirection w:val="lrTb"/>
            <w:noWrap w:val="false"/>
          </w:tcPr>
          <w:p>
            <w:pPr>
              <w:pStyle w:val="1063"/>
              <w:ind w:left="-111" w:right="-104" w:firstLine="112"/>
              <w:jc w:val="center"/>
              <w:spacing w:before="120" w:after="120"/>
              <w:widowControl w:val="off"/>
              <w:rPr>
                <w:sz w:val="20"/>
                <w:szCs w:val="20"/>
              </w:rPr>
            </w:pPr>
            <w:r>
              <w:rPr>
                <w:rFonts w:ascii="Arial Narrow" w:hAnsi="Arial Narrow" w:cs="Calibri"/>
                <w:sz w:val="20"/>
                <w:szCs w:val="20"/>
              </w:rPr>
              <w:t xml:space="preserve">Уровень оплаты, %</w:t>
            </w:r>
            <w:r>
              <w:rPr>
                <w:sz w:val="20"/>
                <w:szCs w:val="20"/>
              </w:rPr>
            </w:r>
            <w:r>
              <w:rPr>
                <w:sz w:val="20"/>
                <w:szCs w:val="20"/>
              </w:rPr>
            </w:r>
          </w:p>
        </w:tc>
        <w:tc>
          <w:tcPr>
            <w:shd w:val="clear" w:color="auto" w:fill="ffffff"/>
            <w:tcW w:w="1014" w:type="dxa"/>
            <w:vAlign w:val="center"/>
            <w:vMerge w:val="restart"/>
            <w:textDirection w:val="lrTb"/>
            <w:noWrap w:val="false"/>
          </w:tcPr>
          <w:p>
            <w:pPr>
              <w:pStyle w:val="1063"/>
              <w:ind w:left="-111" w:right="-104" w:hanging="24"/>
              <w:jc w:val="center"/>
              <w:spacing w:before="120" w:after="120"/>
              <w:widowControl w:val="off"/>
              <w:rPr>
                <w:sz w:val="20"/>
                <w:szCs w:val="20"/>
              </w:rPr>
            </w:pPr>
            <w:r>
              <w:rPr>
                <w:rFonts w:ascii="Arial Narrow" w:hAnsi="Arial Narrow" w:cs="Calibri"/>
                <w:sz w:val="20"/>
                <w:szCs w:val="20"/>
              </w:rPr>
              <w:t xml:space="preserve">Выполнение плана, %</w:t>
            </w:r>
            <w:r>
              <w:rPr>
                <w:sz w:val="20"/>
                <w:szCs w:val="20"/>
              </w:rPr>
            </w:r>
            <w:r>
              <w:rPr>
                <w:sz w:val="20"/>
                <w:szCs w:val="20"/>
              </w:rPr>
            </w:r>
          </w:p>
        </w:tc>
      </w:tr>
      <w:tr>
        <w:trPr>
          <w:jc w:val="center"/>
          <w:trHeight w:val="43"/>
        </w:trPr>
        <w:tc>
          <w:tcPr>
            <w:shd w:val="clear" w:color="auto" w:fill="ffffff"/>
            <w:tcW w:w="1239"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shd w:val="clear" w:color="auto" w:fill="ffffff"/>
            <w:tcW w:w="858" w:type="dxa"/>
            <w:vAlign w:val="center"/>
            <w:textDirection w:val="lrTb"/>
            <w:noWrap w:val="false"/>
          </w:tcPr>
          <w:p>
            <w:pPr>
              <w:pStyle w:val="1063"/>
              <w:ind w:left="-111" w:right="-104" w:firstLine="3"/>
              <w:jc w:val="center"/>
              <w:spacing w:before="120" w:after="120"/>
              <w:widowControl w:val="off"/>
              <w:rPr>
                <w:sz w:val="20"/>
                <w:szCs w:val="20"/>
              </w:rPr>
            </w:pPr>
            <w:r>
              <w:rPr>
                <w:rFonts w:ascii="Arial Narrow" w:hAnsi="Arial Narrow" w:cs="Calibri"/>
                <w:sz w:val="20"/>
                <w:szCs w:val="20"/>
              </w:rPr>
              <w:t xml:space="preserve">План</w:t>
            </w:r>
            <w:r>
              <w:rPr>
                <w:sz w:val="20"/>
                <w:szCs w:val="20"/>
              </w:rPr>
            </w:r>
            <w:r>
              <w:rPr>
                <w:sz w:val="20"/>
                <w:szCs w:val="20"/>
              </w:rPr>
            </w:r>
          </w:p>
        </w:tc>
        <w:tc>
          <w:tcPr>
            <w:shd w:val="clear" w:color="auto" w:fill="ffffff"/>
            <w:tcW w:w="845" w:type="dxa"/>
            <w:vAlign w:val="center"/>
            <w:textDirection w:val="lrTb"/>
            <w:noWrap w:val="false"/>
          </w:tcPr>
          <w:p>
            <w:pPr>
              <w:pStyle w:val="1063"/>
              <w:ind w:left="-111" w:right="-104" w:firstLine="3"/>
              <w:jc w:val="center"/>
              <w:spacing w:before="120" w:after="120"/>
              <w:widowControl w:val="off"/>
              <w:rPr>
                <w:sz w:val="20"/>
                <w:szCs w:val="20"/>
              </w:rPr>
            </w:pPr>
            <w:r>
              <w:rPr>
                <w:rFonts w:ascii="Arial Narrow" w:hAnsi="Arial Narrow" w:cs="Calibri"/>
                <w:sz w:val="20"/>
                <w:szCs w:val="20"/>
              </w:rPr>
              <w:t xml:space="preserve">Факт</w:t>
            </w:r>
            <w:r>
              <w:rPr>
                <w:sz w:val="20"/>
                <w:szCs w:val="20"/>
              </w:rPr>
            </w:r>
            <w:r>
              <w:rPr>
                <w:sz w:val="20"/>
                <w:szCs w:val="20"/>
              </w:rPr>
            </w:r>
          </w:p>
        </w:tc>
        <w:tc>
          <w:tcPr>
            <w:shd w:val="clear" w:color="auto" w:fill="ffffff"/>
            <w:tcW w:w="1000" w:type="dxa"/>
            <w:vAlign w:val="center"/>
            <w:textDirection w:val="lrTb"/>
            <w:noWrap w:val="false"/>
          </w:tcPr>
          <w:p>
            <w:pPr>
              <w:pStyle w:val="1063"/>
              <w:ind w:left="-111" w:right="-104" w:firstLine="3"/>
              <w:jc w:val="center"/>
              <w:spacing w:before="120" w:after="120"/>
              <w:widowControl w:val="off"/>
              <w:rPr>
                <w:sz w:val="20"/>
                <w:szCs w:val="20"/>
              </w:rPr>
            </w:pPr>
            <w:r>
              <w:rPr>
                <w:rFonts w:ascii="Arial Narrow" w:hAnsi="Arial Narrow" w:cs="Calibri"/>
                <w:sz w:val="20"/>
                <w:szCs w:val="20"/>
              </w:rPr>
              <w:t xml:space="preserve">Отклонение</w:t>
            </w:r>
            <w:r>
              <w:rPr>
                <w:sz w:val="20"/>
                <w:szCs w:val="20"/>
              </w:rPr>
            </w:r>
            <w:r>
              <w:rPr>
                <w:sz w:val="20"/>
                <w:szCs w:val="20"/>
              </w:rPr>
            </w:r>
          </w:p>
        </w:tc>
        <w:tc>
          <w:tcPr>
            <w:shd w:val="clear" w:color="auto" w:fill="ffffff"/>
            <w:tcW w:w="812" w:type="dxa"/>
            <w:vAlign w:val="center"/>
            <w:textDirection w:val="lrTb"/>
            <w:noWrap w:val="false"/>
          </w:tcPr>
          <w:p>
            <w:pPr>
              <w:pStyle w:val="1063"/>
              <w:ind w:left="-111" w:right="-104" w:firstLine="5"/>
              <w:jc w:val="center"/>
              <w:spacing w:before="120" w:after="120"/>
              <w:widowControl w:val="off"/>
              <w:rPr>
                <w:sz w:val="20"/>
                <w:szCs w:val="20"/>
              </w:rPr>
            </w:pPr>
            <w:r>
              <w:rPr>
                <w:rFonts w:ascii="Arial Narrow" w:hAnsi="Arial Narrow" w:cs="Calibri"/>
                <w:sz w:val="20"/>
                <w:szCs w:val="20"/>
              </w:rPr>
              <w:t xml:space="preserve">План</w:t>
            </w:r>
            <w:r>
              <w:rPr>
                <w:sz w:val="20"/>
                <w:szCs w:val="20"/>
              </w:rPr>
            </w:r>
            <w:r>
              <w:rPr>
                <w:sz w:val="20"/>
                <w:szCs w:val="20"/>
              </w:rPr>
            </w:r>
          </w:p>
        </w:tc>
        <w:tc>
          <w:tcPr>
            <w:shd w:val="clear" w:color="auto" w:fill="ffffff"/>
            <w:tcW w:w="739" w:type="dxa"/>
            <w:vAlign w:val="center"/>
            <w:textDirection w:val="lrTb"/>
            <w:noWrap w:val="false"/>
          </w:tcPr>
          <w:p>
            <w:pPr>
              <w:pStyle w:val="1063"/>
              <w:ind w:left="-111" w:right="-104" w:firstLine="5"/>
              <w:jc w:val="center"/>
              <w:spacing w:before="120" w:after="120"/>
              <w:widowControl w:val="off"/>
              <w:rPr>
                <w:sz w:val="20"/>
                <w:szCs w:val="20"/>
              </w:rPr>
            </w:pPr>
            <w:r>
              <w:rPr>
                <w:rFonts w:ascii="Arial Narrow" w:hAnsi="Arial Narrow" w:cs="Calibri"/>
                <w:sz w:val="20"/>
                <w:szCs w:val="20"/>
              </w:rPr>
              <w:t xml:space="preserve">Факт</w:t>
            </w:r>
            <w:r>
              <w:rPr>
                <w:sz w:val="20"/>
                <w:szCs w:val="20"/>
              </w:rPr>
            </w:r>
            <w:r>
              <w:rPr>
                <w:sz w:val="20"/>
                <w:szCs w:val="20"/>
              </w:rPr>
            </w:r>
          </w:p>
        </w:tc>
        <w:tc>
          <w:tcPr>
            <w:shd w:val="clear" w:color="auto" w:fill="ffffff"/>
            <w:tcW w:w="1021" w:type="dxa"/>
            <w:vAlign w:val="center"/>
            <w:textDirection w:val="lrTb"/>
            <w:noWrap w:val="false"/>
          </w:tcPr>
          <w:p>
            <w:pPr>
              <w:pStyle w:val="1063"/>
              <w:ind w:left="-111" w:right="-104" w:firstLine="5"/>
              <w:jc w:val="center"/>
              <w:spacing w:before="120" w:after="120"/>
              <w:widowControl w:val="off"/>
              <w:rPr>
                <w:sz w:val="20"/>
                <w:szCs w:val="20"/>
              </w:rPr>
            </w:pPr>
            <w:r>
              <w:rPr>
                <w:rFonts w:ascii="Arial Narrow" w:hAnsi="Arial Narrow" w:cs="Calibri"/>
                <w:sz w:val="20"/>
                <w:szCs w:val="20"/>
              </w:rPr>
              <w:t xml:space="preserve">Отклонение</w:t>
            </w:r>
            <w:r>
              <w:rPr>
                <w:sz w:val="20"/>
                <w:szCs w:val="20"/>
              </w:rPr>
            </w:r>
            <w:r>
              <w:rPr>
                <w:sz w:val="20"/>
                <w:szCs w:val="20"/>
              </w:rPr>
            </w:r>
          </w:p>
        </w:tc>
        <w:tc>
          <w:tcPr>
            <w:shd w:val="clear" w:color="auto" w:fill="ffffff"/>
            <w:tcW w:w="740" w:type="dxa"/>
            <w:vAlign w:val="center"/>
            <w:textDirection w:val="lrTb"/>
            <w:noWrap w:val="false"/>
          </w:tcPr>
          <w:p>
            <w:pPr>
              <w:pStyle w:val="1063"/>
              <w:ind w:left="-111" w:right="-104" w:firstLine="5"/>
              <w:jc w:val="center"/>
              <w:spacing w:before="120" w:after="120"/>
              <w:widowControl w:val="off"/>
              <w:rPr>
                <w:sz w:val="20"/>
                <w:szCs w:val="20"/>
              </w:rPr>
            </w:pPr>
            <w:r>
              <w:rPr>
                <w:rFonts w:ascii="Arial Narrow" w:hAnsi="Arial Narrow" w:cs="Calibri"/>
                <w:sz w:val="20"/>
                <w:szCs w:val="20"/>
              </w:rPr>
              <w:t xml:space="preserve">План</w:t>
            </w:r>
            <w:r>
              <w:rPr>
                <w:sz w:val="20"/>
                <w:szCs w:val="20"/>
              </w:rPr>
            </w:r>
            <w:r>
              <w:rPr>
                <w:sz w:val="20"/>
                <w:szCs w:val="20"/>
              </w:rPr>
            </w:r>
          </w:p>
        </w:tc>
        <w:tc>
          <w:tcPr>
            <w:shd w:val="clear" w:color="auto" w:fill="ffffff"/>
            <w:tcW w:w="619" w:type="dxa"/>
            <w:vAlign w:val="center"/>
            <w:textDirection w:val="lrTb"/>
            <w:noWrap w:val="false"/>
          </w:tcPr>
          <w:p>
            <w:pPr>
              <w:pStyle w:val="1063"/>
              <w:ind w:left="-111" w:right="-104" w:firstLine="5"/>
              <w:jc w:val="center"/>
              <w:spacing w:before="120" w:after="120"/>
              <w:widowControl w:val="off"/>
              <w:rPr>
                <w:sz w:val="20"/>
                <w:szCs w:val="20"/>
              </w:rPr>
            </w:pPr>
            <w:r>
              <w:rPr>
                <w:rFonts w:ascii="Arial Narrow" w:hAnsi="Arial Narrow" w:cs="Calibri"/>
                <w:sz w:val="20"/>
                <w:szCs w:val="20"/>
              </w:rPr>
              <w:t xml:space="preserve">Факт</w:t>
            </w:r>
            <w:r>
              <w:rPr>
                <w:sz w:val="20"/>
                <w:szCs w:val="20"/>
              </w:rPr>
            </w:r>
            <w:r>
              <w:rPr>
                <w:sz w:val="20"/>
                <w:szCs w:val="20"/>
              </w:rPr>
            </w:r>
          </w:p>
        </w:tc>
        <w:tc>
          <w:tcPr>
            <w:shd w:val="clear" w:color="auto" w:fill="ffffff"/>
            <w:tcW w:w="1031" w:type="dxa"/>
            <w:vAlign w:val="center"/>
            <w:textDirection w:val="lrTb"/>
            <w:noWrap w:val="false"/>
          </w:tcPr>
          <w:p>
            <w:pPr>
              <w:pStyle w:val="1063"/>
              <w:ind w:left="-111" w:right="-104" w:firstLine="5"/>
              <w:jc w:val="center"/>
              <w:spacing w:before="120" w:after="120"/>
              <w:widowControl w:val="off"/>
              <w:rPr>
                <w:sz w:val="20"/>
                <w:szCs w:val="20"/>
              </w:rPr>
            </w:pPr>
            <w:r>
              <w:rPr>
                <w:rFonts w:ascii="Arial Narrow" w:hAnsi="Arial Narrow" w:cs="Calibri"/>
                <w:sz w:val="20"/>
                <w:szCs w:val="20"/>
              </w:rPr>
              <w:t xml:space="preserve">Отклонение</w:t>
            </w:r>
            <w:r>
              <w:rPr>
                <w:sz w:val="20"/>
                <w:szCs w:val="20"/>
              </w:rPr>
            </w:r>
            <w:r>
              <w:rPr>
                <w:sz w:val="20"/>
                <w:szCs w:val="20"/>
              </w:rPr>
            </w:r>
          </w:p>
        </w:tc>
        <w:tc>
          <w:tcPr>
            <w:shd w:val="clear" w:color="auto" w:fill="ffffff"/>
            <w:tcW w:w="1014" w:type="dxa"/>
            <w:vAlign w:val="center"/>
            <w:vMerge w:val="continue"/>
            <w:textDirection w:val="lrTb"/>
            <w:noWrap w:val="false"/>
          </w:tcPr>
          <w:p>
            <w:pPr>
              <w:pStyle w:val="1063"/>
              <w:ind w:left="-111" w:right="-104" w:firstLine="112"/>
              <w:jc w:val="center"/>
              <w:spacing w:before="120" w:after="120"/>
              <w:widowControl w:val="off"/>
              <w:rPr>
                <w:rFonts w:ascii="Arial Narrow" w:hAnsi="Arial Narrow" w:cs="Calibri"/>
                <w:bCs/>
                <w:sz w:val="20"/>
                <w:szCs w:val="20"/>
              </w:rPr>
            </w:pPr>
            <w:r>
              <w:rPr>
                <w:rFonts w:ascii="Arial Narrow" w:hAnsi="Arial Narrow" w:cs="Calibri"/>
                <w:bCs/>
                <w:sz w:val="20"/>
                <w:szCs w:val="20"/>
              </w:rPr>
            </w:r>
            <w:r>
              <w:rPr>
                <w:rFonts w:ascii="Arial Narrow" w:hAnsi="Arial Narrow" w:cs="Calibri"/>
                <w:bCs/>
                <w:sz w:val="20"/>
                <w:szCs w:val="20"/>
              </w:rPr>
            </w:r>
            <w:r>
              <w:rPr>
                <w:rFonts w:ascii="Arial Narrow" w:hAnsi="Arial Narrow" w:cs="Calibri"/>
                <w:bCs/>
                <w:sz w:val="20"/>
                <w:szCs w:val="20"/>
              </w:rPr>
            </w:r>
          </w:p>
        </w:tc>
      </w:tr>
      <w:tr>
        <w:trPr>
          <w:jc w:val="center"/>
          <w:trHeight w:val="47"/>
        </w:trPr>
        <w:tc>
          <w:tcPr>
            <w:shd w:val="clear" w:color="auto" w:fill="ffffff"/>
            <w:tcW w:w="1239" w:type="dxa"/>
            <w:vAlign w:val="center"/>
            <w:textDirection w:val="lrTb"/>
            <w:noWrap w:val="false"/>
          </w:tcPr>
          <w:p>
            <w:pPr>
              <w:pStyle w:val="1063"/>
              <w:ind w:left="-111" w:right="-104" w:firstLine="112"/>
              <w:spacing w:before="120" w:after="120"/>
              <w:widowControl w:val="off"/>
              <w:rPr>
                <w:sz w:val="20"/>
                <w:szCs w:val="20"/>
              </w:rPr>
            </w:pPr>
            <w:r>
              <w:rPr>
                <w:rFonts w:ascii="Arial Narrow" w:hAnsi="Arial Narrow" w:cs="Calibri"/>
                <w:sz w:val="20"/>
                <w:szCs w:val="20"/>
              </w:rPr>
              <w:t xml:space="preserve">Электро</w:t>
            </w:r>
            <w:r>
              <w:rPr>
                <w:sz w:val="20"/>
                <w:szCs w:val="20"/>
              </w:rPr>
            </w:r>
            <w:r>
              <w:rPr>
                <w:sz w:val="20"/>
                <w:szCs w:val="20"/>
              </w:rPr>
            </w:r>
          </w:p>
        </w:tc>
        <w:tc>
          <w:tcPr>
            <w:shd w:val="clear" w:color="auto" w:fill="ffffff"/>
            <w:tcW w:w="858" w:type="dxa"/>
            <w:vAlign w:val="center"/>
            <w:textDirection w:val="lrTb"/>
            <w:noWrap w:val="false"/>
          </w:tcPr>
          <w:p>
            <w:pPr>
              <w:pStyle w:val="1063"/>
              <w:ind w:left="-111" w:right="-104" w:firstLine="3"/>
              <w:jc w:val="center"/>
              <w:spacing w:before="120" w:after="120"/>
              <w:widowControl w:val="off"/>
              <w:rPr>
                <w:sz w:val="20"/>
                <w:szCs w:val="20"/>
              </w:rPr>
            </w:pPr>
            <w:r>
              <w:rPr>
                <w:rFonts w:ascii="Arial Narrow" w:hAnsi="Arial Narrow" w:cs="Calibri"/>
                <w:sz w:val="20"/>
                <w:szCs w:val="20"/>
              </w:rPr>
              <w:t xml:space="preserve">12 234,6</w:t>
            </w:r>
            <w:r>
              <w:rPr>
                <w:sz w:val="20"/>
                <w:szCs w:val="20"/>
              </w:rPr>
            </w:r>
            <w:r>
              <w:rPr>
                <w:sz w:val="20"/>
                <w:szCs w:val="20"/>
              </w:rPr>
            </w:r>
          </w:p>
        </w:tc>
        <w:tc>
          <w:tcPr>
            <w:shd w:val="clear" w:color="auto" w:fill="ffffff"/>
            <w:tcW w:w="845" w:type="dxa"/>
            <w:vAlign w:val="center"/>
            <w:textDirection w:val="lrTb"/>
            <w:noWrap w:val="false"/>
          </w:tcPr>
          <w:p>
            <w:pPr>
              <w:pStyle w:val="1063"/>
              <w:ind w:left="-111" w:right="-104" w:firstLine="3"/>
              <w:jc w:val="center"/>
              <w:widowControl w:val="off"/>
              <w:rPr>
                <w:sz w:val="20"/>
                <w:szCs w:val="20"/>
              </w:rPr>
            </w:pPr>
            <w:r>
              <w:rPr>
                <w:rFonts w:ascii="Arial Narrow" w:hAnsi="Arial Narrow" w:cs="Calibri"/>
                <w:sz w:val="20"/>
                <w:szCs w:val="20"/>
              </w:rPr>
              <w:t xml:space="preserve">15 936,9</w:t>
            </w:r>
            <w:r>
              <w:rPr>
                <w:sz w:val="20"/>
                <w:szCs w:val="20"/>
              </w:rPr>
            </w:r>
            <w:r>
              <w:rPr>
                <w:sz w:val="20"/>
                <w:szCs w:val="20"/>
              </w:rPr>
            </w:r>
          </w:p>
        </w:tc>
        <w:tc>
          <w:tcPr>
            <w:shd w:val="clear" w:color="auto" w:fill="ffffff"/>
            <w:tcW w:w="1000" w:type="dxa"/>
            <w:vAlign w:val="center"/>
            <w:textDirection w:val="lrTb"/>
            <w:noWrap w:val="false"/>
          </w:tcPr>
          <w:p>
            <w:pPr>
              <w:pStyle w:val="1063"/>
              <w:ind w:left="-111" w:right="-104" w:firstLine="3"/>
              <w:jc w:val="center"/>
              <w:widowControl w:val="off"/>
              <w:rPr>
                <w:sz w:val="20"/>
                <w:szCs w:val="20"/>
              </w:rPr>
            </w:pPr>
            <w:r>
              <w:rPr>
                <w:rFonts w:ascii="Arial Narrow" w:hAnsi="Arial Narrow" w:cs="Calibri"/>
                <w:sz w:val="20"/>
                <w:szCs w:val="20"/>
              </w:rPr>
              <w:t xml:space="preserve">3 702,3</w:t>
            </w:r>
            <w:r>
              <w:rPr>
                <w:sz w:val="20"/>
                <w:szCs w:val="20"/>
              </w:rPr>
            </w:r>
            <w:r>
              <w:rPr>
                <w:sz w:val="20"/>
                <w:szCs w:val="20"/>
              </w:rPr>
            </w:r>
          </w:p>
        </w:tc>
        <w:tc>
          <w:tcPr>
            <w:shd w:val="clear" w:color="auto" w:fill="ffffff"/>
            <w:tcW w:w="812" w:type="dxa"/>
            <w:vAlign w:val="center"/>
            <w:textDirection w:val="lrTb"/>
            <w:noWrap w:val="false"/>
          </w:tcPr>
          <w:p>
            <w:pPr>
              <w:pStyle w:val="1063"/>
              <w:ind w:left="-111" w:right="-104" w:firstLine="3"/>
              <w:jc w:val="center"/>
              <w:widowControl w:val="off"/>
              <w:rPr>
                <w:sz w:val="20"/>
                <w:szCs w:val="20"/>
              </w:rPr>
            </w:pPr>
            <w:r>
              <w:rPr>
                <w:rFonts w:ascii="Arial Narrow" w:hAnsi="Arial Narrow" w:cs="Calibri"/>
                <w:sz w:val="20"/>
                <w:szCs w:val="20"/>
              </w:rPr>
              <w:t xml:space="preserve">12 173,4</w:t>
            </w:r>
            <w:r>
              <w:rPr>
                <w:sz w:val="20"/>
                <w:szCs w:val="20"/>
              </w:rPr>
            </w:r>
            <w:r>
              <w:rPr>
                <w:sz w:val="20"/>
                <w:szCs w:val="20"/>
              </w:rPr>
            </w:r>
          </w:p>
        </w:tc>
        <w:tc>
          <w:tcPr>
            <w:shd w:val="clear" w:color="auto" w:fill="ffffff"/>
            <w:tcW w:w="739" w:type="dxa"/>
            <w:vAlign w:val="center"/>
            <w:textDirection w:val="lrTb"/>
            <w:noWrap w:val="false"/>
          </w:tcPr>
          <w:p>
            <w:pPr>
              <w:pStyle w:val="1063"/>
              <w:ind w:left="-111" w:right="-104" w:firstLine="3"/>
              <w:jc w:val="center"/>
              <w:widowControl w:val="off"/>
              <w:rPr>
                <w:sz w:val="20"/>
                <w:szCs w:val="20"/>
              </w:rPr>
            </w:pPr>
            <w:r>
              <w:rPr>
                <w:rFonts w:ascii="Arial Narrow" w:hAnsi="Arial Narrow" w:cs="Calibri"/>
                <w:sz w:val="20"/>
                <w:szCs w:val="20"/>
              </w:rPr>
              <w:t xml:space="preserve">15 858,4</w:t>
            </w:r>
            <w:r>
              <w:rPr>
                <w:sz w:val="20"/>
                <w:szCs w:val="20"/>
              </w:rPr>
            </w:r>
            <w:r>
              <w:rPr>
                <w:sz w:val="20"/>
                <w:szCs w:val="20"/>
              </w:rPr>
            </w:r>
          </w:p>
        </w:tc>
        <w:tc>
          <w:tcPr>
            <w:shd w:val="clear" w:color="auto" w:fill="ffffff"/>
            <w:tcW w:w="1021" w:type="dxa"/>
            <w:vAlign w:val="center"/>
            <w:textDirection w:val="lrTb"/>
            <w:noWrap w:val="false"/>
          </w:tcPr>
          <w:p>
            <w:pPr>
              <w:pStyle w:val="1063"/>
              <w:ind w:left="-111" w:right="-104" w:firstLine="3"/>
              <w:jc w:val="center"/>
              <w:widowControl w:val="off"/>
              <w:rPr>
                <w:sz w:val="20"/>
                <w:szCs w:val="20"/>
              </w:rPr>
            </w:pPr>
            <w:r>
              <w:rPr>
                <w:rFonts w:ascii="Arial Narrow" w:hAnsi="Arial Narrow" w:cs="Calibri"/>
                <w:sz w:val="20"/>
                <w:szCs w:val="20"/>
              </w:rPr>
              <w:t xml:space="preserve">3 685,0</w:t>
            </w:r>
            <w:r>
              <w:rPr>
                <w:sz w:val="20"/>
                <w:szCs w:val="20"/>
              </w:rPr>
            </w:r>
            <w:r>
              <w:rPr>
                <w:sz w:val="20"/>
                <w:szCs w:val="20"/>
              </w:rPr>
            </w:r>
          </w:p>
        </w:tc>
        <w:tc>
          <w:tcPr>
            <w:shd w:val="clear" w:color="auto" w:fill="ffffff"/>
            <w:tcW w:w="740" w:type="dxa"/>
            <w:vAlign w:val="center"/>
            <w:textDirection w:val="lrTb"/>
            <w:noWrap w:val="false"/>
          </w:tcPr>
          <w:p>
            <w:pPr>
              <w:pStyle w:val="1063"/>
              <w:ind w:left="-111" w:right="-104" w:firstLine="3"/>
              <w:jc w:val="center"/>
              <w:widowControl w:val="off"/>
              <w:rPr>
                <w:sz w:val="20"/>
                <w:szCs w:val="20"/>
              </w:rPr>
            </w:pPr>
            <w:r>
              <w:rPr>
                <w:rFonts w:ascii="Arial Narrow" w:hAnsi="Arial Narrow" w:cs="Calibri"/>
                <w:sz w:val="20"/>
                <w:szCs w:val="20"/>
              </w:rPr>
              <w:t xml:space="preserve">99,5</w:t>
            </w:r>
            <w:r>
              <w:rPr>
                <w:sz w:val="20"/>
                <w:szCs w:val="20"/>
              </w:rPr>
            </w:r>
            <w:r>
              <w:rPr>
                <w:sz w:val="20"/>
                <w:szCs w:val="20"/>
              </w:rPr>
            </w:r>
          </w:p>
        </w:tc>
        <w:tc>
          <w:tcPr>
            <w:shd w:val="clear" w:color="auto" w:fill="ffffff"/>
            <w:tcW w:w="619" w:type="dxa"/>
            <w:vAlign w:val="center"/>
            <w:textDirection w:val="lrTb"/>
            <w:noWrap w:val="false"/>
          </w:tcPr>
          <w:p>
            <w:pPr>
              <w:pStyle w:val="1063"/>
              <w:ind w:left="-111" w:right="-104" w:firstLine="3"/>
              <w:jc w:val="center"/>
              <w:widowControl w:val="off"/>
              <w:rPr>
                <w:sz w:val="20"/>
                <w:szCs w:val="20"/>
              </w:rPr>
            </w:pPr>
            <w:r>
              <w:rPr>
                <w:rFonts w:ascii="Arial Narrow" w:hAnsi="Arial Narrow" w:cs="Calibri"/>
                <w:sz w:val="20"/>
                <w:szCs w:val="20"/>
              </w:rPr>
              <w:t xml:space="preserve">99,5</w:t>
            </w:r>
            <w:r>
              <w:rPr>
                <w:sz w:val="20"/>
                <w:szCs w:val="20"/>
              </w:rPr>
            </w:r>
            <w:r>
              <w:rPr>
                <w:sz w:val="20"/>
                <w:szCs w:val="20"/>
              </w:rPr>
            </w:r>
          </w:p>
        </w:tc>
        <w:tc>
          <w:tcPr>
            <w:shd w:val="clear" w:color="auto" w:fill="ffffff"/>
            <w:tcW w:w="1031" w:type="dxa"/>
            <w:vAlign w:val="center"/>
            <w:textDirection w:val="lrTb"/>
            <w:noWrap w:val="false"/>
          </w:tcPr>
          <w:p>
            <w:pPr>
              <w:pStyle w:val="1063"/>
              <w:ind w:left="-111" w:right="-104" w:firstLine="3"/>
              <w:jc w:val="center"/>
              <w:widowControl w:val="off"/>
              <w:rPr>
                <w:sz w:val="20"/>
                <w:szCs w:val="20"/>
              </w:rPr>
            </w:pPr>
            <w:r>
              <w:rPr>
                <w:rFonts w:ascii="Arial Narrow" w:hAnsi="Arial Narrow" w:cs="Calibri"/>
                <w:sz w:val="20"/>
                <w:szCs w:val="20"/>
              </w:rPr>
              <w:t xml:space="preserve">0,0</w:t>
            </w:r>
            <w:r>
              <w:rPr>
                <w:sz w:val="20"/>
                <w:szCs w:val="20"/>
              </w:rPr>
            </w:r>
            <w:r>
              <w:rPr>
                <w:sz w:val="20"/>
                <w:szCs w:val="20"/>
              </w:rPr>
            </w:r>
          </w:p>
        </w:tc>
        <w:tc>
          <w:tcPr>
            <w:shd w:val="clear" w:color="auto" w:fill="ffffff"/>
            <w:tcW w:w="1014" w:type="dxa"/>
            <w:vAlign w:val="center"/>
            <w:textDirection w:val="lrTb"/>
            <w:noWrap w:val="false"/>
          </w:tcPr>
          <w:p>
            <w:pPr>
              <w:pStyle w:val="1063"/>
              <w:ind w:left="-111" w:right="-104" w:firstLine="3"/>
              <w:jc w:val="center"/>
              <w:widowControl w:val="off"/>
              <w:rPr>
                <w:sz w:val="20"/>
                <w:szCs w:val="20"/>
              </w:rPr>
            </w:pPr>
            <w:r>
              <w:rPr>
                <w:rFonts w:ascii="Arial Narrow" w:hAnsi="Arial Narrow" w:cs="Calibri"/>
                <w:sz w:val="20"/>
                <w:szCs w:val="20"/>
              </w:rPr>
              <w:t xml:space="preserve">100,0</w:t>
            </w:r>
            <w:r>
              <w:rPr>
                <w:sz w:val="20"/>
                <w:szCs w:val="20"/>
              </w:rPr>
            </w:r>
            <w:r>
              <w:rPr>
                <w:sz w:val="20"/>
                <w:szCs w:val="20"/>
              </w:rPr>
            </w:r>
          </w:p>
        </w:tc>
      </w:tr>
      <w:tr>
        <w:trPr>
          <w:jc w:val="center"/>
          <w:trHeight w:val="47"/>
        </w:trPr>
        <w:tc>
          <w:tcPr>
            <w:shd w:val="clear" w:color="auto" w:fill="ffffff"/>
            <w:tcW w:w="1239" w:type="dxa"/>
            <w:vAlign w:val="center"/>
            <w:textDirection w:val="lrTb"/>
            <w:noWrap w:val="false"/>
          </w:tcPr>
          <w:p>
            <w:pPr>
              <w:pStyle w:val="1063"/>
              <w:ind w:left="-111" w:right="-104" w:firstLine="112"/>
              <w:spacing w:before="120" w:after="120"/>
              <w:widowControl w:val="off"/>
              <w:rPr>
                <w:sz w:val="20"/>
                <w:szCs w:val="20"/>
              </w:rPr>
            </w:pPr>
            <w:r>
              <w:rPr>
                <w:rFonts w:ascii="Arial Narrow" w:hAnsi="Arial Narrow" w:cs="Calibri"/>
                <w:sz w:val="20"/>
                <w:szCs w:val="20"/>
              </w:rPr>
              <w:t xml:space="preserve">Тепло</w:t>
            </w:r>
            <w:r>
              <w:rPr>
                <w:sz w:val="20"/>
                <w:szCs w:val="20"/>
              </w:rPr>
            </w:r>
            <w:r>
              <w:rPr>
                <w:sz w:val="20"/>
                <w:szCs w:val="20"/>
              </w:rPr>
            </w:r>
          </w:p>
        </w:tc>
        <w:tc>
          <w:tcPr>
            <w:shd w:val="clear" w:color="auto" w:fill="ffffff"/>
            <w:tcW w:w="858" w:type="dxa"/>
            <w:vAlign w:val="center"/>
            <w:textDirection w:val="lrTb"/>
            <w:noWrap w:val="false"/>
          </w:tcPr>
          <w:p>
            <w:pPr>
              <w:pStyle w:val="1063"/>
              <w:ind w:left="-111" w:right="-104" w:firstLine="3"/>
              <w:jc w:val="center"/>
              <w:spacing w:before="120" w:after="120"/>
              <w:widowControl w:val="off"/>
              <w:rPr>
                <w:sz w:val="20"/>
                <w:szCs w:val="20"/>
              </w:rPr>
            </w:pPr>
            <w:r>
              <w:rPr>
                <w:rFonts w:ascii="Arial Narrow" w:hAnsi="Arial Narrow" w:cs="Calibri"/>
                <w:sz w:val="20"/>
                <w:szCs w:val="20"/>
              </w:rPr>
              <w:t xml:space="preserve">7 362,4</w:t>
            </w:r>
            <w:r>
              <w:rPr>
                <w:sz w:val="20"/>
                <w:szCs w:val="20"/>
              </w:rPr>
            </w:r>
            <w:r>
              <w:rPr>
                <w:sz w:val="20"/>
                <w:szCs w:val="20"/>
              </w:rPr>
            </w:r>
          </w:p>
        </w:tc>
        <w:tc>
          <w:tcPr>
            <w:shd w:val="clear" w:color="auto" w:fill="ffffff"/>
            <w:tcW w:w="845" w:type="dxa"/>
            <w:vAlign w:val="center"/>
            <w:textDirection w:val="lrTb"/>
            <w:noWrap w:val="false"/>
          </w:tcPr>
          <w:p>
            <w:pPr>
              <w:pStyle w:val="1063"/>
              <w:ind w:left="-111" w:right="-104" w:firstLine="3"/>
              <w:jc w:val="center"/>
              <w:widowControl w:val="off"/>
              <w:rPr>
                <w:sz w:val="20"/>
                <w:szCs w:val="20"/>
              </w:rPr>
            </w:pPr>
            <w:r>
              <w:rPr>
                <w:rFonts w:ascii="Arial Narrow" w:hAnsi="Arial Narrow" w:cs="Calibri"/>
                <w:sz w:val="20"/>
                <w:szCs w:val="20"/>
              </w:rPr>
              <w:t xml:space="preserve">7 236,9</w:t>
            </w:r>
            <w:r>
              <w:rPr>
                <w:sz w:val="20"/>
                <w:szCs w:val="20"/>
              </w:rPr>
            </w:r>
            <w:r>
              <w:rPr>
                <w:sz w:val="20"/>
                <w:szCs w:val="20"/>
              </w:rPr>
            </w:r>
          </w:p>
        </w:tc>
        <w:tc>
          <w:tcPr>
            <w:shd w:val="clear" w:color="auto" w:fill="ffffff"/>
            <w:tcW w:w="1000" w:type="dxa"/>
            <w:vAlign w:val="center"/>
            <w:textDirection w:val="lrTb"/>
            <w:noWrap w:val="false"/>
          </w:tcPr>
          <w:p>
            <w:pPr>
              <w:pStyle w:val="1063"/>
              <w:ind w:right="-104"/>
              <w:jc w:val="center"/>
              <w:widowControl w:val="off"/>
              <w:rPr>
                <w:sz w:val="20"/>
                <w:szCs w:val="20"/>
              </w:rPr>
            </w:pPr>
            <w:r>
              <w:rPr>
                <w:rFonts w:ascii="Arial Narrow" w:hAnsi="Arial Narrow" w:cs="Calibri"/>
                <w:sz w:val="20"/>
                <w:szCs w:val="20"/>
              </w:rPr>
              <w:t xml:space="preserve">-125,5</w:t>
            </w:r>
            <w:r>
              <w:rPr>
                <w:sz w:val="20"/>
                <w:szCs w:val="20"/>
              </w:rPr>
            </w:r>
            <w:r>
              <w:rPr>
                <w:sz w:val="20"/>
                <w:szCs w:val="20"/>
              </w:rPr>
            </w:r>
          </w:p>
        </w:tc>
        <w:tc>
          <w:tcPr>
            <w:shd w:val="clear" w:color="auto" w:fill="ffffff"/>
            <w:tcW w:w="812" w:type="dxa"/>
            <w:vAlign w:val="center"/>
            <w:textDirection w:val="lrTb"/>
            <w:noWrap w:val="false"/>
          </w:tcPr>
          <w:p>
            <w:pPr>
              <w:pStyle w:val="1063"/>
              <w:ind w:left="-111" w:right="-104" w:firstLine="3"/>
              <w:jc w:val="center"/>
              <w:widowControl w:val="off"/>
              <w:rPr>
                <w:sz w:val="20"/>
                <w:szCs w:val="20"/>
              </w:rPr>
            </w:pPr>
            <w:r>
              <w:rPr>
                <w:rFonts w:ascii="Arial Narrow" w:hAnsi="Arial Narrow" w:cs="Calibri"/>
                <w:sz w:val="20"/>
                <w:szCs w:val="20"/>
              </w:rPr>
              <w:t xml:space="preserve">7 259,4</w:t>
            </w:r>
            <w:r>
              <w:rPr>
                <w:sz w:val="20"/>
                <w:szCs w:val="20"/>
              </w:rPr>
            </w:r>
            <w:r>
              <w:rPr>
                <w:sz w:val="20"/>
                <w:szCs w:val="20"/>
              </w:rPr>
            </w:r>
          </w:p>
        </w:tc>
        <w:tc>
          <w:tcPr>
            <w:shd w:val="clear" w:color="auto" w:fill="ffffff"/>
            <w:tcW w:w="739" w:type="dxa"/>
            <w:vAlign w:val="center"/>
            <w:textDirection w:val="lrTb"/>
            <w:noWrap w:val="false"/>
          </w:tcPr>
          <w:p>
            <w:pPr>
              <w:pStyle w:val="1063"/>
              <w:ind w:left="-111" w:right="-104" w:firstLine="3"/>
              <w:jc w:val="center"/>
              <w:widowControl w:val="off"/>
              <w:rPr>
                <w:sz w:val="20"/>
                <w:szCs w:val="20"/>
              </w:rPr>
            </w:pPr>
            <w:r>
              <w:rPr>
                <w:rFonts w:ascii="Arial Narrow" w:hAnsi="Arial Narrow" w:cs="Calibri"/>
                <w:sz w:val="20"/>
                <w:szCs w:val="20"/>
              </w:rPr>
              <w:t xml:space="preserve">7 138,2</w:t>
            </w:r>
            <w:r>
              <w:rPr>
                <w:sz w:val="20"/>
                <w:szCs w:val="20"/>
              </w:rPr>
            </w:r>
            <w:r>
              <w:rPr>
                <w:sz w:val="20"/>
                <w:szCs w:val="20"/>
              </w:rPr>
            </w:r>
          </w:p>
        </w:tc>
        <w:tc>
          <w:tcPr>
            <w:shd w:val="clear" w:color="auto" w:fill="ffffff"/>
            <w:tcW w:w="1021" w:type="dxa"/>
            <w:vAlign w:val="center"/>
            <w:textDirection w:val="lrTb"/>
            <w:noWrap w:val="false"/>
          </w:tcPr>
          <w:p>
            <w:pPr>
              <w:pStyle w:val="1063"/>
              <w:ind w:left="-111" w:right="-104" w:firstLine="3"/>
              <w:jc w:val="center"/>
              <w:widowControl w:val="off"/>
              <w:rPr>
                <w:sz w:val="20"/>
                <w:szCs w:val="20"/>
              </w:rPr>
            </w:pPr>
            <w:r>
              <w:rPr>
                <w:rFonts w:ascii="Arial Narrow" w:hAnsi="Arial Narrow" w:cs="Calibri"/>
                <w:sz w:val="20"/>
                <w:szCs w:val="20"/>
              </w:rPr>
              <w:t xml:space="preserve">-121,2</w:t>
            </w:r>
            <w:r>
              <w:rPr>
                <w:sz w:val="20"/>
                <w:szCs w:val="20"/>
              </w:rPr>
            </w:r>
            <w:r>
              <w:rPr>
                <w:sz w:val="20"/>
                <w:szCs w:val="20"/>
              </w:rPr>
            </w:r>
          </w:p>
        </w:tc>
        <w:tc>
          <w:tcPr>
            <w:shd w:val="clear" w:color="auto" w:fill="ffffff"/>
            <w:tcW w:w="740" w:type="dxa"/>
            <w:vAlign w:val="center"/>
            <w:textDirection w:val="lrTb"/>
            <w:noWrap w:val="false"/>
          </w:tcPr>
          <w:p>
            <w:pPr>
              <w:pStyle w:val="1063"/>
              <w:ind w:left="-111" w:right="-104" w:firstLine="3"/>
              <w:jc w:val="center"/>
              <w:widowControl w:val="off"/>
              <w:rPr>
                <w:sz w:val="20"/>
                <w:szCs w:val="20"/>
              </w:rPr>
            </w:pPr>
            <w:r>
              <w:rPr>
                <w:rFonts w:ascii="Arial Narrow" w:hAnsi="Arial Narrow" w:cs="Calibri"/>
                <w:sz w:val="20"/>
                <w:szCs w:val="20"/>
              </w:rPr>
              <w:t xml:space="preserve">98,6</w:t>
            </w:r>
            <w:r>
              <w:rPr>
                <w:sz w:val="20"/>
                <w:szCs w:val="20"/>
              </w:rPr>
            </w:r>
            <w:r>
              <w:rPr>
                <w:sz w:val="20"/>
                <w:szCs w:val="20"/>
              </w:rPr>
            </w:r>
          </w:p>
        </w:tc>
        <w:tc>
          <w:tcPr>
            <w:shd w:val="clear" w:color="auto" w:fill="ffffff"/>
            <w:tcW w:w="619" w:type="dxa"/>
            <w:vAlign w:val="center"/>
            <w:textDirection w:val="lrTb"/>
            <w:noWrap w:val="false"/>
          </w:tcPr>
          <w:p>
            <w:pPr>
              <w:pStyle w:val="1063"/>
              <w:ind w:left="-111" w:right="-104" w:firstLine="3"/>
              <w:jc w:val="center"/>
              <w:widowControl w:val="off"/>
              <w:rPr>
                <w:sz w:val="20"/>
                <w:szCs w:val="20"/>
              </w:rPr>
            </w:pPr>
            <w:r>
              <w:rPr>
                <w:rFonts w:ascii="Arial Narrow" w:hAnsi="Arial Narrow" w:cs="Calibri"/>
                <w:sz w:val="20"/>
                <w:szCs w:val="20"/>
              </w:rPr>
              <w:t xml:space="preserve">98,6</w:t>
            </w:r>
            <w:r>
              <w:rPr>
                <w:sz w:val="20"/>
                <w:szCs w:val="20"/>
              </w:rPr>
            </w:r>
            <w:r>
              <w:rPr>
                <w:sz w:val="20"/>
                <w:szCs w:val="20"/>
              </w:rPr>
            </w:r>
          </w:p>
        </w:tc>
        <w:tc>
          <w:tcPr>
            <w:shd w:val="clear" w:color="auto" w:fill="ffffff"/>
            <w:tcW w:w="1031" w:type="dxa"/>
            <w:vAlign w:val="center"/>
            <w:textDirection w:val="lrTb"/>
            <w:noWrap w:val="false"/>
          </w:tcPr>
          <w:p>
            <w:pPr>
              <w:pStyle w:val="1063"/>
              <w:ind w:left="-111" w:right="-104" w:firstLine="3"/>
              <w:jc w:val="center"/>
              <w:widowControl w:val="off"/>
              <w:rPr>
                <w:sz w:val="20"/>
                <w:szCs w:val="20"/>
              </w:rPr>
            </w:pPr>
            <w:r>
              <w:rPr>
                <w:rFonts w:ascii="Arial Narrow" w:hAnsi="Arial Narrow" w:cs="Calibri"/>
                <w:sz w:val="20"/>
                <w:szCs w:val="20"/>
              </w:rPr>
              <w:t xml:space="preserve">0,0</w:t>
            </w:r>
            <w:r>
              <w:rPr>
                <w:sz w:val="20"/>
                <w:szCs w:val="20"/>
              </w:rPr>
            </w:r>
            <w:r>
              <w:rPr>
                <w:sz w:val="20"/>
                <w:szCs w:val="20"/>
              </w:rPr>
            </w:r>
          </w:p>
        </w:tc>
        <w:tc>
          <w:tcPr>
            <w:shd w:val="clear" w:color="auto" w:fill="ffffff"/>
            <w:tcW w:w="1014" w:type="dxa"/>
            <w:vAlign w:val="center"/>
            <w:textDirection w:val="lrTb"/>
            <w:noWrap w:val="false"/>
          </w:tcPr>
          <w:p>
            <w:pPr>
              <w:pStyle w:val="1063"/>
              <w:ind w:left="-111" w:right="-104" w:firstLine="3"/>
              <w:jc w:val="center"/>
              <w:widowControl w:val="off"/>
              <w:rPr>
                <w:sz w:val="20"/>
                <w:szCs w:val="20"/>
              </w:rPr>
            </w:pPr>
            <w:r>
              <w:rPr>
                <w:rFonts w:ascii="Arial Narrow" w:hAnsi="Arial Narrow" w:cs="Calibri"/>
                <w:sz w:val="20"/>
                <w:szCs w:val="20"/>
              </w:rPr>
              <w:t xml:space="preserve">100,0</w:t>
            </w:r>
            <w:r>
              <w:rPr>
                <w:sz w:val="20"/>
                <w:szCs w:val="20"/>
              </w:rPr>
            </w:r>
            <w:r>
              <w:rPr>
                <w:sz w:val="20"/>
                <w:szCs w:val="20"/>
              </w:rPr>
            </w:r>
          </w:p>
        </w:tc>
      </w:tr>
      <w:tr>
        <w:trPr>
          <w:jc w:val="center"/>
          <w:trHeight w:val="47"/>
        </w:trPr>
        <w:tc>
          <w:tcPr>
            <w:shd w:val="clear" w:color="auto" w:fill="ffffff"/>
            <w:tcW w:w="1239" w:type="dxa"/>
            <w:vAlign w:val="center"/>
            <w:textDirection w:val="lrTb"/>
            <w:noWrap w:val="false"/>
          </w:tcPr>
          <w:p>
            <w:pPr>
              <w:pStyle w:val="1063"/>
              <w:ind w:left="-111" w:right="-104" w:firstLine="112"/>
              <w:spacing w:before="120" w:after="120"/>
              <w:widowControl w:val="off"/>
              <w:rPr>
                <w:sz w:val="20"/>
                <w:szCs w:val="20"/>
              </w:rPr>
            </w:pPr>
            <w:r>
              <w:rPr>
                <w:rFonts w:ascii="Arial Narrow" w:hAnsi="Arial Narrow" w:cs="Calibri"/>
                <w:sz w:val="20"/>
                <w:szCs w:val="20"/>
              </w:rPr>
              <w:t xml:space="preserve">Итого</w:t>
            </w:r>
            <w:r>
              <w:rPr>
                <w:sz w:val="20"/>
                <w:szCs w:val="20"/>
              </w:rPr>
            </w:r>
            <w:r>
              <w:rPr>
                <w:sz w:val="20"/>
                <w:szCs w:val="20"/>
              </w:rPr>
            </w:r>
          </w:p>
        </w:tc>
        <w:tc>
          <w:tcPr>
            <w:shd w:val="clear" w:color="auto" w:fill="ffffff"/>
            <w:tcW w:w="858" w:type="dxa"/>
            <w:vAlign w:val="center"/>
            <w:textDirection w:val="lrTb"/>
            <w:noWrap w:val="false"/>
          </w:tcPr>
          <w:p>
            <w:pPr>
              <w:pStyle w:val="1063"/>
              <w:ind w:left="-111" w:right="-104" w:firstLine="3"/>
              <w:jc w:val="center"/>
              <w:spacing w:before="120" w:after="120"/>
              <w:widowControl w:val="off"/>
              <w:rPr>
                <w:sz w:val="20"/>
                <w:szCs w:val="20"/>
              </w:rPr>
            </w:pPr>
            <w:r>
              <w:rPr>
                <w:rFonts w:ascii="Arial Narrow" w:hAnsi="Arial Narrow" w:cs="Calibri"/>
                <w:sz w:val="20"/>
                <w:szCs w:val="20"/>
              </w:rPr>
              <w:t xml:space="preserve">19 597,0</w:t>
            </w:r>
            <w:r>
              <w:rPr>
                <w:sz w:val="20"/>
                <w:szCs w:val="20"/>
              </w:rPr>
            </w:r>
            <w:r>
              <w:rPr>
                <w:sz w:val="20"/>
                <w:szCs w:val="20"/>
              </w:rPr>
            </w:r>
          </w:p>
        </w:tc>
        <w:tc>
          <w:tcPr>
            <w:shd w:val="clear" w:color="auto" w:fill="ffffff"/>
            <w:tcW w:w="845" w:type="dxa"/>
            <w:vAlign w:val="center"/>
            <w:textDirection w:val="lrTb"/>
            <w:noWrap w:val="false"/>
          </w:tcPr>
          <w:p>
            <w:pPr>
              <w:pStyle w:val="1063"/>
              <w:ind w:left="-111" w:right="-104" w:firstLine="3"/>
              <w:jc w:val="center"/>
              <w:widowControl w:val="off"/>
              <w:rPr>
                <w:sz w:val="20"/>
                <w:szCs w:val="20"/>
              </w:rPr>
            </w:pPr>
            <w:r>
              <w:rPr>
                <w:rFonts w:ascii="Arial Narrow" w:hAnsi="Arial Narrow" w:cs="Calibri"/>
                <w:sz w:val="20"/>
                <w:szCs w:val="20"/>
              </w:rPr>
              <w:t xml:space="preserve">23 173,8</w:t>
            </w:r>
            <w:r>
              <w:rPr>
                <w:sz w:val="20"/>
                <w:szCs w:val="20"/>
              </w:rPr>
            </w:r>
            <w:r>
              <w:rPr>
                <w:sz w:val="20"/>
                <w:szCs w:val="20"/>
              </w:rPr>
            </w:r>
          </w:p>
        </w:tc>
        <w:tc>
          <w:tcPr>
            <w:shd w:val="clear" w:color="auto" w:fill="ffffff"/>
            <w:tcW w:w="1000" w:type="dxa"/>
            <w:vAlign w:val="center"/>
            <w:textDirection w:val="lrTb"/>
            <w:noWrap w:val="false"/>
          </w:tcPr>
          <w:p>
            <w:pPr>
              <w:pStyle w:val="1063"/>
              <w:ind w:left="-111" w:right="-104" w:firstLine="3"/>
              <w:jc w:val="center"/>
              <w:widowControl w:val="off"/>
              <w:rPr>
                <w:sz w:val="20"/>
                <w:szCs w:val="20"/>
              </w:rPr>
            </w:pPr>
            <w:r>
              <w:rPr>
                <w:rFonts w:ascii="Arial Narrow" w:hAnsi="Arial Narrow" w:cs="Calibri"/>
                <w:sz w:val="20"/>
                <w:szCs w:val="20"/>
              </w:rPr>
              <w:t xml:space="preserve">3 576,8</w:t>
            </w:r>
            <w:r>
              <w:rPr>
                <w:sz w:val="20"/>
                <w:szCs w:val="20"/>
              </w:rPr>
            </w:r>
            <w:r>
              <w:rPr>
                <w:sz w:val="20"/>
                <w:szCs w:val="20"/>
              </w:rPr>
            </w:r>
          </w:p>
        </w:tc>
        <w:tc>
          <w:tcPr>
            <w:shd w:val="clear" w:color="auto" w:fill="ffffff"/>
            <w:tcW w:w="812" w:type="dxa"/>
            <w:vAlign w:val="center"/>
            <w:textDirection w:val="lrTb"/>
            <w:noWrap w:val="false"/>
          </w:tcPr>
          <w:p>
            <w:pPr>
              <w:pStyle w:val="1063"/>
              <w:ind w:left="-111" w:right="-104" w:firstLine="3"/>
              <w:jc w:val="center"/>
              <w:widowControl w:val="off"/>
              <w:rPr>
                <w:sz w:val="20"/>
                <w:szCs w:val="20"/>
              </w:rPr>
            </w:pPr>
            <w:r>
              <w:rPr>
                <w:rFonts w:ascii="Arial Narrow" w:hAnsi="Arial Narrow" w:cs="Calibri"/>
                <w:sz w:val="20"/>
                <w:szCs w:val="20"/>
              </w:rPr>
              <w:t xml:space="preserve">19 432,8</w:t>
            </w:r>
            <w:r>
              <w:rPr>
                <w:sz w:val="20"/>
                <w:szCs w:val="20"/>
              </w:rPr>
            </w:r>
            <w:r>
              <w:rPr>
                <w:sz w:val="20"/>
                <w:szCs w:val="20"/>
              </w:rPr>
            </w:r>
          </w:p>
        </w:tc>
        <w:tc>
          <w:tcPr>
            <w:shd w:val="clear" w:color="auto" w:fill="ffffff"/>
            <w:tcW w:w="739" w:type="dxa"/>
            <w:vAlign w:val="center"/>
            <w:textDirection w:val="lrTb"/>
            <w:noWrap w:val="false"/>
          </w:tcPr>
          <w:p>
            <w:pPr>
              <w:pStyle w:val="1063"/>
              <w:ind w:left="-111" w:right="-104" w:firstLine="3"/>
              <w:jc w:val="center"/>
              <w:widowControl w:val="off"/>
              <w:rPr>
                <w:sz w:val="20"/>
                <w:szCs w:val="20"/>
              </w:rPr>
            </w:pPr>
            <w:r>
              <w:rPr>
                <w:rFonts w:ascii="Arial Narrow" w:hAnsi="Arial Narrow" w:cs="Calibri"/>
                <w:sz w:val="20"/>
                <w:szCs w:val="20"/>
              </w:rPr>
              <w:t xml:space="preserve">22 996,6</w:t>
            </w:r>
            <w:r>
              <w:rPr>
                <w:sz w:val="20"/>
                <w:szCs w:val="20"/>
              </w:rPr>
            </w:r>
            <w:r>
              <w:rPr>
                <w:sz w:val="20"/>
                <w:szCs w:val="20"/>
              </w:rPr>
            </w:r>
          </w:p>
        </w:tc>
        <w:tc>
          <w:tcPr>
            <w:shd w:val="clear" w:color="auto" w:fill="ffffff"/>
            <w:tcW w:w="1021" w:type="dxa"/>
            <w:vAlign w:val="center"/>
            <w:textDirection w:val="lrTb"/>
            <w:noWrap w:val="false"/>
          </w:tcPr>
          <w:p>
            <w:pPr>
              <w:pStyle w:val="1063"/>
              <w:ind w:left="-111" w:right="-104" w:firstLine="3"/>
              <w:jc w:val="center"/>
              <w:widowControl w:val="off"/>
              <w:rPr>
                <w:sz w:val="20"/>
                <w:szCs w:val="20"/>
              </w:rPr>
            </w:pPr>
            <w:r>
              <w:rPr>
                <w:rFonts w:ascii="Arial Narrow" w:hAnsi="Arial Narrow" w:cs="Calibri"/>
                <w:sz w:val="20"/>
                <w:szCs w:val="20"/>
              </w:rPr>
              <w:t xml:space="preserve">3 563,8</w:t>
            </w:r>
            <w:r>
              <w:rPr>
                <w:sz w:val="20"/>
                <w:szCs w:val="20"/>
              </w:rPr>
            </w:r>
            <w:r>
              <w:rPr>
                <w:sz w:val="20"/>
                <w:szCs w:val="20"/>
              </w:rPr>
            </w:r>
          </w:p>
        </w:tc>
        <w:tc>
          <w:tcPr>
            <w:shd w:val="clear" w:color="auto" w:fill="ffffff"/>
            <w:tcW w:w="740" w:type="dxa"/>
            <w:vAlign w:val="center"/>
            <w:textDirection w:val="lrTb"/>
            <w:noWrap w:val="false"/>
          </w:tcPr>
          <w:p>
            <w:pPr>
              <w:pStyle w:val="1063"/>
              <w:ind w:left="-111" w:right="-104" w:firstLine="3"/>
              <w:jc w:val="center"/>
              <w:widowControl w:val="off"/>
              <w:rPr>
                <w:sz w:val="20"/>
                <w:szCs w:val="20"/>
              </w:rPr>
            </w:pPr>
            <w:r>
              <w:rPr>
                <w:rFonts w:ascii="Arial Narrow" w:hAnsi="Arial Narrow"/>
                <w:sz w:val="20"/>
                <w:szCs w:val="20"/>
              </w:rPr>
              <w:t xml:space="preserve">99,2</w:t>
            </w:r>
            <w:r>
              <w:rPr>
                <w:sz w:val="20"/>
                <w:szCs w:val="20"/>
              </w:rPr>
            </w:r>
            <w:r>
              <w:rPr>
                <w:sz w:val="20"/>
                <w:szCs w:val="20"/>
              </w:rPr>
            </w:r>
          </w:p>
        </w:tc>
        <w:tc>
          <w:tcPr>
            <w:shd w:val="clear" w:color="auto" w:fill="ffffff"/>
            <w:tcW w:w="619" w:type="dxa"/>
            <w:vAlign w:val="center"/>
            <w:textDirection w:val="lrTb"/>
            <w:noWrap w:val="false"/>
          </w:tcPr>
          <w:p>
            <w:pPr>
              <w:pStyle w:val="1063"/>
              <w:ind w:left="-111" w:right="-104" w:firstLine="3"/>
              <w:jc w:val="center"/>
              <w:widowControl w:val="off"/>
              <w:rPr>
                <w:sz w:val="20"/>
                <w:szCs w:val="20"/>
              </w:rPr>
            </w:pPr>
            <w:r>
              <w:rPr>
                <w:rFonts w:ascii="Arial Narrow" w:hAnsi="Arial Narrow" w:cs="Calibri"/>
                <w:sz w:val="20"/>
                <w:szCs w:val="20"/>
              </w:rPr>
              <w:t xml:space="preserve">99,2</w:t>
            </w:r>
            <w:r>
              <w:rPr>
                <w:sz w:val="20"/>
                <w:szCs w:val="20"/>
              </w:rPr>
            </w:r>
            <w:r>
              <w:rPr>
                <w:sz w:val="20"/>
                <w:szCs w:val="20"/>
              </w:rPr>
            </w:r>
          </w:p>
        </w:tc>
        <w:tc>
          <w:tcPr>
            <w:shd w:val="clear" w:color="auto" w:fill="ffffff"/>
            <w:tcW w:w="1031" w:type="dxa"/>
            <w:vAlign w:val="center"/>
            <w:textDirection w:val="lrTb"/>
            <w:noWrap w:val="false"/>
          </w:tcPr>
          <w:p>
            <w:pPr>
              <w:pStyle w:val="1063"/>
              <w:ind w:left="-111" w:right="-104" w:firstLine="3"/>
              <w:jc w:val="center"/>
              <w:widowControl w:val="off"/>
              <w:rPr>
                <w:sz w:val="20"/>
                <w:szCs w:val="20"/>
              </w:rPr>
            </w:pPr>
            <w:r>
              <w:rPr>
                <w:rFonts w:ascii="Arial Narrow" w:hAnsi="Arial Narrow" w:cs="Calibri"/>
                <w:sz w:val="20"/>
                <w:szCs w:val="20"/>
              </w:rPr>
              <w:t xml:space="preserve">0,0</w:t>
            </w:r>
            <w:r>
              <w:rPr>
                <w:sz w:val="20"/>
                <w:szCs w:val="20"/>
              </w:rPr>
            </w:r>
            <w:r>
              <w:rPr>
                <w:sz w:val="20"/>
                <w:szCs w:val="20"/>
              </w:rPr>
            </w:r>
          </w:p>
        </w:tc>
        <w:tc>
          <w:tcPr>
            <w:shd w:val="clear" w:color="auto" w:fill="ffffff"/>
            <w:tcW w:w="1014" w:type="dxa"/>
            <w:vAlign w:val="center"/>
            <w:textDirection w:val="lrTb"/>
            <w:noWrap w:val="false"/>
          </w:tcPr>
          <w:p>
            <w:pPr>
              <w:pStyle w:val="1063"/>
              <w:ind w:left="-111" w:right="-104" w:firstLine="3"/>
              <w:jc w:val="center"/>
              <w:widowControl w:val="off"/>
              <w:rPr>
                <w:sz w:val="20"/>
                <w:szCs w:val="20"/>
              </w:rPr>
            </w:pPr>
            <w:r>
              <w:rPr>
                <w:rFonts w:ascii="Arial Narrow" w:hAnsi="Arial Narrow" w:cs="Calibri"/>
                <w:sz w:val="20"/>
                <w:szCs w:val="20"/>
              </w:rPr>
              <w:t xml:space="preserve">100,0</w:t>
            </w:r>
            <w:r>
              <w:rPr>
                <w:sz w:val="20"/>
                <w:szCs w:val="20"/>
              </w:rPr>
            </w:r>
            <w:r>
              <w:rPr>
                <w:sz w:val="20"/>
                <w:szCs w:val="20"/>
              </w:rPr>
            </w:r>
          </w:p>
        </w:tc>
      </w:tr>
    </w:tbl>
    <w:p>
      <w:pPr>
        <w:pStyle w:val="1063"/>
        <w:ind w:firstLine="567"/>
        <w:jc w:val="both"/>
        <w:rPr>
          <w:sz w:val="12"/>
          <w:szCs w:val="12"/>
        </w:rPr>
      </w:pPr>
      <w:r>
        <w:rPr>
          <w:sz w:val="12"/>
          <w:szCs w:val="12"/>
        </w:rPr>
      </w:r>
      <w:r>
        <w:rPr>
          <w:sz w:val="12"/>
          <w:szCs w:val="12"/>
        </w:rPr>
      </w:r>
      <w:r>
        <w:rPr>
          <w:sz w:val="12"/>
          <w:szCs w:val="12"/>
        </w:rPr>
      </w:r>
    </w:p>
    <w:p>
      <w:pPr>
        <w:pStyle w:val="1063"/>
        <w:ind w:firstLine="567"/>
        <w:jc w:val="both"/>
      </w:pPr>
      <w:r>
        <w:rPr>
          <w:rFonts w:ascii="Arial Narrow" w:hAnsi="Arial Narrow" w:cs="Calibri"/>
          <w:lang w:bidi="ru-RU"/>
        </w:rPr>
        <w:t xml:space="preserve">Плановый объем оплаты энергии на 2024 год составил 19 432,8 млн. рублей или 99,5 % к запланированному объему продаж 19 597,0 млн. рублей.</w:t>
      </w:r>
      <w:r/>
    </w:p>
    <w:p>
      <w:pPr>
        <w:pStyle w:val="1063"/>
        <w:ind w:firstLine="567"/>
        <w:jc w:val="both"/>
      </w:pPr>
      <w:r>
        <w:rPr>
          <w:rFonts w:ascii="Arial Narrow" w:hAnsi="Arial Narrow" w:cs="Calibri"/>
          <w:lang w:bidi="ru-RU"/>
        </w:rPr>
        <w:t xml:space="preserve">Фактически оплата за 2024 год составила 22 996,6 млн. рублей или 99,5 % к фактическому объему продаж 23 173,8 млн. рублей. Задание по уровню оплаты энергии от объема продаж выполнено на 100,0 %.</w:t>
      </w:r>
      <w:r/>
    </w:p>
    <w:p>
      <w:pPr>
        <w:pStyle w:val="1063"/>
        <w:jc w:val="both"/>
        <w:tabs>
          <w:tab w:val="left" w:pos="709" w:leader="none"/>
        </w:tabs>
        <w:rPr>
          <w:rFonts w:ascii="Arial Narrow" w:hAnsi="Arial Narrow" w:eastAsia="Calibri" w:cs="Calibri"/>
          <w:iCs/>
          <w:color w:val="314e87"/>
          <w:sz w:val="12"/>
          <w:szCs w:val="12"/>
          <w:lang w:eastAsia="ja-JP" w:bidi="ru-RU"/>
        </w:rPr>
      </w:pPr>
      <w:r>
        <w:rPr>
          <w:rFonts w:ascii="Arial Narrow" w:hAnsi="Arial Narrow" w:eastAsia="Calibri" w:cs="Calibri"/>
          <w:iCs/>
          <w:color w:val="314e87"/>
          <w:sz w:val="12"/>
          <w:szCs w:val="12"/>
          <w:lang w:eastAsia="ja-JP" w:bidi="ru-RU"/>
        </w:rPr>
      </w:r>
      <w:r>
        <w:rPr>
          <w:rFonts w:ascii="Arial Narrow" w:hAnsi="Arial Narrow" w:eastAsia="Calibri" w:cs="Calibri"/>
          <w:iCs/>
          <w:color w:val="314e87"/>
          <w:sz w:val="12"/>
          <w:szCs w:val="12"/>
          <w:lang w:eastAsia="ja-JP" w:bidi="ru-RU"/>
        </w:rPr>
      </w:r>
      <w:r>
        <w:rPr>
          <w:rFonts w:ascii="Arial Narrow" w:hAnsi="Arial Narrow" w:eastAsia="Calibri" w:cs="Calibri"/>
          <w:iCs/>
          <w:color w:val="314e87"/>
          <w:sz w:val="12"/>
          <w:szCs w:val="12"/>
          <w:lang w:eastAsia="ja-JP" w:bidi="ru-RU"/>
        </w:rPr>
      </w:r>
    </w:p>
    <w:p>
      <w:pPr>
        <w:pStyle w:val="1063"/>
        <w:jc w:val="both"/>
        <w:spacing w:after="120"/>
        <w:tabs>
          <w:tab w:val="left" w:pos="709" w:leader="none"/>
        </w:tabs>
      </w:pPr>
      <w:r>
        <w:rPr>
          <w:rFonts w:ascii="Arial Narrow" w:hAnsi="Arial Narrow" w:eastAsia="Calibri" w:cs="Calibri"/>
          <w:iCs/>
          <w:color w:val="314e87"/>
          <w:lang w:eastAsia="ja-JP" w:bidi="ru-RU"/>
        </w:rPr>
        <w:t xml:space="preserve">Производство электрической энергии в Центральном и Озерновском энергоузлах (далее - ЦЭУ и ОЭУ)</w:t>
      </w:r>
      <w:r/>
    </w:p>
    <w:p>
      <w:pPr>
        <w:pStyle w:val="1063"/>
        <w:ind w:firstLine="567"/>
        <w:jc w:val="both"/>
      </w:pPr>
      <w:r>
        <w:rPr>
          <w:rFonts w:ascii="Arial Narrow" w:hAnsi="Arial Narrow" w:cs="Calibri"/>
          <w:lang w:bidi="ru-RU"/>
        </w:rPr>
        <w:t xml:space="preserve">Электропотребление ПАО «Камчатскэнерго» за 2024 год (по Центральному и Озерновскому энергоузлах) составило 1 758 853 666 кВтч, в том числе:</w:t>
      </w:r>
      <w:r/>
    </w:p>
    <w:p>
      <w:pPr>
        <w:pStyle w:val="1063"/>
        <w:ind w:firstLine="567"/>
        <w:jc w:val="both"/>
      </w:pPr>
      <w:r>
        <w:rPr>
          <w:rFonts w:ascii="Arial Narrow" w:hAnsi="Arial Narrow" w:cs="Calibri"/>
          <w:lang w:bidi="ru-RU"/>
        </w:rPr>
        <w:t xml:space="preserve">1. Электропотребление по Центральному энергоузлу (ЦЭУ) составило 1 712 721 513 кВтч или 97,4 %, в т.ч.:</w:t>
      </w:r>
      <w:r/>
    </w:p>
    <w:p>
      <w:pPr>
        <w:pStyle w:val="1091"/>
        <w:numPr>
          <w:ilvl w:val="0"/>
          <w:numId w:val="10"/>
        </w:numPr>
        <w:jc w:val="both"/>
        <w:spacing w:line="276" w:lineRule="auto"/>
        <w:rPr>
          <w:lang w:val="ru-RU"/>
        </w:rPr>
      </w:pPr>
      <w:r>
        <w:rPr>
          <w:rFonts w:ascii="Arial Narrow" w:hAnsi="Arial Narrow" w:cs="Calibri"/>
          <w:sz w:val="24"/>
          <w:szCs w:val="24"/>
          <w:lang w:val="ru-RU" w:bidi="ru-RU"/>
        </w:rPr>
        <w:t xml:space="preserve">Выработка - ТЭЦ-1, ТЭЦ-2, ДЭС ТЭЦ-2, ДЭС п. Мильково, ДЭС п. Усть-Большерецк, передвижные ДЭС 1</w:t>
      </w:r>
      <w:r>
        <w:rPr>
          <w:rFonts w:ascii="Arial Narrow" w:hAnsi="Arial Narrow" w:cs="Calibri"/>
          <w:sz w:val="24"/>
          <w:szCs w:val="24"/>
          <w:lang w:bidi="ru-RU"/>
        </w:rPr>
        <w:t xml:space="preserve"> </w:t>
      </w:r>
      <w:r>
        <w:rPr>
          <w:rFonts w:ascii="Arial Narrow" w:hAnsi="Arial Narrow" w:cs="Calibri"/>
          <w:sz w:val="24"/>
          <w:szCs w:val="24"/>
          <w:lang w:val="ru-RU" w:bidi="ru-RU"/>
        </w:rPr>
        <w:t xml:space="preserve">263</w:t>
      </w:r>
      <w:r>
        <w:rPr>
          <w:rFonts w:ascii="Arial Narrow" w:hAnsi="Arial Narrow" w:cs="Calibri"/>
          <w:sz w:val="24"/>
          <w:szCs w:val="24"/>
          <w:lang w:bidi="ru-RU"/>
        </w:rPr>
        <w:t xml:space="preserve"> </w:t>
      </w:r>
      <w:r>
        <w:rPr>
          <w:rFonts w:ascii="Arial Narrow" w:hAnsi="Arial Narrow" w:cs="Calibri"/>
          <w:sz w:val="24"/>
          <w:szCs w:val="24"/>
          <w:lang w:val="ru-RU" w:bidi="ru-RU"/>
        </w:rPr>
        <w:t xml:space="preserve">195 891 кВтч или 73,8 % от электропотребления ЦЭУ;</w:t>
      </w:r>
      <w:r>
        <w:rPr>
          <w:lang w:val="ru-RU"/>
        </w:rPr>
      </w:r>
      <w:r>
        <w:rPr>
          <w:lang w:val="ru-RU"/>
        </w:rPr>
      </w:r>
    </w:p>
    <w:p>
      <w:pPr>
        <w:pStyle w:val="1091"/>
        <w:numPr>
          <w:ilvl w:val="0"/>
          <w:numId w:val="10"/>
        </w:numPr>
        <w:jc w:val="both"/>
        <w:spacing w:line="276" w:lineRule="auto"/>
        <w:rPr>
          <w:lang w:val="ru-RU"/>
        </w:rPr>
      </w:pPr>
      <w:r>
        <w:rPr>
          <w:rFonts w:ascii="Arial Narrow" w:hAnsi="Arial Narrow" w:cs="Calibri"/>
          <w:sz w:val="24"/>
          <w:szCs w:val="24"/>
          <w:lang w:val="ru-RU" w:bidi="ru-RU"/>
        </w:rPr>
        <w:t xml:space="preserve">Выработка - Мутновские ГеоЭС 382</w:t>
      </w:r>
      <w:r>
        <w:rPr>
          <w:rFonts w:ascii="Arial Narrow" w:hAnsi="Arial Narrow" w:cs="Calibri"/>
          <w:sz w:val="24"/>
          <w:szCs w:val="24"/>
          <w:lang w:bidi="ru-RU"/>
        </w:rPr>
        <w:t xml:space="preserve"> </w:t>
      </w:r>
      <w:r>
        <w:rPr>
          <w:rFonts w:ascii="Arial Narrow" w:hAnsi="Arial Narrow" w:cs="Calibri"/>
          <w:sz w:val="24"/>
          <w:szCs w:val="24"/>
          <w:lang w:val="ru-RU" w:bidi="ru-RU"/>
        </w:rPr>
        <w:t xml:space="preserve">712 030 кВтч или 22,3 % от электропотребления ЦЭУ;</w:t>
      </w:r>
      <w:r>
        <w:rPr>
          <w:lang w:val="ru-RU"/>
        </w:rPr>
      </w:r>
      <w:r>
        <w:rPr>
          <w:lang w:val="ru-RU"/>
        </w:rPr>
      </w:r>
    </w:p>
    <w:p>
      <w:pPr>
        <w:pStyle w:val="1091"/>
        <w:numPr>
          <w:ilvl w:val="0"/>
          <w:numId w:val="10"/>
        </w:numPr>
        <w:jc w:val="both"/>
        <w:spacing w:line="276" w:lineRule="auto"/>
        <w:rPr>
          <w:lang w:val="ru-RU"/>
        </w:rPr>
      </w:pPr>
      <w:r>
        <w:rPr>
          <w:rFonts w:ascii="Arial Narrow" w:hAnsi="Arial Narrow" w:cs="Calibri"/>
          <w:sz w:val="24"/>
          <w:szCs w:val="24"/>
          <w:lang w:val="ru-RU" w:bidi="ru-RU"/>
        </w:rPr>
        <w:t xml:space="preserve">Поступление от других производителей (Толмачёвские ГЭС) 66</w:t>
      </w:r>
      <w:r>
        <w:rPr>
          <w:rFonts w:ascii="Arial Narrow" w:hAnsi="Arial Narrow" w:cs="Calibri"/>
          <w:sz w:val="24"/>
          <w:szCs w:val="24"/>
          <w:lang w:bidi="ru-RU"/>
        </w:rPr>
        <w:t xml:space="preserve"> </w:t>
      </w:r>
      <w:r>
        <w:rPr>
          <w:rFonts w:ascii="Arial Narrow" w:hAnsi="Arial Narrow" w:cs="Calibri"/>
          <w:sz w:val="24"/>
          <w:szCs w:val="24"/>
          <w:lang w:val="ru-RU" w:bidi="ru-RU"/>
        </w:rPr>
        <w:t xml:space="preserve">813 592 кВтч. или 3,9 % от электропотребления ЦЭУ.</w:t>
      </w:r>
      <w:r>
        <w:rPr>
          <w:lang w:val="ru-RU"/>
        </w:rPr>
      </w:r>
      <w:r>
        <w:rPr>
          <w:lang w:val="ru-RU"/>
        </w:rPr>
      </w:r>
    </w:p>
    <w:p>
      <w:pPr>
        <w:pStyle w:val="1063"/>
        <w:ind w:firstLine="567"/>
        <w:jc w:val="both"/>
      </w:pPr>
      <w:r>
        <w:rPr>
          <w:rFonts w:ascii="Arial Narrow" w:hAnsi="Arial Narrow" w:cs="Calibri"/>
          <w:lang w:bidi="ru-RU"/>
        </w:rPr>
        <w:t xml:space="preserve">2. Электропотребление по Озерновскому изолированному энергоузлу (ОЭУ) составило </w:t>
      </w:r>
      <w:r>
        <w:rPr>
          <w:rFonts w:ascii="Arial Narrow" w:hAnsi="Arial Narrow" w:cs="Calibri"/>
          <w:lang w:bidi="ru-RU"/>
        </w:rPr>
        <w:br/>
        <w:t xml:space="preserve">46 132 153 кВтч или 2,6 %, в т.ч.</w:t>
      </w:r>
      <w:r/>
    </w:p>
    <w:p>
      <w:pPr>
        <w:pStyle w:val="1063"/>
        <w:ind w:firstLine="567"/>
        <w:jc w:val="both"/>
      </w:pPr>
      <w:r>
        <w:rPr>
          <w:rFonts w:ascii="Arial Narrow" w:hAnsi="Arial Narrow" w:cs="Calibri"/>
          <w:lang w:bidi="ru-RU"/>
        </w:rPr>
        <w:t xml:space="preserve">Выработка - Паужетская ГеоЭС 43 501 608 кВтч или 94,3 % от электропотребления ОЭУ;</w:t>
      </w:r>
      <w:r/>
    </w:p>
    <w:p>
      <w:pPr>
        <w:pStyle w:val="1063"/>
        <w:ind w:firstLine="567"/>
        <w:jc w:val="both"/>
      </w:pPr>
      <w:r>
        <w:rPr>
          <w:rFonts w:ascii="Arial Narrow" w:hAnsi="Arial Narrow" w:cs="Calibri"/>
          <w:lang w:bidi="ru-RU"/>
        </w:rPr>
        <w:t xml:space="preserve">Выработка - Озерновская ДЭС 2 630 545 кВтч или 5,7 % от электропотребления ОЭУ.</w:t>
      </w:r>
      <w:r/>
    </w:p>
    <w:p>
      <w:pPr>
        <w:pStyle w:val="1063"/>
        <w:widowControl w:val="off"/>
        <w:rPr>
          <w:rFonts w:ascii="Arial Narrow" w:hAnsi="Arial Narrow" w:eastAsia="Calibri" w:cs="Calibri"/>
          <w:iCs/>
          <w:color w:val="314e87"/>
          <w:lang w:eastAsia="ja-JP" w:bidi="ru-RU"/>
        </w:rPr>
      </w:pPr>
      <w:r>
        <w:rPr>
          <w:rFonts w:ascii="Arial Narrow" w:hAnsi="Arial Narrow" w:eastAsia="Calibri" w:cs="Calibri"/>
          <w:iCs/>
          <w:color w:val="314e87"/>
          <w:lang w:eastAsia="ru-RU"/>
        </w:rPr>
        <mc:AlternateContent>
          <mc:Choice Requires="wpg">
            <w:drawing>
              <wp:anchor xmlns:wp="http://schemas.openxmlformats.org/drawingml/2006/wordprocessingDrawing" xmlns:wp14="http://schemas.microsoft.com/office/word/2010/wordprocessingDrawing" distT="0" distB="0" distL="114300" distR="114300" simplePos="0" relativeHeight="251643904" behindDoc="0" locked="0" layoutInCell="0" allowOverlap="1">
                <wp:simplePos x="0" y="0"/>
                <wp:positionH relativeFrom="margin">
                  <wp:posOffset>2769235</wp:posOffset>
                </wp:positionH>
                <wp:positionV relativeFrom="paragraph">
                  <wp:posOffset>159385</wp:posOffset>
                </wp:positionV>
                <wp:extent cx="3824605" cy="3117850"/>
                <wp:effectExtent l="0" t="0" r="0" b="0"/>
                <wp:wrapSquare wrapText="bothSides"/>
                <wp:docPr id="3" name="Изображение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2"/>
                        <pic:cNvPicPr>
                          <a:picLocks noChangeAspect="1"/>
                        </pic:cNvPicPr>
                        <pic:nvPr/>
                      </pic:nvPicPr>
                      <pic:blipFill>
                        <a:blip r:embed="rId13"/>
                        <a:stretch/>
                      </pic:blipFill>
                      <pic:spPr bwMode="auto">
                        <a:xfrm>
                          <a:off x="0" y="0"/>
                          <a:ext cx="3824605" cy="3117850"/>
                        </a:xfrm>
                        <a:prstGeom prst="rect">
                          <a:avLst/>
                        </a:prstGeom>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position:absolute;z-index:251643904;o:allowoverlap:true;o:allowincell:false;mso-position-horizontal-relative:margin;margin-left:218.05pt;mso-position-horizontal:absolute;mso-position-vertical-relative:text;margin-top:12.55pt;mso-position-vertical:absolute;width:301.15pt;height:245.50pt;mso-wrap-distance-left:9.00pt;mso-wrap-distance-top:0.00pt;mso-wrap-distance-right:9.00pt;mso-wrap-distance-bottom:0.00pt;" stroked="false">
                <v:path textboxrect="0,0,0,0"/>
                <w10:wrap type="square"/>
                <v:imagedata r:id="rId13" o:title=""/>
              </v:shape>
            </w:pict>
          </mc:Fallback>
        </mc:AlternateContent>
      </w:r>
      <w:r>
        <w:rPr>
          <w:rFonts w:ascii="Arial Narrow" w:hAnsi="Arial Narrow" w:eastAsia="Calibri" w:cs="Calibri"/>
          <w:iCs/>
          <w:color w:val="314e87"/>
          <w:lang w:eastAsia="ja-JP" w:bidi="ru-RU"/>
        </w:rPr>
      </w:r>
      <w:r>
        <w:rPr>
          <w:rFonts w:ascii="Arial Narrow" w:hAnsi="Arial Narrow" w:eastAsia="Calibri" w:cs="Calibri"/>
          <w:iCs/>
          <w:color w:val="314e87"/>
          <w:lang w:eastAsia="ja-JP" w:bidi="ru-RU"/>
        </w:rPr>
      </w:r>
    </w:p>
    <w:p>
      <w:pPr>
        <w:pStyle w:val="1063"/>
        <w:ind w:left="567"/>
        <w:jc w:val="both"/>
        <w:widowControl w:val="off"/>
        <w:rPr>
          <w:rFonts w:ascii="Arial Narrow" w:hAnsi="Arial Narrow" w:eastAsia="Calibri" w:cs="Calibri"/>
          <w:b/>
          <w:iCs/>
          <w:color w:val="314e87"/>
          <w:lang w:eastAsia="ja-JP" w:bidi="ru-RU"/>
        </w:rPr>
      </w:pPr>
      <w:r>
        <w:rPr>
          <w:rFonts w:ascii="Arial Narrow" w:hAnsi="Arial Narrow" w:eastAsia="Calibri" w:cs="Calibri"/>
          <w:b/>
          <w:iCs/>
          <w:color w:val="314e87"/>
          <w:lang w:eastAsia="ja-JP" w:bidi="ru-RU"/>
        </w:rPr>
        <w:t xml:space="preserve">Структура объемов электроэнергии, принятых в сети </w:t>
      </w:r>
      <w:r>
        <w:rPr>
          <w:rFonts w:ascii="Arial Narrow" w:hAnsi="Arial Narrow" w:eastAsia="Calibri" w:cs="Calibri"/>
          <w:b/>
          <w:iCs/>
          <w:color w:val="314e87"/>
          <w:lang w:eastAsia="ja-JP" w:bidi="ru-RU"/>
        </w:rPr>
      </w:r>
      <w:r>
        <w:rPr>
          <w:rFonts w:ascii="Arial Narrow" w:hAnsi="Arial Narrow" w:eastAsia="Calibri" w:cs="Calibri"/>
          <w:b/>
          <w:iCs/>
          <w:color w:val="314e87"/>
          <w:lang w:eastAsia="ja-JP" w:bidi="ru-RU"/>
        </w:rPr>
      </w:r>
    </w:p>
    <w:p>
      <w:pPr>
        <w:pStyle w:val="1063"/>
        <w:ind w:left="567"/>
        <w:jc w:val="both"/>
        <w:widowControl w:val="off"/>
        <w:rPr>
          <w:b/>
        </w:rPr>
      </w:pPr>
      <w:r>
        <w:rPr>
          <w:rFonts w:ascii="Arial Narrow" w:hAnsi="Arial Narrow" w:eastAsia="Calibri" w:cs="Calibri"/>
          <w:b/>
          <w:iCs/>
          <w:color w:val="314e87"/>
          <w:lang w:eastAsia="ja-JP" w:bidi="ru-RU"/>
        </w:rPr>
        <w:t xml:space="preserve">ПАО «Камчатскэнерго» в 2024 году</w:t>
      </w:r>
      <w:r>
        <w:rPr>
          <w:b/>
        </w:rPr>
      </w:r>
      <w:r>
        <w:rPr>
          <w:b/>
        </w:rPr>
      </w:r>
    </w:p>
    <w:p>
      <w:pPr>
        <w:pStyle w:val="1063"/>
        <w:jc w:val="center"/>
        <w:widowControl w:val="off"/>
      </w:pPr>
      <w:r/>
      <w:r/>
    </w:p>
    <w:p>
      <w:pPr>
        <w:pStyle w:val="1063"/>
        <w:ind w:firstLine="567"/>
        <w:jc w:val="both"/>
        <w:rPr>
          <w:rFonts w:ascii="Arial Narrow" w:hAnsi="Arial Narrow" w:cs="Calibri"/>
          <w:lang w:bidi="ru-RU"/>
        </w:rPr>
      </w:pPr>
      <w:r>
        <w:rPr>
          <w:rFonts w:ascii="Arial Narrow" w:hAnsi="Arial Narrow" w:cs="Calibri"/>
          <w:lang w:bidi="ru-RU"/>
        </w:rPr>
      </w:r>
      <w:r>
        <w:rPr>
          <w:rFonts w:ascii="Arial Narrow" w:hAnsi="Arial Narrow" w:cs="Calibri"/>
          <w:lang w:bidi="ru-RU"/>
        </w:rPr>
      </w:r>
      <w:r>
        <w:rPr>
          <w:rFonts w:ascii="Arial Narrow" w:hAnsi="Arial Narrow" w:cs="Calibri"/>
          <w:lang w:bidi="ru-RU"/>
        </w:rPr>
      </w:r>
    </w:p>
    <w:p>
      <w:pPr>
        <w:pStyle w:val="1063"/>
        <w:ind w:firstLine="567"/>
        <w:jc w:val="both"/>
        <w:rPr>
          <w:rFonts w:ascii="Arial Narrow" w:hAnsi="Arial Narrow" w:cs="Calibri"/>
          <w:lang w:bidi="ru-RU"/>
        </w:rPr>
      </w:pPr>
      <w:r>
        <w:rPr>
          <w:rFonts w:ascii="Arial Narrow" w:hAnsi="Arial Narrow" w:cs="Calibri"/>
          <w:lang w:bidi="ru-RU"/>
        </w:rPr>
      </w:r>
      <w:r>
        <w:rPr>
          <w:rFonts w:ascii="Arial Narrow" w:hAnsi="Arial Narrow" w:cs="Calibri"/>
          <w:lang w:bidi="ru-RU"/>
        </w:rPr>
      </w:r>
      <w:r>
        <w:rPr>
          <w:rFonts w:ascii="Arial Narrow" w:hAnsi="Arial Narrow" w:cs="Calibri"/>
          <w:lang w:bidi="ru-RU"/>
        </w:rPr>
      </w:r>
    </w:p>
    <w:p>
      <w:pPr>
        <w:pStyle w:val="1063"/>
        <w:ind w:firstLine="567"/>
        <w:jc w:val="both"/>
        <w:rPr>
          <w:rFonts w:ascii="Arial Narrow" w:hAnsi="Arial Narrow" w:cs="Calibri"/>
          <w:lang w:bidi="ru-RU"/>
        </w:rPr>
      </w:pPr>
      <w:r>
        <w:rPr>
          <w:rFonts w:ascii="Arial Narrow" w:hAnsi="Arial Narrow" w:cs="Calibri"/>
          <w:lang w:bidi="ru-RU"/>
        </w:rPr>
      </w:r>
      <w:r>
        <w:rPr>
          <w:rFonts w:ascii="Arial Narrow" w:hAnsi="Arial Narrow" w:cs="Calibri"/>
          <w:lang w:bidi="ru-RU"/>
        </w:rPr>
      </w:r>
      <w:r>
        <w:rPr>
          <w:rFonts w:ascii="Arial Narrow" w:hAnsi="Arial Narrow" w:cs="Calibri"/>
          <w:lang w:bidi="ru-RU"/>
        </w:rPr>
      </w:r>
    </w:p>
    <w:p>
      <w:pPr>
        <w:pStyle w:val="1063"/>
        <w:ind w:firstLine="567"/>
        <w:jc w:val="both"/>
        <w:rPr>
          <w:rFonts w:ascii="Arial Narrow" w:hAnsi="Arial Narrow" w:cs="Calibri"/>
          <w:lang w:bidi="ru-RU"/>
        </w:rPr>
      </w:pPr>
      <w:r>
        <w:rPr>
          <w:rFonts w:ascii="Arial Narrow" w:hAnsi="Arial Narrow" w:cs="Calibri"/>
          <w:lang w:bidi="ru-RU"/>
        </w:rPr>
      </w:r>
      <w:r>
        <w:rPr>
          <w:rFonts w:ascii="Arial Narrow" w:hAnsi="Arial Narrow" w:cs="Calibri"/>
          <w:lang w:bidi="ru-RU"/>
        </w:rPr>
      </w:r>
      <w:r>
        <w:rPr>
          <w:rFonts w:ascii="Arial Narrow" w:hAnsi="Arial Narrow" w:cs="Calibri"/>
          <w:lang w:bidi="ru-RU"/>
        </w:rPr>
      </w:r>
    </w:p>
    <w:p>
      <w:pPr>
        <w:pStyle w:val="1063"/>
        <w:ind w:firstLine="567"/>
        <w:jc w:val="both"/>
        <w:rPr>
          <w:rFonts w:ascii="Arial Narrow" w:hAnsi="Arial Narrow" w:cs="Calibri"/>
          <w:lang w:bidi="ru-RU"/>
        </w:rPr>
      </w:pPr>
      <w:r>
        <w:rPr>
          <w:rFonts w:ascii="Arial Narrow" w:hAnsi="Arial Narrow" w:cs="Calibri"/>
          <w:lang w:bidi="ru-RU"/>
        </w:rPr>
      </w:r>
      <w:r>
        <w:rPr>
          <w:rFonts w:ascii="Arial Narrow" w:hAnsi="Arial Narrow" w:cs="Calibri"/>
          <w:lang w:bidi="ru-RU"/>
        </w:rPr>
      </w:r>
      <w:r>
        <w:rPr>
          <w:rFonts w:ascii="Arial Narrow" w:hAnsi="Arial Narrow" w:cs="Calibri"/>
          <w:lang w:bidi="ru-RU"/>
        </w:rPr>
      </w:r>
    </w:p>
    <w:p>
      <w:pPr>
        <w:pStyle w:val="1063"/>
        <w:ind w:firstLine="567"/>
        <w:jc w:val="both"/>
        <w:rPr>
          <w:rFonts w:ascii="Arial Narrow" w:hAnsi="Arial Narrow" w:cs="Calibri"/>
          <w:lang w:bidi="ru-RU"/>
        </w:rPr>
      </w:pPr>
      <w:r>
        <w:rPr>
          <w:rFonts w:ascii="Arial Narrow" w:hAnsi="Arial Narrow" w:cs="Calibri"/>
          <w:lang w:bidi="ru-RU"/>
        </w:rPr>
      </w:r>
      <w:r>
        <w:rPr>
          <w:rFonts w:ascii="Arial Narrow" w:hAnsi="Arial Narrow" w:cs="Calibri"/>
          <w:lang w:bidi="ru-RU"/>
        </w:rPr>
      </w:r>
      <w:r>
        <w:rPr>
          <w:rFonts w:ascii="Arial Narrow" w:hAnsi="Arial Narrow" w:cs="Calibri"/>
          <w:lang w:bidi="ru-RU"/>
        </w:rPr>
      </w:r>
    </w:p>
    <w:p>
      <w:pPr>
        <w:pStyle w:val="1063"/>
        <w:ind w:firstLine="567"/>
        <w:jc w:val="both"/>
        <w:rPr>
          <w:rFonts w:ascii="Arial Narrow" w:hAnsi="Arial Narrow" w:cs="Calibri"/>
          <w:lang w:bidi="ru-RU"/>
        </w:rPr>
      </w:pPr>
      <w:r>
        <w:rPr>
          <w:rFonts w:ascii="Arial Narrow" w:hAnsi="Arial Narrow" w:cs="Calibri"/>
          <w:lang w:bidi="ru-RU"/>
        </w:rPr>
      </w:r>
      <w:r>
        <w:rPr>
          <w:rFonts w:ascii="Arial Narrow" w:hAnsi="Arial Narrow" w:cs="Calibri"/>
          <w:lang w:bidi="ru-RU"/>
        </w:rPr>
      </w:r>
      <w:r>
        <w:rPr>
          <w:rFonts w:ascii="Arial Narrow" w:hAnsi="Arial Narrow" w:cs="Calibri"/>
          <w:lang w:bidi="ru-RU"/>
        </w:rPr>
      </w:r>
    </w:p>
    <w:p>
      <w:pPr>
        <w:pStyle w:val="1063"/>
        <w:ind w:firstLine="567"/>
        <w:jc w:val="both"/>
        <w:rPr>
          <w:rFonts w:ascii="Arial Narrow" w:hAnsi="Arial Narrow" w:cs="Calibri"/>
          <w:lang w:bidi="ru-RU"/>
        </w:rPr>
      </w:pPr>
      <w:r>
        <w:rPr>
          <w:rFonts w:ascii="Arial Narrow" w:hAnsi="Arial Narrow" w:cs="Calibri"/>
          <w:lang w:bidi="ru-RU"/>
        </w:rPr>
      </w:r>
      <w:r>
        <w:rPr>
          <w:rFonts w:ascii="Arial Narrow" w:hAnsi="Arial Narrow" w:cs="Calibri"/>
          <w:lang w:bidi="ru-RU"/>
        </w:rPr>
      </w:r>
      <w:r>
        <w:rPr>
          <w:rFonts w:ascii="Arial Narrow" w:hAnsi="Arial Narrow" w:cs="Calibri"/>
          <w:lang w:bidi="ru-RU"/>
        </w:rPr>
      </w:r>
    </w:p>
    <w:p>
      <w:pPr>
        <w:pStyle w:val="1063"/>
        <w:ind w:firstLine="567"/>
        <w:jc w:val="both"/>
        <w:rPr>
          <w:rFonts w:ascii="Arial Narrow" w:hAnsi="Arial Narrow" w:cs="Calibri"/>
          <w:lang w:bidi="ru-RU"/>
        </w:rPr>
      </w:pPr>
      <w:r>
        <w:rPr>
          <w:rFonts w:ascii="Arial Narrow" w:hAnsi="Arial Narrow" w:cs="Calibri"/>
          <w:lang w:bidi="ru-RU"/>
        </w:rPr>
      </w:r>
      <w:r>
        <w:rPr>
          <w:rFonts w:ascii="Arial Narrow" w:hAnsi="Arial Narrow" w:cs="Calibri"/>
          <w:lang w:bidi="ru-RU"/>
        </w:rPr>
      </w:r>
      <w:r>
        <w:rPr>
          <w:rFonts w:ascii="Arial Narrow" w:hAnsi="Arial Narrow" w:cs="Calibri"/>
          <w:lang w:bidi="ru-RU"/>
        </w:rPr>
      </w:r>
    </w:p>
    <w:p>
      <w:pPr>
        <w:rPr>
          <w:rFonts w:ascii="Arial Narrow" w:hAnsi="Arial Narrow" w:eastAsia="Arial" w:cs="Calibri"/>
          <w:sz w:val="24"/>
          <w:szCs w:val="24"/>
          <w:lang w:eastAsia="en-US" w:bidi="ru-RU"/>
        </w:rPr>
      </w:pPr>
      <w:r>
        <w:br w:type="page" w:clear="all"/>
      </w:r>
      <w:r>
        <w:rPr>
          <w:rFonts w:ascii="Arial Narrow" w:hAnsi="Arial Narrow" w:eastAsia="Arial" w:cs="Calibri"/>
          <w:sz w:val="24"/>
          <w:szCs w:val="24"/>
          <w:lang w:eastAsia="en-US" w:bidi="ru-RU"/>
        </w:rPr>
      </w:r>
      <w:r>
        <w:rPr>
          <w:rFonts w:ascii="Arial Narrow" w:hAnsi="Arial Narrow" w:eastAsia="Arial" w:cs="Calibri"/>
          <w:sz w:val="24"/>
          <w:szCs w:val="24"/>
          <w:lang w:eastAsia="en-US" w:bidi="ru-RU"/>
        </w:rPr>
      </w:r>
    </w:p>
    <w:p>
      <w:pPr>
        <w:pStyle w:val="1063"/>
        <w:ind w:firstLine="567"/>
        <w:jc w:val="both"/>
      </w:pPr>
      <w:r>
        <w:rPr>
          <w:rFonts w:ascii="Arial Narrow" w:hAnsi="Arial Narrow" w:cs="Calibri"/>
          <w:lang w:bidi="ru-RU"/>
        </w:rPr>
        <w:t xml:space="preserve">ПАО «Камчатскэнерго» осуществляет покупку электроэнергии от сторонних предприятий на правах гарантирующего поставщика, по итогам года в объеме 207 718 807 кВтч., в том числе:</w:t>
      </w: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bidi="ru-RU"/>
        </w:rPr>
        <w:t xml:space="preserve">АО «Корякэнерго» - 20 013 268 кВтч;</w:t>
      </w: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АО «Камчатские электрические сети» - 22</w:t>
      </w:r>
      <w:r>
        <w:rPr>
          <w:rFonts w:ascii="Arial Narrow" w:hAnsi="Arial Narrow" w:cs="Calibri"/>
          <w:sz w:val="24"/>
          <w:szCs w:val="24"/>
          <w:lang w:bidi="ru-RU"/>
        </w:rPr>
        <w:t xml:space="preserve"> </w:t>
      </w:r>
      <w:r>
        <w:rPr>
          <w:rFonts w:ascii="Arial Narrow" w:hAnsi="Arial Narrow" w:cs="Calibri"/>
          <w:sz w:val="24"/>
          <w:szCs w:val="24"/>
          <w:lang w:val="ru-RU" w:bidi="ru-RU"/>
        </w:rPr>
        <w:t xml:space="preserve">095 081 кВтч;</w:t>
      </w:r>
      <w:r>
        <w:rPr>
          <w:lang w:val="ru-RU"/>
        </w:rPr>
      </w:r>
      <w:r>
        <w:rPr>
          <w:lang w:val="ru-RU"/>
        </w:rP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bidi="ru-RU"/>
        </w:rPr>
        <w:t xml:space="preserve">ООО «Энергопрогноз» - 154 729 970 кВтч;</w:t>
      </w: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bidi="ru-RU"/>
        </w:rPr>
        <w:t xml:space="preserve">ООО «Укинский лиман» - 2 350 560 кВтч;</w:t>
      </w: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ООО «Пенжинское ГДП» (ООО «Нейрон») – 4 413 600 кВтч;</w:t>
      </w:r>
      <w:r>
        <w:rPr>
          <w:lang w:val="ru-RU"/>
        </w:rPr>
      </w:r>
      <w:r>
        <w:rPr>
          <w:lang w:val="ru-RU"/>
        </w:rP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bidi="ru-RU"/>
        </w:rPr>
        <w:t xml:space="preserve">АО «Корякэнерго» ОЭУ – 3 431 848 кВтч;</w:t>
      </w: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bidi="ru-RU"/>
        </w:rPr>
        <w:t xml:space="preserve">ООО «Мэтскай» - 684 480 кВтч.</w:t>
      </w:r>
      <w:r/>
    </w:p>
    <w:p>
      <w:pPr>
        <w:pStyle w:val="1063"/>
        <w:ind w:firstLine="567"/>
        <w:jc w:val="both"/>
        <w:rPr>
          <w:rFonts w:ascii="Arial Narrow" w:hAnsi="Arial Narrow" w:cs="Calibri"/>
          <w:sz w:val="12"/>
          <w:szCs w:val="12"/>
          <w:lang w:bidi="ru-RU"/>
        </w:rPr>
      </w:pPr>
      <w:r>
        <w:rPr>
          <w:rFonts w:ascii="Arial Narrow" w:hAnsi="Arial Narrow" w:cs="Calibri"/>
          <w:sz w:val="12"/>
          <w:szCs w:val="12"/>
          <w:lang w:bidi="ru-RU"/>
        </w:rPr>
      </w:r>
      <w:r>
        <w:rPr>
          <w:rFonts w:ascii="Arial Narrow" w:hAnsi="Arial Narrow" w:cs="Calibri"/>
          <w:sz w:val="12"/>
          <w:szCs w:val="12"/>
          <w:lang w:bidi="ru-RU"/>
        </w:rPr>
      </w:r>
      <w:r>
        <w:rPr>
          <w:rFonts w:ascii="Arial Narrow" w:hAnsi="Arial Narrow" w:cs="Calibri"/>
          <w:sz w:val="12"/>
          <w:szCs w:val="12"/>
          <w:lang w:bidi="ru-RU"/>
        </w:rPr>
      </w:r>
    </w:p>
    <w:p>
      <w:pPr>
        <w:pStyle w:val="1063"/>
        <w:ind w:firstLine="567"/>
        <w:jc w:val="both"/>
      </w:pPr>
      <w:r>
        <w:rPr>
          <w:rFonts w:ascii="Arial Narrow" w:hAnsi="Arial Narrow" w:cs="Calibri"/>
          <w:lang w:bidi="ru-RU"/>
        </w:rPr>
        <w:t xml:space="preserve">Камчатский край относится к субъектам РФ, территория которого не включена в ценовую зону оптового рынка электроэнергии.</w:t>
      </w:r>
      <w:r/>
    </w:p>
    <w:p>
      <w:pPr>
        <w:pStyle w:val="1063"/>
        <w:ind w:firstLine="567"/>
        <w:jc w:val="both"/>
      </w:pPr>
      <w:r>
        <w:rPr>
          <w:rFonts w:ascii="Arial Narrow" w:hAnsi="Arial Narrow" w:cs="Calibri"/>
          <w:lang w:bidi="ru-RU"/>
        </w:rPr>
        <w:t xml:space="preserve">ПАО «Камчатскэнерго» является изолированной энергосистемой, где договорные отношения с потр</w:t>
      </w:r>
      <w:r>
        <w:rPr>
          <w:rFonts w:ascii="Arial Narrow" w:hAnsi="Arial Narrow" w:cs="Calibri"/>
          <w:lang w:bidi="ru-RU"/>
        </w:rPr>
        <w:t xml:space="preserve">ебителями регулируются Правилами розничного рынка, утвержденными Постановлением Правительства РФ от 04.05.2012 № 442 «О функционировании розничных рынков электрической энергии, полном и (или) частичном ограничении режима потребления электрической энергии».</w:t>
      </w:r>
      <w:r/>
    </w:p>
    <w:p>
      <w:pPr>
        <w:pStyle w:val="1063"/>
        <w:ind w:firstLine="567"/>
        <w:jc w:val="both"/>
      </w:pPr>
      <w:r>
        <w:rPr>
          <w:rFonts w:ascii="Arial Narrow" w:hAnsi="Arial Narrow" w:cs="Calibri"/>
          <w:lang w:bidi="ru-RU"/>
        </w:rPr>
        <w:t xml:space="preserve">В соответствии с Постановлением Правительства РФ от 04.05.2012 № 442 «О функционировании розничных рынков электрической энергии, полном и (или) частичном ограничении режима потребления электрической энергии» и на основании Постановления Упра</w:t>
      </w:r>
      <w:r>
        <w:rPr>
          <w:rFonts w:ascii="Arial Narrow" w:hAnsi="Arial Narrow" w:cs="Calibri"/>
          <w:lang w:bidi="ru-RU"/>
        </w:rPr>
        <w:t xml:space="preserve">вления по регулированию тарифов Администрации Камчатской области от 02.11.2006 № 18 ПАО «Камчатскэнерго» присвоен статус гарантирующего поставщика в границах зоны деятельности и включено в единый федеральный информационный реестр гарантирующих поставщиков.</w:t>
      </w:r>
      <w:r/>
    </w:p>
    <w:p>
      <w:pPr>
        <w:pStyle w:val="1063"/>
        <w:ind w:firstLine="720"/>
        <w:jc w:val="both"/>
        <w:rPr>
          <w:rFonts w:ascii="Arial Narrow" w:hAnsi="Arial Narrow"/>
          <w:sz w:val="12"/>
          <w:szCs w:val="12"/>
          <w:lang w:bidi="ru-RU"/>
        </w:rPr>
      </w:pPr>
      <w:r>
        <w:rPr>
          <w:rFonts w:ascii="Arial Narrow" w:hAnsi="Arial Narrow"/>
          <w:sz w:val="12"/>
          <w:szCs w:val="12"/>
          <w:lang w:bidi="ru-RU"/>
        </w:rPr>
      </w:r>
      <w:r>
        <w:rPr>
          <w:rFonts w:ascii="Arial Narrow" w:hAnsi="Arial Narrow"/>
          <w:sz w:val="12"/>
          <w:szCs w:val="12"/>
          <w:lang w:bidi="ru-RU"/>
        </w:rPr>
      </w:r>
      <w:r>
        <w:rPr>
          <w:rFonts w:ascii="Arial Narrow" w:hAnsi="Arial Narrow"/>
          <w:sz w:val="12"/>
          <w:szCs w:val="12"/>
          <w:lang w:bidi="ru-RU"/>
        </w:rPr>
      </w:r>
    </w:p>
    <w:p>
      <w:pPr>
        <w:pStyle w:val="1063"/>
        <w:jc w:val="both"/>
        <w:spacing w:after="120"/>
        <w:tabs>
          <w:tab w:val="left" w:pos="709" w:leader="none"/>
        </w:tabs>
        <w:rPr>
          <w:b/>
        </w:rPr>
      </w:pPr>
      <w:r>
        <w:rPr>
          <w:rFonts w:ascii="Arial Narrow" w:hAnsi="Arial Narrow" w:eastAsia="Calibri" w:cs="Calibri"/>
          <w:b/>
          <w:iCs/>
          <w:color w:val="314e87"/>
          <w:lang w:eastAsia="ja-JP" w:bidi="ru-RU"/>
        </w:rPr>
        <w:t xml:space="preserve">Отпуск тепловой энергии</w:t>
      </w:r>
      <w:r>
        <w:rPr>
          <w:b/>
        </w:rPr>
      </w:r>
      <w:r>
        <w:rPr>
          <w:b/>
        </w:rPr>
      </w:r>
    </w:p>
    <w:p>
      <w:pPr>
        <w:pStyle w:val="1063"/>
        <w:ind w:firstLine="567"/>
        <w:jc w:val="both"/>
      </w:pPr>
      <w:r>
        <w:rPr>
          <w:rFonts w:ascii="Arial Narrow" w:hAnsi="Arial Narrow" w:cs="Calibri"/>
          <w:lang w:bidi="ru-RU"/>
        </w:rPr>
        <w:t xml:space="preserve">Отпуск тепловой энергии от собственных теплоисточников за 12 месяцев 2024 года составил 1 560 569,6 тыс. Гкал.</w:t>
      </w:r>
      <w:r/>
    </w:p>
    <w:p>
      <w:pPr>
        <w:pStyle w:val="1063"/>
        <w:ind w:firstLine="567"/>
        <w:jc w:val="both"/>
      </w:pPr>
      <w:r>
        <w:rPr>
          <w:rFonts w:ascii="Arial Narrow" w:hAnsi="Arial Narrow" w:cs="Calibri"/>
          <w:lang w:bidi="ru-RU"/>
        </w:rPr>
        <w:t xml:space="preserve">По состоянию на 01.01.2025 </w:t>
      </w:r>
      <w:r>
        <w:rPr>
          <w:rFonts w:ascii="Arial Narrow" w:hAnsi="Arial Narrow" w:cs="Calibri"/>
          <w:color w:val="0f0d29"/>
          <w:lang w:bidi="ru-RU"/>
        </w:rPr>
        <w:t xml:space="preserve">ПАО «Камчатскэнерго»</w:t>
      </w:r>
      <w:r>
        <w:rPr>
          <w:rFonts w:ascii="Arial Narrow" w:hAnsi="Arial Narrow" w:cs="Calibri"/>
          <w:color w:val="ff0000"/>
          <w:lang w:bidi="ru-RU"/>
        </w:rPr>
        <w:t xml:space="preserve"> </w:t>
      </w:r>
      <w:r>
        <w:rPr>
          <w:rFonts w:ascii="Arial Narrow" w:hAnsi="Arial Narrow" w:cs="Calibri"/>
          <w:lang w:bidi="ru-RU"/>
        </w:rPr>
        <w:t xml:space="preserve">эксплуатирует следующие тепловые источники:</w:t>
      </w:r>
      <w:r/>
    </w:p>
    <w:p>
      <w:pPr>
        <w:pStyle w:val="1063"/>
        <w:ind w:firstLine="567"/>
        <w:jc w:val="both"/>
      </w:pPr>
      <w:r>
        <w:rPr>
          <w:rFonts w:ascii="Arial Narrow" w:hAnsi="Arial Narrow" w:cs="Calibri"/>
          <w:lang w:bidi="ru-RU"/>
        </w:rPr>
        <w:t xml:space="preserve">57 ЦТП Петропавловск-Камчатского городского округа (ПКГО) (филиал Камчатские ТЭЦ), в том числе ЦТП ТЭЦ-1 – 25, ЦТП ТЭЦ-2 – 32.</w:t>
      </w:r>
      <w:r/>
    </w:p>
    <w:p>
      <w:pPr>
        <w:pStyle w:val="1063"/>
        <w:ind w:firstLine="567"/>
        <w:jc w:val="both"/>
      </w:pPr>
      <w:r>
        <w:rPr>
          <w:rFonts w:ascii="Arial Narrow" w:hAnsi="Arial Narrow" w:cs="Calibri"/>
          <w:lang w:bidi="ru-RU"/>
        </w:rPr>
        <w:t xml:space="preserve">27 котельных ПКГО, 27 котельных Елизовского муниципального района (ЕМР) (филиал Коммунальная энергетика).</w:t>
      </w:r>
      <w:r/>
    </w:p>
    <w:p>
      <w:pPr>
        <w:pStyle w:val="1063"/>
        <w:ind w:firstLine="567"/>
        <w:jc w:val="both"/>
        <w:rPr>
          <w:rFonts w:ascii="Arial Narrow" w:hAnsi="Arial Narrow" w:eastAsia="Calibri" w:cs="Calibri"/>
          <w:iCs/>
          <w:color w:val="314e87"/>
          <w:lang w:eastAsia="ja-JP" w:bidi="ru-RU"/>
        </w:rPr>
      </w:pPr>
      <w:r>
        <w:rPr>
          <w:rFonts w:ascii="Arial Narrow" w:hAnsi="Arial Narrow" w:eastAsia="Calibri" w:cs="Calibri"/>
          <w:iCs/>
          <w:color w:val="314e87"/>
          <w:lang w:eastAsia="ru-RU"/>
        </w:rPr>
        <mc:AlternateContent>
          <mc:Choice Requires="wpg">
            <w:drawing>
              <wp:anchor xmlns:wp="http://schemas.openxmlformats.org/drawingml/2006/wordprocessingDrawing" xmlns:wp14="http://schemas.microsoft.com/office/word/2010/wordprocessingDrawing" distT="0" distB="0" distL="114300" distR="114300" simplePos="0" relativeHeight="251652096" behindDoc="0" locked="0" layoutInCell="0" allowOverlap="1">
                <wp:simplePos x="0" y="0"/>
                <wp:positionH relativeFrom="margin">
                  <wp:posOffset>1981200</wp:posOffset>
                </wp:positionH>
                <wp:positionV relativeFrom="paragraph">
                  <wp:posOffset>39370</wp:posOffset>
                </wp:positionV>
                <wp:extent cx="4531995" cy="2719070"/>
                <wp:effectExtent l="0" t="0" r="0" b="0"/>
                <wp:wrapSquare wrapText="bothSides"/>
                <wp:docPr id="4" name="Изображени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1"/>
                        <pic:cNvPicPr>
                          <a:picLocks noChangeAspect="1"/>
                        </pic:cNvPicPr>
                        <pic:nvPr/>
                      </pic:nvPicPr>
                      <pic:blipFill>
                        <a:blip r:embed="rId14"/>
                        <a:stretch/>
                      </pic:blipFill>
                      <pic:spPr bwMode="auto">
                        <a:xfrm>
                          <a:off x="0" y="0"/>
                          <a:ext cx="4531995" cy="2719070"/>
                        </a:xfrm>
                        <a:prstGeom prst="rect">
                          <a:avLst/>
                        </a:prstGeom>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position:absolute;z-index:251652096;o:allowoverlap:true;o:allowincell:false;mso-position-horizontal-relative:margin;margin-left:156.00pt;mso-position-horizontal:absolute;mso-position-vertical-relative:text;margin-top:3.10pt;mso-position-vertical:absolute;width:356.85pt;height:214.10pt;mso-wrap-distance-left:9.00pt;mso-wrap-distance-top:0.00pt;mso-wrap-distance-right:9.00pt;mso-wrap-distance-bottom:0.00pt;" stroked="false">
                <v:path textboxrect="0,0,0,0"/>
                <w10:wrap type="square"/>
                <v:imagedata r:id="rId14" o:title=""/>
              </v:shape>
            </w:pict>
          </mc:Fallback>
        </mc:AlternateContent>
      </w:r>
      <w:r>
        <w:rPr>
          <w:rFonts w:ascii="Arial Narrow" w:hAnsi="Arial Narrow" w:eastAsia="Calibri" w:cs="Calibri"/>
          <w:iCs/>
          <w:color w:val="314e87"/>
          <w:lang w:eastAsia="ja-JP" w:bidi="ru-RU"/>
        </w:rPr>
      </w:r>
      <w:r>
        <w:rPr>
          <w:rFonts w:ascii="Arial Narrow" w:hAnsi="Arial Narrow" w:eastAsia="Calibri" w:cs="Calibri"/>
          <w:iCs/>
          <w:color w:val="314e87"/>
          <w:lang w:eastAsia="ja-JP" w:bidi="ru-RU"/>
        </w:rPr>
      </w:r>
    </w:p>
    <w:p>
      <w:pPr>
        <w:pStyle w:val="1063"/>
        <w:jc w:val="center"/>
        <w:rPr>
          <w:rFonts w:ascii="Arial Narrow" w:hAnsi="Arial Narrow" w:eastAsia="Calibri" w:cs="Calibri"/>
          <w:b/>
          <w:iCs/>
          <w:color w:val="314e87"/>
          <w:lang w:eastAsia="ja-JP" w:bidi="ru-RU"/>
        </w:rPr>
      </w:pPr>
      <w:r>
        <w:rPr>
          <w:rFonts w:ascii="Arial Narrow" w:hAnsi="Arial Narrow" w:eastAsia="Calibri" w:cs="Calibri"/>
          <w:b/>
          <w:iCs/>
          <w:color w:val="314e87"/>
          <w:lang w:eastAsia="ja-JP" w:bidi="ru-RU"/>
        </w:rPr>
        <w:t xml:space="preserve">Структура отпуска </w:t>
      </w:r>
      <w:r>
        <w:rPr>
          <w:rFonts w:ascii="Arial Narrow" w:hAnsi="Arial Narrow" w:eastAsia="Calibri" w:cs="Calibri"/>
          <w:b/>
          <w:iCs/>
          <w:color w:val="314e87"/>
          <w:lang w:eastAsia="ja-JP" w:bidi="ru-RU"/>
        </w:rPr>
      </w:r>
      <w:r>
        <w:rPr>
          <w:rFonts w:ascii="Arial Narrow" w:hAnsi="Arial Narrow" w:eastAsia="Calibri" w:cs="Calibri"/>
          <w:b/>
          <w:iCs/>
          <w:color w:val="314e87"/>
          <w:lang w:eastAsia="ja-JP" w:bidi="ru-RU"/>
        </w:rPr>
      </w:r>
    </w:p>
    <w:p>
      <w:pPr>
        <w:pStyle w:val="1063"/>
        <w:jc w:val="center"/>
        <w:rPr>
          <w:rFonts w:ascii="Arial Narrow" w:hAnsi="Arial Narrow" w:eastAsia="Calibri" w:cs="Calibri"/>
          <w:b/>
          <w:iCs/>
          <w:color w:val="314e87"/>
          <w:lang w:eastAsia="ja-JP" w:bidi="ru-RU"/>
        </w:rPr>
      </w:pPr>
      <w:r>
        <w:rPr>
          <w:rFonts w:ascii="Arial Narrow" w:hAnsi="Arial Narrow" w:eastAsia="Calibri" w:cs="Calibri"/>
          <w:b/>
          <w:iCs/>
          <w:color w:val="314e87"/>
          <w:lang w:eastAsia="ja-JP" w:bidi="ru-RU"/>
        </w:rPr>
        <w:t xml:space="preserve">тепловой энергии</w:t>
      </w:r>
      <w:r>
        <w:rPr>
          <w:rFonts w:ascii="Arial Narrow" w:hAnsi="Arial Narrow" w:eastAsia="Calibri" w:cs="Calibri"/>
          <w:b/>
          <w:iCs/>
          <w:color w:val="314e87"/>
          <w:lang w:eastAsia="ja-JP" w:bidi="ru-RU"/>
        </w:rPr>
      </w:r>
      <w:r>
        <w:rPr>
          <w:rFonts w:ascii="Arial Narrow" w:hAnsi="Arial Narrow" w:eastAsia="Calibri" w:cs="Calibri"/>
          <w:b/>
          <w:iCs/>
          <w:color w:val="314e87"/>
          <w:lang w:eastAsia="ja-JP" w:bidi="ru-RU"/>
        </w:rPr>
      </w:r>
    </w:p>
    <w:p>
      <w:pPr>
        <w:pStyle w:val="1063"/>
        <w:jc w:val="center"/>
        <w:rPr>
          <w:rFonts w:ascii="Arial Narrow" w:hAnsi="Arial Narrow" w:eastAsia="Calibri" w:cs="Calibri"/>
          <w:b/>
          <w:iCs/>
          <w:color w:val="314e87"/>
          <w:lang w:eastAsia="ja-JP" w:bidi="ru-RU"/>
        </w:rPr>
      </w:pPr>
      <w:r>
        <w:rPr>
          <w:rFonts w:ascii="Arial Narrow" w:hAnsi="Arial Narrow" w:eastAsia="Calibri" w:cs="Calibri"/>
          <w:b/>
          <w:iCs/>
          <w:color w:val="314e87"/>
          <w:lang w:eastAsia="ja-JP" w:bidi="ru-RU"/>
        </w:rPr>
        <w:t xml:space="preserve">ПАО «Камчатскэнерго»,</w:t>
      </w:r>
      <w:r>
        <w:rPr>
          <w:rFonts w:ascii="Arial Narrow" w:hAnsi="Arial Narrow" w:eastAsia="Calibri" w:cs="Calibri"/>
          <w:b/>
          <w:iCs/>
          <w:color w:val="314e87"/>
          <w:lang w:eastAsia="ja-JP" w:bidi="ru-RU"/>
        </w:rPr>
      </w:r>
      <w:r>
        <w:rPr>
          <w:rFonts w:ascii="Arial Narrow" w:hAnsi="Arial Narrow" w:eastAsia="Calibri" w:cs="Calibri"/>
          <w:b/>
          <w:iCs/>
          <w:color w:val="314e87"/>
          <w:lang w:eastAsia="ja-JP" w:bidi="ru-RU"/>
        </w:rPr>
      </w:r>
    </w:p>
    <w:p>
      <w:pPr>
        <w:pStyle w:val="1063"/>
        <w:jc w:val="center"/>
        <w:rPr>
          <w:b/>
        </w:rPr>
      </w:pPr>
      <w:r>
        <w:rPr>
          <w:rFonts w:ascii="Arial Narrow" w:hAnsi="Arial Narrow" w:eastAsia="Calibri" w:cs="Calibri"/>
          <w:b/>
          <w:iCs/>
          <w:color w:val="314e87"/>
          <w:lang w:eastAsia="ja-JP" w:bidi="ru-RU"/>
        </w:rPr>
        <w:t xml:space="preserve"> тыс. Гкал</w:t>
      </w:r>
      <w:r>
        <w:rPr>
          <w:b/>
        </w:rPr>
      </w:r>
      <w:r>
        <w:rPr>
          <w:b/>
        </w:rPr>
      </w:r>
    </w:p>
    <w:p>
      <w:pPr>
        <w:pStyle w:val="1063"/>
      </w:pPr>
      <w:r/>
      <w:r/>
    </w:p>
    <w:p>
      <w:pPr>
        <w:pStyle w:val="1063"/>
        <w:rPr>
          <w:rFonts w:ascii="Arial Narrow" w:hAnsi="Arial Narrow" w:eastAsia="Calibri" w:cs="Calibri"/>
          <w:color w:val="314e87"/>
          <w:sz w:val="12"/>
          <w:szCs w:val="12"/>
        </w:rPr>
      </w:pPr>
      <w:r>
        <w:rPr>
          <w:rFonts w:ascii="Arial Narrow" w:hAnsi="Arial Narrow" w:eastAsia="Calibri" w:cs="Calibri"/>
          <w:color w:val="314e87"/>
          <w:sz w:val="12"/>
          <w:szCs w:val="12"/>
        </w:rPr>
      </w:r>
      <w:r>
        <w:rPr>
          <w:rFonts w:ascii="Arial Narrow" w:hAnsi="Arial Narrow" w:eastAsia="Calibri" w:cs="Calibri"/>
          <w:color w:val="314e87"/>
          <w:sz w:val="12"/>
          <w:szCs w:val="12"/>
        </w:rPr>
      </w:r>
      <w:r>
        <w:rPr>
          <w:rFonts w:ascii="Arial Narrow" w:hAnsi="Arial Narrow" w:eastAsia="Calibri" w:cs="Calibri"/>
          <w:color w:val="314e87"/>
          <w:sz w:val="12"/>
          <w:szCs w:val="12"/>
        </w:rPr>
      </w:r>
    </w:p>
    <w:p>
      <w:pPr>
        <w:pStyle w:val="1063"/>
        <w:jc w:val="both"/>
        <w:spacing w:before="120" w:after="120"/>
        <w:rPr>
          <w:rFonts w:ascii="Arial Narrow" w:hAnsi="Arial Narrow" w:eastAsia="Calibri" w:cs="Calibri"/>
          <w:iCs/>
          <w:color w:val="314e87"/>
          <w:lang w:eastAsia="ja-JP" w:bidi="ru-RU"/>
        </w:rPr>
      </w:pPr>
      <w:r>
        <w:rPr>
          <w:rFonts w:ascii="Arial Narrow" w:hAnsi="Arial Narrow" w:eastAsia="Calibri" w:cs="Calibri"/>
          <w:iCs/>
          <w:color w:val="314e87"/>
          <w:lang w:eastAsia="ja-JP" w:bidi="ru-RU"/>
        </w:rPr>
      </w:r>
      <w:r>
        <w:rPr>
          <w:rFonts w:ascii="Arial Narrow" w:hAnsi="Arial Narrow" w:eastAsia="Calibri" w:cs="Calibri"/>
          <w:iCs/>
          <w:color w:val="314e87"/>
          <w:lang w:eastAsia="ja-JP" w:bidi="ru-RU"/>
        </w:rPr>
      </w:r>
      <w:r>
        <w:rPr>
          <w:rFonts w:ascii="Arial Narrow" w:hAnsi="Arial Narrow" w:eastAsia="Calibri" w:cs="Calibri"/>
          <w:iCs/>
          <w:color w:val="314e87"/>
          <w:lang w:eastAsia="ja-JP" w:bidi="ru-RU"/>
        </w:rPr>
      </w:r>
    </w:p>
    <w:p>
      <w:pPr>
        <w:pStyle w:val="1063"/>
        <w:jc w:val="both"/>
        <w:spacing w:before="120" w:after="120"/>
        <w:rPr>
          <w:rFonts w:ascii="Arial Narrow" w:hAnsi="Arial Narrow" w:eastAsia="Calibri" w:cs="Calibri"/>
          <w:iCs/>
          <w:color w:val="314e87"/>
          <w:lang w:eastAsia="ja-JP" w:bidi="ru-RU"/>
        </w:rPr>
      </w:pPr>
      <w:r>
        <w:rPr>
          <w:rFonts w:ascii="Arial Narrow" w:hAnsi="Arial Narrow" w:eastAsia="Calibri" w:cs="Calibri"/>
          <w:iCs/>
          <w:color w:val="314e87"/>
          <w:lang w:eastAsia="ja-JP" w:bidi="ru-RU"/>
        </w:rPr>
      </w:r>
      <w:r>
        <w:rPr>
          <w:rFonts w:ascii="Arial Narrow" w:hAnsi="Arial Narrow" w:eastAsia="Calibri" w:cs="Calibri"/>
          <w:iCs/>
          <w:color w:val="314e87"/>
          <w:lang w:eastAsia="ja-JP" w:bidi="ru-RU"/>
        </w:rPr>
      </w:r>
      <w:r>
        <w:rPr>
          <w:rFonts w:ascii="Arial Narrow" w:hAnsi="Arial Narrow" w:eastAsia="Calibri" w:cs="Calibri"/>
          <w:iCs/>
          <w:color w:val="314e87"/>
          <w:lang w:eastAsia="ja-JP" w:bidi="ru-RU"/>
        </w:rPr>
      </w:r>
    </w:p>
    <w:p>
      <w:pPr>
        <w:pStyle w:val="1063"/>
        <w:jc w:val="both"/>
        <w:spacing w:before="120" w:after="120"/>
        <w:rPr>
          <w:rFonts w:ascii="Arial Narrow" w:hAnsi="Arial Narrow" w:eastAsia="Calibri" w:cs="Calibri"/>
          <w:iCs/>
          <w:color w:val="314e87"/>
          <w:lang w:eastAsia="ja-JP" w:bidi="ru-RU"/>
        </w:rPr>
      </w:pPr>
      <w:r>
        <w:rPr>
          <w:rFonts w:ascii="Arial Narrow" w:hAnsi="Arial Narrow" w:eastAsia="Calibri" w:cs="Calibri"/>
          <w:iCs/>
          <w:color w:val="314e87"/>
          <w:lang w:eastAsia="ja-JP" w:bidi="ru-RU"/>
        </w:rPr>
      </w:r>
      <w:r>
        <w:rPr>
          <w:rFonts w:ascii="Arial Narrow" w:hAnsi="Arial Narrow" w:eastAsia="Calibri" w:cs="Calibri"/>
          <w:iCs/>
          <w:color w:val="314e87"/>
          <w:lang w:eastAsia="ja-JP" w:bidi="ru-RU"/>
        </w:rPr>
      </w:r>
      <w:r>
        <w:rPr>
          <w:rFonts w:ascii="Arial Narrow" w:hAnsi="Arial Narrow" w:eastAsia="Calibri" w:cs="Calibri"/>
          <w:iCs/>
          <w:color w:val="314e87"/>
          <w:lang w:eastAsia="ja-JP" w:bidi="ru-RU"/>
        </w:rPr>
      </w:r>
    </w:p>
    <w:p>
      <w:pPr>
        <w:pStyle w:val="1063"/>
        <w:jc w:val="both"/>
        <w:spacing w:before="120" w:after="120"/>
        <w:rPr>
          <w:rFonts w:ascii="Arial Narrow" w:hAnsi="Arial Narrow" w:eastAsia="Calibri" w:cs="Calibri"/>
          <w:iCs/>
          <w:color w:val="314e87"/>
          <w:lang w:eastAsia="ja-JP" w:bidi="ru-RU"/>
        </w:rPr>
      </w:pPr>
      <w:r>
        <w:rPr>
          <w:rFonts w:ascii="Arial Narrow" w:hAnsi="Arial Narrow" w:eastAsia="Calibri" w:cs="Calibri"/>
          <w:iCs/>
          <w:color w:val="314e87"/>
          <w:lang w:eastAsia="ja-JP" w:bidi="ru-RU"/>
        </w:rPr>
      </w:r>
      <w:r>
        <w:rPr>
          <w:rFonts w:ascii="Arial Narrow" w:hAnsi="Arial Narrow" w:eastAsia="Calibri" w:cs="Calibri"/>
          <w:iCs/>
          <w:color w:val="314e87"/>
          <w:lang w:eastAsia="ja-JP" w:bidi="ru-RU"/>
        </w:rPr>
      </w:r>
      <w:r>
        <w:rPr>
          <w:rFonts w:ascii="Arial Narrow" w:hAnsi="Arial Narrow" w:eastAsia="Calibri" w:cs="Calibri"/>
          <w:iCs/>
          <w:color w:val="314e87"/>
          <w:lang w:eastAsia="ja-JP" w:bidi="ru-RU"/>
        </w:rPr>
      </w:r>
    </w:p>
    <w:p>
      <w:pPr>
        <w:pStyle w:val="1063"/>
        <w:jc w:val="both"/>
        <w:spacing w:before="120" w:after="120"/>
        <w:rPr>
          <w:rFonts w:ascii="Arial Narrow" w:hAnsi="Arial Narrow" w:eastAsia="Calibri" w:cs="Calibri"/>
          <w:iCs/>
          <w:color w:val="314e87"/>
          <w:lang w:eastAsia="ja-JP" w:bidi="ru-RU"/>
        </w:rPr>
      </w:pPr>
      <w:r>
        <w:rPr>
          <w:rFonts w:ascii="Arial Narrow" w:hAnsi="Arial Narrow" w:eastAsia="Calibri" w:cs="Calibri"/>
          <w:iCs/>
          <w:color w:val="314e87"/>
          <w:lang w:eastAsia="ja-JP" w:bidi="ru-RU"/>
        </w:rPr>
      </w:r>
      <w:r>
        <w:rPr>
          <w:rFonts w:ascii="Arial Narrow" w:hAnsi="Arial Narrow" w:eastAsia="Calibri" w:cs="Calibri"/>
          <w:iCs/>
          <w:color w:val="314e87"/>
          <w:lang w:eastAsia="ja-JP" w:bidi="ru-RU"/>
        </w:rPr>
      </w:r>
      <w:r>
        <w:rPr>
          <w:rFonts w:ascii="Arial Narrow" w:hAnsi="Arial Narrow" w:eastAsia="Calibri" w:cs="Calibri"/>
          <w:iCs/>
          <w:color w:val="314e87"/>
          <w:lang w:eastAsia="ja-JP" w:bidi="ru-RU"/>
        </w:rPr>
      </w:r>
    </w:p>
    <w:p>
      <w:pPr>
        <w:rPr>
          <w:rFonts w:ascii="Arial Narrow" w:hAnsi="Arial Narrow" w:eastAsia="Calibri" w:cs="Calibri"/>
          <w:b/>
          <w:iCs/>
          <w:color w:val="314e87"/>
          <w:sz w:val="24"/>
          <w:szCs w:val="24"/>
          <w:lang w:eastAsia="ja-JP" w:bidi="ru-RU"/>
        </w:rPr>
      </w:pPr>
      <w:r>
        <w:br w:type="page" w:clear="all"/>
      </w:r>
      <w:r>
        <w:rPr>
          <w:rFonts w:ascii="Arial Narrow" w:hAnsi="Arial Narrow" w:eastAsia="Calibri" w:cs="Calibri"/>
          <w:b/>
          <w:iCs/>
          <w:color w:val="314e87"/>
          <w:sz w:val="24"/>
          <w:szCs w:val="24"/>
          <w:lang w:eastAsia="ja-JP" w:bidi="ru-RU"/>
        </w:rPr>
      </w:r>
      <w:r>
        <w:rPr>
          <w:rFonts w:ascii="Arial Narrow" w:hAnsi="Arial Narrow" w:eastAsia="Calibri" w:cs="Calibri"/>
          <w:b/>
          <w:iCs/>
          <w:color w:val="314e87"/>
          <w:sz w:val="24"/>
          <w:szCs w:val="24"/>
          <w:lang w:eastAsia="ja-JP" w:bidi="ru-RU"/>
        </w:rPr>
      </w:r>
    </w:p>
    <w:p>
      <w:pPr>
        <w:pStyle w:val="1063"/>
        <w:jc w:val="both"/>
        <w:spacing w:before="120" w:after="120"/>
        <w:rPr>
          <w:rFonts w:ascii="Arial Narrow" w:hAnsi="Arial Narrow" w:eastAsia="Calibri" w:cs="Calibri"/>
          <w:b/>
          <w:iCs/>
          <w:color w:val="314e87"/>
          <w:lang w:eastAsia="ja-JP" w:bidi="ru-RU"/>
        </w:rPr>
      </w:pPr>
      <w:r>
        <w:rPr>
          <w:rFonts w:ascii="Arial Narrow" w:hAnsi="Arial Narrow" w:eastAsia="Calibri" w:cs="Calibri"/>
          <w:b/>
          <w:iCs/>
          <w:color w:val="314e87"/>
          <w:lang w:eastAsia="ja-JP" w:bidi="ru-RU"/>
        </w:rPr>
        <w:t xml:space="preserve">Полезный отпуск тепловой энергии</w:t>
      </w:r>
      <w:r>
        <w:rPr>
          <w:rFonts w:ascii="Arial Narrow" w:hAnsi="Arial Narrow" w:eastAsia="Calibri" w:cs="Calibri"/>
          <w:b/>
          <w:iCs/>
          <w:color w:val="314e87"/>
          <w:lang w:eastAsia="ja-JP" w:bidi="ru-RU"/>
        </w:rPr>
      </w:r>
      <w:r>
        <w:rPr>
          <w:rFonts w:ascii="Arial Narrow" w:hAnsi="Arial Narrow" w:eastAsia="Calibri" w:cs="Calibri"/>
          <w:b/>
          <w:iCs/>
          <w:color w:val="314e87"/>
          <w:lang w:eastAsia="ja-JP" w:bidi="ru-RU"/>
        </w:rPr>
      </w:r>
    </w:p>
    <w:p>
      <w:pPr>
        <w:pStyle w:val="1063"/>
        <w:ind w:firstLine="567"/>
        <w:jc w:val="both"/>
      </w:pPr>
      <w:r>
        <w:rPr>
          <w:rFonts w:ascii="Arial Narrow" w:hAnsi="Arial Narrow" w:cs="Calibri"/>
          <w:lang w:bidi="ru-RU"/>
        </w:rPr>
        <w:t xml:space="preserve">Полезный отпуск тепловой энергии в 2024 году составил 1 390,459 тыс. Гкал., что </w:t>
      </w:r>
      <w:r>
        <w:rPr>
          <w:rFonts w:ascii="Arial Narrow" w:hAnsi="Arial Narrow" w:cs="Calibri"/>
          <w:lang w:bidi="ru-RU"/>
        </w:rPr>
        <w:br/>
        <w:t xml:space="preserve">на (+) 22,062 тыс. Гкал. выше плана и на (+) 5,372 тыс. Гкал. выше факта прошлого года.</w:t>
      </w:r>
      <w:r/>
    </w:p>
    <w:p>
      <w:pPr>
        <w:pStyle w:val="1063"/>
        <w:ind w:firstLine="567"/>
        <w:jc w:val="both"/>
        <w:rPr>
          <w:rFonts w:ascii="Arial Narrow" w:hAnsi="Arial Narrow" w:cs="Calibri"/>
          <w:sz w:val="10"/>
          <w:szCs w:val="10"/>
        </w:rPr>
      </w:pPr>
      <w:r>
        <w:rPr>
          <w:rFonts w:ascii="Arial Narrow" w:hAnsi="Arial Narrow" w:cs="Calibri"/>
          <w:sz w:val="10"/>
          <w:szCs w:val="10"/>
        </w:rPr>
      </w:r>
      <w:r>
        <w:rPr>
          <w:rFonts w:ascii="Arial Narrow" w:hAnsi="Arial Narrow" w:cs="Calibri"/>
          <w:sz w:val="10"/>
          <w:szCs w:val="10"/>
        </w:rPr>
      </w:r>
      <w:r>
        <w:rPr>
          <w:rFonts w:ascii="Arial Narrow" w:hAnsi="Arial Narrow" w:cs="Calibri"/>
          <w:sz w:val="10"/>
          <w:szCs w:val="10"/>
        </w:rPr>
      </w:r>
    </w:p>
    <w:p>
      <w:pPr>
        <w:pStyle w:val="1063"/>
        <w:jc w:val="both"/>
        <w:spacing w:after="120"/>
        <w:tabs>
          <w:tab w:val="left" w:pos="709" w:leader="none"/>
        </w:tabs>
      </w:pPr>
      <w:r>
        <w:rPr>
          <w:rFonts w:ascii="Arial Narrow" w:hAnsi="Arial Narrow" w:eastAsia="Calibri" w:cs="Calibri"/>
          <w:iCs/>
          <w:color w:val="314e87"/>
          <w:lang w:eastAsia="ja-JP" w:bidi="ru-RU"/>
        </w:rPr>
        <w:t xml:space="preserve">Основные рынки, на которых Общество осуществляет свою деятельность</w:t>
      </w:r>
      <w:r/>
    </w:p>
    <w:p>
      <w:pPr>
        <w:pStyle w:val="1063"/>
        <w:ind w:firstLine="567"/>
        <w:jc w:val="both"/>
      </w:pPr>
      <w:r>
        <w:rPr>
          <w:rFonts w:ascii="Arial Narrow" w:hAnsi="Arial Narrow" w:cs="Calibri"/>
          <w:lang w:bidi="ru-RU"/>
        </w:rPr>
        <w:t xml:space="preserve">В 2024 году потребителям электрической энергии было отпущено 1 538,704 тыс. кВтч.</w:t>
      </w:r>
      <w:r/>
    </w:p>
    <w:p>
      <w:pPr>
        <w:pStyle w:val="1063"/>
        <w:ind w:firstLine="567"/>
        <w:jc w:val="both"/>
      </w:pPr>
      <w:r>
        <w:rPr>
          <w:rFonts w:ascii="Arial Narrow" w:hAnsi="Arial Narrow" w:cs="Calibri"/>
          <w:lang w:bidi="ru-RU"/>
        </w:rPr>
        <w:t xml:space="preserve">Удельный вес потребления в общем объеме полезного отпуска в натуральном выражении:</w:t>
      </w: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bidi="ru-RU"/>
        </w:rPr>
        <w:t xml:space="preserve">Сетевые организации – 1,7</w:t>
      </w:r>
      <w:r>
        <w:rPr>
          <w:rFonts w:ascii="Arial Narrow" w:hAnsi="Arial Narrow" w:cs="Calibri"/>
          <w:sz w:val="24"/>
          <w:szCs w:val="24"/>
          <w:lang w:val="ru-RU" w:bidi="ru-RU"/>
        </w:rPr>
        <w:t xml:space="preserve"> </w:t>
      </w:r>
      <w:r>
        <w:rPr>
          <w:rFonts w:ascii="Arial Narrow" w:hAnsi="Arial Narrow" w:cs="Calibri"/>
          <w:sz w:val="24"/>
          <w:szCs w:val="24"/>
          <w:lang w:bidi="ru-RU"/>
        </w:rPr>
        <w:t xml:space="preserve">%,</w:t>
      </w: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bidi="ru-RU"/>
        </w:rPr>
        <w:t xml:space="preserve">Промышленность – 18,8</w:t>
      </w:r>
      <w:r>
        <w:rPr>
          <w:rFonts w:ascii="Arial Narrow" w:hAnsi="Arial Narrow" w:cs="Calibri"/>
          <w:sz w:val="24"/>
          <w:szCs w:val="24"/>
          <w:lang w:val="ru-RU" w:bidi="ru-RU"/>
        </w:rPr>
        <w:t xml:space="preserve"> </w:t>
      </w:r>
      <w:r>
        <w:rPr>
          <w:rFonts w:ascii="Arial Narrow" w:hAnsi="Arial Narrow" w:cs="Calibri"/>
          <w:sz w:val="24"/>
          <w:szCs w:val="24"/>
          <w:lang w:bidi="ru-RU"/>
        </w:rPr>
        <w:t xml:space="preserve">%,</w:t>
      </w: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bidi="ru-RU"/>
        </w:rPr>
        <w:t xml:space="preserve">Транспорт и связь – 3,2</w:t>
      </w:r>
      <w:r>
        <w:rPr>
          <w:rFonts w:ascii="Arial Narrow" w:hAnsi="Arial Narrow" w:cs="Calibri"/>
          <w:sz w:val="24"/>
          <w:szCs w:val="24"/>
          <w:lang w:val="ru-RU" w:bidi="ru-RU"/>
        </w:rPr>
        <w:t xml:space="preserve"> </w:t>
      </w:r>
      <w:r>
        <w:rPr>
          <w:rFonts w:ascii="Arial Narrow" w:hAnsi="Arial Narrow" w:cs="Calibri"/>
          <w:sz w:val="24"/>
          <w:szCs w:val="24"/>
          <w:lang w:bidi="ru-RU"/>
        </w:rPr>
        <w:t xml:space="preserve">%,</w:t>
      </w: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bidi="ru-RU"/>
        </w:rPr>
        <w:t xml:space="preserve">Сельское хозяйство – </w:t>
      </w:r>
      <w:r>
        <w:rPr>
          <w:rFonts w:ascii="Arial Narrow" w:hAnsi="Arial Narrow" w:cs="Calibri"/>
          <w:sz w:val="24"/>
          <w:szCs w:val="24"/>
          <w:lang w:val="en-US" w:bidi="ru-RU"/>
        </w:rPr>
        <w:t xml:space="preserve">1,9</w:t>
      </w:r>
      <w:r>
        <w:rPr>
          <w:rFonts w:ascii="Arial Narrow" w:hAnsi="Arial Narrow" w:cs="Calibri"/>
          <w:sz w:val="24"/>
          <w:szCs w:val="24"/>
          <w:lang w:val="ru-RU" w:bidi="ru-RU"/>
        </w:rPr>
        <w:t xml:space="preserve"> </w:t>
      </w:r>
      <w:r>
        <w:rPr>
          <w:rFonts w:ascii="Arial Narrow" w:hAnsi="Arial Narrow" w:cs="Calibri"/>
          <w:sz w:val="24"/>
          <w:szCs w:val="24"/>
          <w:lang w:bidi="ru-RU"/>
        </w:rPr>
        <w:t xml:space="preserve">%,</w:t>
      </w: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bidi="ru-RU"/>
        </w:rPr>
        <w:t xml:space="preserve">Федеральный бюджет – 8,9</w:t>
      </w:r>
      <w:r>
        <w:rPr>
          <w:rFonts w:ascii="Arial Narrow" w:hAnsi="Arial Narrow" w:cs="Calibri"/>
          <w:sz w:val="24"/>
          <w:szCs w:val="24"/>
          <w:lang w:val="ru-RU" w:bidi="ru-RU"/>
        </w:rPr>
        <w:t xml:space="preserve"> </w:t>
      </w:r>
      <w:r>
        <w:rPr>
          <w:rFonts w:ascii="Arial Narrow" w:hAnsi="Arial Narrow" w:cs="Calibri"/>
          <w:sz w:val="24"/>
          <w:szCs w:val="24"/>
          <w:lang w:bidi="ru-RU"/>
        </w:rPr>
        <w:t xml:space="preserve">%,</w:t>
      </w: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bidi="ru-RU"/>
        </w:rPr>
        <w:t xml:space="preserve">Местный бюджет – 4,3</w:t>
      </w:r>
      <w:r>
        <w:rPr>
          <w:rFonts w:ascii="Arial Narrow" w:hAnsi="Arial Narrow" w:cs="Calibri"/>
          <w:sz w:val="24"/>
          <w:szCs w:val="24"/>
          <w:lang w:val="ru-RU" w:bidi="ru-RU"/>
        </w:rPr>
        <w:t xml:space="preserve"> </w:t>
      </w:r>
      <w:r>
        <w:rPr>
          <w:rFonts w:ascii="Arial Narrow" w:hAnsi="Arial Narrow" w:cs="Calibri"/>
          <w:sz w:val="24"/>
          <w:szCs w:val="24"/>
          <w:lang w:bidi="ru-RU"/>
        </w:rPr>
        <w:t xml:space="preserve">%,</w:t>
      </w: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bidi="ru-RU"/>
        </w:rPr>
        <w:t xml:space="preserve">ОПП –1,4 %,</w:t>
      </w: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bidi="ru-RU"/>
        </w:rPr>
        <w:t xml:space="preserve">ЖКХ – 5,0</w:t>
      </w:r>
      <w:r>
        <w:rPr>
          <w:rFonts w:ascii="Arial Narrow" w:hAnsi="Arial Narrow" w:cs="Calibri"/>
          <w:sz w:val="24"/>
          <w:szCs w:val="24"/>
          <w:lang w:val="ru-RU" w:bidi="ru-RU"/>
        </w:rPr>
        <w:t xml:space="preserve"> </w:t>
      </w:r>
      <w:r>
        <w:rPr>
          <w:rFonts w:ascii="Arial Narrow" w:hAnsi="Arial Narrow" w:cs="Calibri"/>
          <w:sz w:val="24"/>
          <w:szCs w:val="24"/>
          <w:lang w:bidi="ru-RU"/>
        </w:rPr>
        <w:t xml:space="preserve">%,</w:t>
      </w: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bidi="ru-RU"/>
        </w:rPr>
        <w:t xml:space="preserve">Население на прямых расчетах – 26,6</w:t>
      </w:r>
      <w:r>
        <w:rPr>
          <w:rFonts w:ascii="Arial Narrow" w:hAnsi="Arial Narrow" w:cs="Calibri"/>
          <w:sz w:val="24"/>
          <w:szCs w:val="24"/>
          <w:lang w:val="ru-RU" w:bidi="ru-RU"/>
        </w:rPr>
        <w:t xml:space="preserve"> </w:t>
      </w:r>
      <w:r>
        <w:rPr>
          <w:rFonts w:ascii="Arial Narrow" w:hAnsi="Arial Narrow" w:cs="Calibri"/>
          <w:sz w:val="24"/>
          <w:szCs w:val="24"/>
          <w:lang w:bidi="ru-RU"/>
        </w:rPr>
        <w:t xml:space="preserve">%,</w:t>
      </w: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bidi="ru-RU"/>
        </w:rPr>
        <w:t xml:space="preserve">УК, ТСЖ, ЖСК – 6,9</w:t>
      </w:r>
      <w:r>
        <w:rPr>
          <w:rFonts w:ascii="Arial Narrow" w:hAnsi="Arial Narrow" w:cs="Calibri"/>
          <w:sz w:val="24"/>
          <w:szCs w:val="24"/>
          <w:lang w:val="ru-RU" w:bidi="ru-RU"/>
        </w:rPr>
        <w:t xml:space="preserve"> </w:t>
      </w:r>
      <w:r>
        <w:rPr>
          <w:rFonts w:ascii="Arial Narrow" w:hAnsi="Arial Narrow" w:cs="Calibri"/>
          <w:sz w:val="24"/>
          <w:szCs w:val="24"/>
          <w:lang w:bidi="ru-RU"/>
        </w:rPr>
        <w:t xml:space="preserve">%,</w:t>
      </w: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bidi="ru-RU"/>
        </w:rPr>
        <w:t xml:space="preserve">Прочие – 21,4</w:t>
      </w:r>
      <w:r>
        <w:rPr>
          <w:rFonts w:ascii="Arial Narrow" w:hAnsi="Arial Narrow" w:cs="Calibri"/>
          <w:sz w:val="24"/>
          <w:szCs w:val="24"/>
          <w:lang w:val="ru-RU" w:bidi="ru-RU"/>
        </w:rPr>
        <w:t xml:space="preserve"> </w:t>
      </w:r>
      <w:r>
        <w:rPr>
          <w:rFonts w:ascii="Arial Narrow" w:hAnsi="Arial Narrow" w:cs="Calibri"/>
          <w:sz w:val="24"/>
          <w:szCs w:val="24"/>
          <w:lang w:bidi="ru-RU"/>
        </w:rPr>
        <w:t xml:space="preserve">%.</w:t>
      </w:r>
      <w:r/>
    </w:p>
    <w:p>
      <w:pPr>
        <w:pStyle w:val="1063"/>
        <w:ind w:left="567"/>
        <w:jc w:val="both"/>
        <w:tabs>
          <w:tab w:val="left" w:pos="1558" w:leader="none"/>
        </w:tabs>
        <w:rPr>
          <w:rFonts w:ascii="Arial Narrow" w:hAnsi="Arial Narrow" w:cs="Calibri"/>
          <w:sz w:val="12"/>
          <w:szCs w:val="12"/>
          <w:lang w:bidi="ru-RU"/>
        </w:rPr>
      </w:pPr>
      <w:r>
        <w:rPr>
          <w:rFonts w:ascii="Arial Narrow" w:hAnsi="Arial Narrow" w:cs="Calibri"/>
          <w:sz w:val="12"/>
          <w:szCs w:val="12"/>
          <w:lang w:bidi="ru-RU"/>
        </w:rPr>
      </w:r>
      <w:r>
        <w:rPr>
          <w:rFonts w:ascii="Arial Narrow" w:hAnsi="Arial Narrow" w:cs="Calibri"/>
          <w:sz w:val="12"/>
          <w:szCs w:val="12"/>
          <w:lang w:bidi="ru-RU"/>
        </w:rPr>
      </w:r>
      <w:r>
        <w:rPr>
          <w:rFonts w:ascii="Arial Narrow" w:hAnsi="Arial Narrow" w:cs="Calibri"/>
          <w:sz w:val="12"/>
          <w:szCs w:val="12"/>
          <w:lang w:bidi="ru-RU"/>
        </w:rPr>
      </w:r>
    </w:p>
    <w:p>
      <w:pPr>
        <w:pStyle w:val="1063"/>
        <w:jc w:val="both"/>
        <w:tabs>
          <w:tab w:val="left" w:pos="709" w:leader="none"/>
        </w:tabs>
        <w:rPr>
          <w:rFonts w:ascii="Arial Narrow" w:hAnsi="Arial Narrow" w:eastAsia="Calibri" w:cs="Calibri"/>
          <w:b/>
          <w:iCs/>
          <w:color w:val="314e87"/>
          <w:lang w:eastAsia="ja-JP" w:bidi="ru-RU"/>
        </w:rPr>
      </w:pPr>
      <w:r>
        <w:rPr>
          <w:rFonts w:ascii="Arial Narrow" w:hAnsi="Arial Narrow" w:eastAsia="Calibri" w:cs="Calibri"/>
          <w:b/>
          <w:iCs/>
          <w:color w:val="314e87"/>
          <w:lang w:eastAsia="ja-JP" w:bidi="ru-RU"/>
        </w:rPr>
        <w:t xml:space="preserve">Структура полезного отпуска и оплаты электрической энергии по группам потребителей за 2024 год</w:t>
      </w:r>
      <w:r>
        <w:rPr>
          <w:rFonts w:ascii="Arial Narrow" w:hAnsi="Arial Narrow" w:eastAsia="Calibri" w:cs="Calibri"/>
          <w:b/>
          <w:iCs/>
          <w:color w:val="314e87"/>
          <w:lang w:eastAsia="ja-JP" w:bidi="ru-RU"/>
        </w:rPr>
      </w:r>
      <w:r>
        <w:rPr>
          <w:rFonts w:ascii="Arial Narrow" w:hAnsi="Arial Narrow" w:eastAsia="Calibri" w:cs="Calibri"/>
          <w:b/>
          <w:iCs/>
          <w:color w:val="314e87"/>
          <w:lang w:eastAsia="ja-JP" w:bidi="ru-RU"/>
        </w:rPr>
      </w:r>
    </w:p>
    <w:p>
      <w:pPr>
        <w:pStyle w:val="1063"/>
        <w:jc w:val="both"/>
        <w:tabs>
          <w:tab w:val="left" w:pos="709" w:leader="none"/>
        </w:tabs>
        <w:rPr>
          <w:sz w:val="12"/>
          <w:szCs w:val="12"/>
        </w:rPr>
      </w:pPr>
      <w:r>
        <w:rPr>
          <w:sz w:val="12"/>
          <w:szCs w:val="12"/>
        </w:rPr>
      </w:r>
      <w:r>
        <w:rPr>
          <w:sz w:val="12"/>
          <w:szCs w:val="12"/>
        </w:rPr>
      </w:r>
      <w:r>
        <w:rPr>
          <w:sz w:val="12"/>
          <w:szCs w:val="12"/>
        </w:rPr>
      </w:r>
    </w:p>
    <w:p>
      <w:pPr>
        <w:pStyle w:val="1063"/>
        <w:ind w:left="8496"/>
        <w:rPr>
          <w:sz w:val="12"/>
          <w:szCs w:val="12"/>
          <w:lang w:val="en-US"/>
        </w:rPr>
      </w:pPr>
      <w:r>
        <w:rPr>
          <w:rFonts w:ascii="Arial Narrow" w:hAnsi="Arial Narrow" w:eastAsia="Calibri" w:cs="Calibri"/>
          <w:i/>
          <w:lang w:eastAsia="ja-JP"/>
        </w:rPr>
        <w:t xml:space="preserve">     Таблица № </w:t>
      </w:r>
      <w:r>
        <w:rPr>
          <w:rFonts w:ascii="Arial Narrow" w:hAnsi="Arial Narrow" w:eastAsia="Calibri" w:cs="Calibri"/>
          <w:i/>
          <w:lang w:val="en-US" w:eastAsia="ja-JP"/>
        </w:rPr>
        <w:t xml:space="preserve">2</w:t>
      </w:r>
      <w:r>
        <w:rPr>
          <w:sz w:val="12"/>
          <w:szCs w:val="12"/>
          <w:lang w:val="en-US"/>
        </w:rPr>
      </w:r>
      <w:r>
        <w:rPr>
          <w:sz w:val="12"/>
          <w:szCs w:val="12"/>
          <w:lang w:val="en-US"/>
        </w:rPr>
      </w:r>
    </w:p>
    <w:tbl>
      <w:tblPr>
        <w:tblW w:w="9946" w:type="dxa"/>
        <w:jc w:val="center"/>
        <w:tblLayout w:type="fixed"/>
        <w:tblLook w:val="04A0" w:firstRow="1" w:lastRow="0" w:firstColumn="1" w:lastColumn="0" w:noHBand="0" w:noVBand="1"/>
      </w:tblPr>
      <w:tblGrid>
        <w:gridCol w:w="5098"/>
        <w:gridCol w:w="1134"/>
        <w:gridCol w:w="1276"/>
        <w:gridCol w:w="1552"/>
        <w:gridCol w:w="886"/>
      </w:tblGrid>
      <w:tr>
        <w:trPr>
          <w:jc w:val="center"/>
          <w:trHeight w:val="51"/>
          <w:tblHeader/>
        </w:trPr>
        <w:tc>
          <w:tcPr>
            <w:tcBorders>
              <w:top w:val="single" w:color="000000" w:sz="4" w:space="0"/>
              <w:left w:val="single" w:color="000000" w:sz="4" w:space="0"/>
              <w:bottom w:val="single" w:color="000000" w:sz="4" w:space="0"/>
              <w:right w:val="single" w:color="000000" w:sz="4" w:space="0"/>
            </w:tcBorders>
            <w:tcW w:w="5098" w:type="dxa"/>
            <w:vAlign w:val="center"/>
            <w:vMerge w:val="restart"/>
            <w:textDirection w:val="lrTb"/>
            <w:noWrap w:val="false"/>
          </w:tcPr>
          <w:p>
            <w:pPr>
              <w:pStyle w:val="1063"/>
              <w:jc w:val="center"/>
              <w:spacing w:before="120" w:after="120"/>
              <w:widowControl w:val="off"/>
              <w:rPr>
                <w:sz w:val="20"/>
                <w:szCs w:val="20"/>
              </w:rPr>
            </w:pPr>
            <w:r>
              <w:rPr>
                <w:rFonts w:ascii="Arial Narrow" w:hAnsi="Arial Narrow" w:cs="Calibri"/>
                <w:bCs/>
                <w:color w:val="000000"/>
                <w:sz w:val="20"/>
                <w:szCs w:val="20"/>
              </w:rPr>
              <w:t xml:space="preserve">Группа потребителей</w:t>
            </w:r>
            <w:r>
              <w:rPr>
                <w:sz w:val="20"/>
                <w:szCs w:val="20"/>
              </w:rPr>
            </w:r>
            <w:r>
              <w:rPr>
                <w:sz w:val="20"/>
                <w:szCs w:val="20"/>
              </w:rPr>
            </w:r>
          </w:p>
        </w:tc>
        <w:tc>
          <w:tcPr>
            <w:gridSpan w:val="2"/>
            <w:tcBorders>
              <w:top w:val="single" w:color="000000" w:sz="4" w:space="0"/>
              <w:left w:val="single" w:color="000000" w:sz="4" w:space="0"/>
              <w:bottom w:val="single" w:color="000000" w:sz="4" w:space="0"/>
              <w:right w:val="single" w:color="000000" w:sz="4" w:space="0"/>
            </w:tcBorders>
            <w:tcW w:w="2410" w:type="dxa"/>
            <w:vAlign w:val="center"/>
            <w:textDirection w:val="lrTb"/>
            <w:noWrap w:val="false"/>
          </w:tcPr>
          <w:p>
            <w:pPr>
              <w:pStyle w:val="1063"/>
              <w:jc w:val="center"/>
              <w:spacing w:before="120" w:after="120"/>
              <w:widowControl w:val="off"/>
              <w:rPr>
                <w:sz w:val="20"/>
                <w:szCs w:val="20"/>
              </w:rPr>
            </w:pPr>
            <w:r>
              <w:rPr>
                <w:rFonts w:ascii="Arial Narrow" w:hAnsi="Arial Narrow" w:cs="Calibri"/>
                <w:bCs/>
                <w:color w:val="000000"/>
                <w:sz w:val="20"/>
                <w:szCs w:val="20"/>
              </w:rPr>
              <w:t xml:space="preserve">Полезный отпуск</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552" w:type="dxa"/>
            <w:vAlign w:val="center"/>
            <w:vMerge w:val="restart"/>
            <w:textDirection w:val="lrTb"/>
            <w:noWrap w:val="false"/>
          </w:tcPr>
          <w:p>
            <w:pPr>
              <w:pStyle w:val="1063"/>
              <w:jc w:val="center"/>
              <w:widowControl w:val="off"/>
              <w:rPr>
                <w:sz w:val="20"/>
                <w:szCs w:val="20"/>
              </w:rPr>
            </w:pPr>
            <w:r>
              <w:rPr>
                <w:rFonts w:ascii="Arial Narrow" w:hAnsi="Arial Narrow" w:cs="Calibri"/>
                <w:bCs/>
                <w:color w:val="000000"/>
                <w:sz w:val="20"/>
                <w:szCs w:val="20"/>
              </w:rPr>
              <w:t xml:space="preserve">Поступило оплаты,</w:t>
            </w:r>
            <w:r>
              <w:rPr>
                <w:sz w:val="20"/>
                <w:szCs w:val="20"/>
              </w:rPr>
            </w:r>
            <w:r>
              <w:rPr>
                <w:sz w:val="20"/>
                <w:szCs w:val="20"/>
              </w:rPr>
            </w:r>
          </w:p>
          <w:p>
            <w:pPr>
              <w:pStyle w:val="1063"/>
              <w:jc w:val="center"/>
              <w:widowControl w:val="off"/>
              <w:rPr>
                <w:sz w:val="20"/>
                <w:szCs w:val="20"/>
              </w:rPr>
            </w:pPr>
            <w:r>
              <w:rPr>
                <w:rFonts w:ascii="Arial Narrow" w:hAnsi="Arial Narrow" w:cs="Calibri"/>
                <w:bCs/>
                <w:color w:val="000000"/>
                <w:sz w:val="20"/>
                <w:szCs w:val="20"/>
              </w:rPr>
              <w:t xml:space="preserve">тыс. рублей</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86" w:type="dxa"/>
            <w:vAlign w:val="center"/>
            <w:vMerge w:val="restart"/>
            <w:textDirection w:val="lrTb"/>
            <w:noWrap w:val="false"/>
          </w:tcPr>
          <w:p>
            <w:pPr>
              <w:pStyle w:val="1063"/>
              <w:jc w:val="center"/>
              <w:spacing w:before="120" w:after="120"/>
              <w:widowControl w:val="off"/>
              <w:rPr>
                <w:sz w:val="20"/>
                <w:szCs w:val="20"/>
              </w:rPr>
            </w:pPr>
            <w:r>
              <w:rPr>
                <w:rFonts w:ascii="Arial Narrow" w:hAnsi="Arial Narrow" w:cs="Calibri"/>
                <w:bCs/>
                <w:color w:val="000000"/>
                <w:sz w:val="20"/>
                <w:szCs w:val="20"/>
              </w:rPr>
              <w:t xml:space="preserve">% оплаты</w:t>
            </w:r>
            <w:r>
              <w:rPr>
                <w:sz w:val="20"/>
                <w:szCs w:val="20"/>
              </w:rPr>
            </w:r>
            <w:r>
              <w:rPr>
                <w:sz w:val="20"/>
                <w:szCs w:val="20"/>
              </w:rPr>
            </w:r>
          </w:p>
        </w:tc>
      </w:tr>
      <w:tr>
        <w:trPr>
          <w:jc w:val="center"/>
          <w:trHeight w:val="43"/>
        </w:trPr>
        <w:tc>
          <w:tcPr>
            <w:tcBorders>
              <w:top w:val="single" w:color="000000" w:sz="4" w:space="0"/>
              <w:left w:val="single" w:color="000000" w:sz="4" w:space="0"/>
              <w:bottom w:val="single" w:color="000000" w:sz="4" w:space="0"/>
              <w:right w:val="single" w:color="000000" w:sz="4" w:space="0"/>
            </w:tcBorders>
            <w:tcW w:w="5098"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pStyle w:val="1063"/>
              <w:jc w:val="center"/>
              <w:spacing w:before="120" w:after="120"/>
              <w:widowControl w:val="off"/>
              <w:rPr>
                <w:sz w:val="20"/>
                <w:szCs w:val="20"/>
              </w:rPr>
            </w:pPr>
            <w:r>
              <w:rPr>
                <w:rFonts w:ascii="Arial Narrow" w:hAnsi="Arial Narrow" w:cs="Calibri"/>
                <w:bCs/>
                <w:color w:val="000000"/>
                <w:sz w:val="20"/>
                <w:szCs w:val="20"/>
              </w:rPr>
              <w:t xml:space="preserve">тыс. кВтч</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pStyle w:val="1063"/>
              <w:jc w:val="center"/>
              <w:spacing w:before="120" w:after="120"/>
              <w:widowControl w:val="off"/>
              <w:rPr>
                <w:sz w:val="20"/>
                <w:szCs w:val="20"/>
              </w:rPr>
            </w:pPr>
            <w:r>
              <w:rPr>
                <w:rFonts w:ascii="Arial Narrow" w:hAnsi="Arial Narrow" w:cs="Calibri"/>
                <w:bCs/>
                <w:color w:val="000000"/>
                <w:sz w:val="20"/>
                <w:szCs w:val="20"/>
              </w:rPr>
              <w:t xml:space="preserve">тыс. рублей</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552"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86"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r>
      <w:tr>
        <w:trPr>
          <w:jc w:val="center"/>
          <w:trHeight w:val="50"/>
        </w:trPr>
        <w:tc>
          <w:tcPr>
            <w:tcBorders>
              <w:top w:val="single" w:color="000000" w:sz="4" w:space="0"/>
              <w:left w:val="single" w:color="000000" w:sz="4" w:space="0"/>
              <w:bottom w:val="single" w:color="000000" w:sz="4" w:space="0"/>
              <w:right w:val="single" w:color="000000" w:sz="4" w:space="0"/>
            </w:tcBorders>
            <w:tcW w:w="5098" w:type="dxa"/>
            <w:vAlign w:val="center"/>
            <w:textDirection w:val="lrTb"/>
            <w:noWrap w:val="false"/>
          </w:tcPr>
          <w:p>
            <w:pPr>
              <w:pStyle w:val="1063"/>
              <w:spacing w:before="120" w:after="120"/>
              <w:widowControl w:val="off"/>
              <w:rPr>
                <w:sz w:val="20"/>
                <w:szCs w:val="20"/>
              </w:rPr>
            </w:pPr>
            <w:r>
              <w:rPr>
                <w:rFonts w:ascii="Arial Narrow" w:hAnsi="Arial Narrow" w:cs="Calibri"/>
                <w:color w:val="000000"/>
                <w:sz w:val="20"/>
                <w:szCs w:val="20"/>
              </w:rPr>
              <w:t xml:space="preserve">Всего, в том числе:</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pStyle w:val="1063"/>
              <w:jc w:val="center"/>
              <w:spacing w:before="120" w:after="120"/>
              <w:widowControl w:val="off"/>
              <w:rPr>
                <w:sz w:val="20"/>
                <w:szCs w:val="20"/>
              </w:rPr>
            </w:pPr>
            <w:r>
              <w:rPr>
                <w:rFonts w:ascii="Arial Narrow" w:hAnsi="Arial Narrow" w:cs="Calibri"/>
                <w:bCs/>
                <w:color w:val="000000"/>
                <w:sz w:val="20"/>
                <w:szCs w:val="20"/>
              </w:rPr>
              <w:t xml:space="preserve">1 538 704</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pStyle w:val="1063"/>
              <w:jc w:val="center"/>
              <w:spacing w:before="120" w:after="120"/>
              <w:widowControl w:val="off"/>
              <w:rPr>
                <w:sz w:val="20"/>
                <w:szCs w:val="20"/>
              </w:rPr>
            </w:pPr>
            <w:r>
              <w:rPr>
                <w:rFonts w:ascii="Arial Narrow" w:hAnsi="Arial Narrow" w:cs="Calibri"/>
                <w:bCs/>
                <w:color w:val="000000"/>
                <w:sz w:val="20"/>
                <w:szCs w:val="20"/>
              </w:rPr>
              <w:t xml:space="preserve">15 936 912</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552" w:type="dxa"/>
            <w:vAlign w:val="center"/>
            <w:textDirection w:val="lrTb"/>
            <w:noWrap w:val="false"/>
          </w:tcPr>
          <w:p>
            <w:pPr>
              <w:pStyle w:val="1063"/>
              <w:jc w:val="center"/>
              <w:spacing w:before="120" w:after="120"/>
              <w:widowControl w:val="off"/>
              <w:rPr>
                <w:sz w:val="20"/>
                <w:szCs w:val="20"/>
              </w:rPr>
            </w:pPr>
            <w:r>
              <w:rPr>
                <w:rFonts w:ascii="Arial Narrow" w:hAnsi="Arial Narrow" w:cs="Calibri"/>
                <w:bCs/>
                <w:color w:val="000000"/>
                <w:sz w:val="20"/>
                <w:szCs w:val="20"/>
              </w:rPr>
              <w:t xml:space="preserve">15 858 441</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86" w:type="dxa"/>
            <w:vAlign w:val="center"/>
            <w:textDirection w:val="lrTb"/>
            <w:noWrap w:val="false"/>
          </w:tcPr>
          <w:p>
            <w:pPr>
              <w:pStyle w:val="1063"/>
              <w:jc w:val="center"/>
              <w:spacing w:before="120" w:after="120"/>
              <w:widowControl w:val="off"/>
              <w:rPr>
                <w:sz w:val="20"/>
                <w:szCs w:val="20"/>
              </w:rPr>
            </w:pPr>
            <w:r>
              <w:rPr>
                <w:rFonts w:ascii="Arial Narrow" w:hAnsi="Arial Narrow" w:cs="Calibri"/>
                <w:bCs/>
                <w:color w:val="000000"/>
                <w:sz w:val="20"/>
                <w:szCs w:val="20"/>
              </w:rPr>
              <w:t xml:space="preserve">99,5</w:t>
            </w:r>
            <w:r>
              <w:rPr>
                <w:sz w:val="20"/>
                <w:szCs w:val="20"/>
              </w:rPr>
            </w:r>
            <w:r>
              <w:rPr>
                <w:sz w:val="20"/>
                <w:szCs w:val="20"/>
              </w:rPr>
            </w:r>
          </w:p>
        </w:tc>
      </w:tr>
      <w:tr>
        <w:trPr>
          <w:jc w:val="center"/>
          <w:trHeight w:val="50"/>
        </w:trPr>
        <w:tc>
          <w:tcPr>
            <w:tcBorders>
              <w:top w:val="single" w:color="000000" w:sz="4" w:space="0"/>
              <w:left w:val="single" w:color="000000" w:sz="4" w:space="0"/>
              <w:bottom w:val="single" w:color="000000" w:sz="4" w:space="0"/>
              <w:right w:val="single" w:color="000000" w:sz="4" w:space="0"/>
            </w:tcBorders>
            <w:tcW w:w="5098" w:type="dxa"/>
            <w:vAlign w:val="bottom"/>
            <w:textDirection w:val="lrTb"/>
            <w:noWrap w:val="false"/>
          </w:tcPr>
          <w:p>
            <w:pPr>
              <w:pStyle w:val="1063"/>
              <w:spacing w:before="120" w:after="120"/>
              <w:widowControl w:val="off"/>
              <w:rPr>
                <w:sz w:val="20"/>
                <w:szCs w:val="20"/>
              </w:rPr>
            </w:pPr>
            <w:r>
              <w:rPr>
                <w:rFonts w:ascii="Arial Narrow" w:hAnsi="Arial Narrow" w:cs="Calibri"/>
                <w:color w:val="000000"/>
                <w:sz w:val="20"/>
                <w:szCs w:val="20"/>
              </w:rPr>
              <w:t xml:space="preserve">Сетевые организации</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34"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26 394</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76"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307 179</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552"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288 995</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86"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94,1</w:t>
            </w:r>
            <w:r>
              <w:rPr>
                <w:sz w:val="20"/>
                <w:szCs w:val="20"/>
              </w:rPr>
            </w:r>
            <w:r>
              <w:rPr>
                <w:sz w:val="20"/>
                <w:szCs w:val="20"/>
              </w:rPr>
            </w:r>
          </w:p>
        </w:tc>
      </w:tr>
      <w:tr>
        <w:trPr>
          <w:jc w:val="center"/>
          <w:trHeight w:val="50"/>
        </w:trPr>
        <w:tc>
          <w:tcPr>
            <w:tcBorders>
              <w:top w:val="single" w:color="000000" w:sz="4" w:space="0"/>
              <w:left w:val="single" w:color="000000" w:sz="4" w:space="0"/>
              <w:bottom w:val="single" w:color="000000" w:sz="4" w:space="0"/>
              <w:right w:val="single" w:color="000000" w:sz="4" w:space="0"/>
            </w:tcBorders>
            <w:tcW w:w="5098" w:type="dxa"/>
            <w:vAlign w:val="bottom"/>
            <w:textDirection w:val="lrTb"/>
            <w:noWrap w:val="false"/>
          </w:tcPr>
          <w:p>
            <w:pPr>
              <w:pStyle w:val="1063"/>
              <w:spacing w:before="120" w:after="120"/>
              <w:widowControl w:val="off"/>
              <w:rPr>
                <w:sz w:val="20"/>
                <w:szCs w:val="20"/>
              </w:rPr>
            </w:pPr>
            <w:r>
              <w:rPr>
                <w:rFonts w:ascii="Arial Narrow" w:hAnsi="Arial Narrow" w:cs="Calibri"/>
                <w:color w:val="000000"/>
                <w:sz w:val="20"/>
                <w:szCs w:val="20"/>
              </w:rPr>
              <w:t xml:space="preserve">Промышленность</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34"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289 152</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76"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5 390 771</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552"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5 287 649</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86"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98,1</w:t>
            </w:r>
            <w:r>
              <w:rPr>
                <w:sz w:val="20"/>
                <w:szCs w:val="20"/>
              </w:rPr>
            </w:r>
            <w:r>
              <w:rPr>
                <w:sz w:val="20"/>
                <w:szCs w:val="20"/>
              </w:rPr>
            </w:r>
          </w:p>
        </w:tc>
      </w:tr>
      <w:tr>
        <w:trPr>
          <w:jc w:val="center"/>
          <w:trHeight w:val="50"/>
        </w:trPr>
        <w:tc>
          <w:tcPr>
            <w:tcBorders>
              <w:top w:val="single" w:color="000000" w:sz="4" w:space="0"/>
              <w:left w:val="single" w:color="000000" w:sz="4" w:space="0"/>
              <w:bottom w:val="single" w:color="000000" w:sz="4" w:space="0"/>
              <w:right w:val="single" w:color="000000" w:sz="4" w:space="0"/>
            </w:tcBorders>
            <w:tcW w:w="5098" w:type="dxa"/>
            <w:vAlign w:val="bottom"/>
            <w:textDirection w:val="lrTb"/>
            <w:noWrap w:val="false"/>
          </w:tcPr>
          <w:p>
            <w:pPr>
              <w:pStyle w:val="1063"/>
              <w:spacing w:before="120" w:after="120"/>
              <w:widowControl w:val="off"/>
              <w:rPr>
                <w:sz w:val="20"/>
                <w:szCs w:val="20"/>
              </w:rPr>
            </w:pPr>
            <w:r>
              <w:rPr>
                <w:rFonts w:ascii="Arial Narrow" w:hAnsi="Arial Narrow" w:cs="Calibri"/>
                <w:color w:val="000000"/>
                <w:sz w:val="20"/>
                <w:szCs w:val="20"/>
              </w:rPr>
              <w:t xml:space="preserve">Транспорт и связь</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34"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49 752</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76"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545 792</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552"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546 385</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86"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100,1</w:t>
            </w:r>
            <w:r>
              <w:rPr>
                <w:sz w:val="20"/>
                <w:szCs w:val="20"/>
              </w:rPr>
            </w:r>
            <w:r>
              <w:rPr>
                <w:sz w:val="20"/>
                <w:szCs w:val="20"/>
              </w:rPr>
            </w:r>
          </w:p>
        </w:tc>
      </w:tr>
      <w:tr>
        <w:trPr>
          <w:jc w:val="center"/>
          <w:trHeight w:val="50"/>
        </w:trPr>
        <w:tc>
          <w:tcPr>
            <w:tcBorders>
              <w:top w:val="single" w:color="000000" w:sz="4" w:space="0"/>
              <w:left w:val="single" w:color="000000" w:sz="4" w:space="0"/>
              <w:bottom w:val="single" w:color="000000" w:sz="4" w:space="0"/>
              <w:right w:val="single" w:color="000000" w:sz="4" w:space="0"/>
            </w:tcBorders>
            <w:tcW w:w="5098" w:type="dxa"/>
            <w:vAlign w:val="bottom"/>
            <w:textDirection w:val="lrTb"/>
            <w:noWrap w:val="false"/>
          </w:tcPr>
          <w:p>
            <w:pPr>
              <w:pStyle w:val="1063"/>
              <w:spacing w:before="120" w:after="120"/>
              <w:widowControl w:val="off"/>
              <w:rPr>
                <w:sz w:val="20"/>
                <w:szCs w:val="20"/>
              </w:rPr>
            </w:pPr>
            <w:r>
              <w:rPr>
                <w:rFonts w:ascii="Arial Narrow" w:hAnsi="Arial Narrow" w:cs="Calibri"/>
                <w:color w:val="000000"/>
                <w:sz w:val="20"/>
                <w:szCs w:val="20"/>
              </w:rPr>
              <w:t xml:space="preserve">Сельское хозяйство</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34"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29 200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76"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263 527</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552"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262 087</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86"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99,5</w:t>
            </w:r>
            <w:r>
              <w:rPr>
                <w:sz w:val="20"/>
                <w:szCs w:val="20"/>
              </w:rPr>
            </w:r>
            <w:r>
              <w:rPr>
                <w:sz w:val="20"/>
                <w:szCs w:val="20"/>
              </w:rPr>
            </w:r>
          </w:p>
        </w:tc>
      </w:tr>
      <w:tr>
        <w:trPr>
          <w:jc w:val="center"/>
          <w:trHeight w:val="50"/>
        </w:trPr>
        <w:tc>
          <w:tcPr>
            <w:tcBorders>
              <w:top w:val="single" w:color="000000" w:sz="4" w:space="0"/>
              <w:left w:val="single" w:color="000000" w:sz="4" w:space="0"/>
              <w:bottom w:val="single" w:color="000000" w:sz="4" w:space="0"/>
              <w:right w:val="single" w:color="000000" w:sz="4" w:space="0"/>
            </w:tcBorders>
            <w:tcW w:w="5098" w:type="dxa"/>
            <w:vAlign w:val="bottom"/>
            <w:textDirection w:val="lrTb"/>
            <w:noWrap w:val="false"/>
          </w:tcPr>
          <w:p>
            <w:pPr>
              <w:pStyle w:val="1063"/>
              <w:spacing w:before="120" w:after="120"/>
              <w:widowControl w:val="off"/>
              <w:rPr>
                <w:sz w:val="20"/>
                <w:szCs w:val="20"/>
              </w:rPr>
            </w:pPr>
            <w:r>
              <w:rPr>
                <w:rFonts w:ascii="Arial Narrow" w:hAnsi="Arial Narrow" w:cs="Calibri"/>
                <w:color w:val="000000"/>
                <w:sz w:val="20"/>
                <w:szCs w:val="20"/>
              </w:rPr>
              <w:t xml:space="preserve">Предприятия, финансируемые из федерального бюджета</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34"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136 666</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76"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1 700 944</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552"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1 644 287</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86"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96,7</w:t>
            </w:r>
            <w:r>
              <w:rPr>
                <w:sz w:val="20"/>
                <w:szCs w:val="20"/>
              </w:rPr>
            </w:r>
            <w:r>
              <w:rPr>
                <w:sz w:val="20"/>
                <w:szCs w:val="20"/>
              </w:rPr>
            </w:r>
          </w:p>
        </w:tc>
      </w:tr>
      <w:tr>
        <w:trPr>
          <w:jc w:val="center"/>
          <w:trHeight w:val="50"/>
        </w:trPr>
        <w:tc>
          <w:tcPr>
            <w:tcBorders>
              <w:top w:val="single" w:color="000000" w:sz="4" w:space="0"/>
              <w:left w:val="single" w:color="000000" w:sz="4" w:space="0"/>
              <w:bottom w:val="single" w:color="000000" w:sz="4" w:space="0"/>
              <w:right w:val="single" w:color="000000" w:sz="4" w:space="0"/>
            </w:tcBorders>
            <w:tcW w:w="5098" w:type="dxa"/>
            <w:vAlign w:val="bottom"/>
            <w:textDirection w:val="lrTb"/>
            <w:noWrap w:val="false"/>
          </w:tcPr>
          <w:p>
            <w:pPr>
              <w:pStyle w:val="1063"/>
              <w:spacing w:before="120" w:after="120"/>
              <w:widowControl w:val="off"/>
              <w:rPr>
                <w:sz w:val="20"/>
                <w:szCs w:val="20"/>
              </w:rPr>
            </w:pPr>
            <w:r>
              <w:rPr>
                <w:rFonts w:ascii="Arial Narrow" w:hAnsi="Arial Narrow" w:cs="Calibri"/>
                <w:color w:val="000000"/>
                <w:sz w:val="20"/>
                <w:szCs w:val="20"/>
              </w:rPr>
              <w:t xml:space="preserve">Предприятия, финансируемые из местного бюджета</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34"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65 906</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76"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825 264</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552"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818 698</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86"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99,2</w:t>
            </w:r>
            <w:r>
              <w:rPr>
                <w:sz w:val="20"/>
                <w:szCs w:val="20"/>
              </w:rPr>
            </w:r>
            <w:r>
              <w:rPr>
                <w:sz w:val="20"/>
                <w:szCs w:val="20"/>
              </w:rPr>
            </w:r>
          </w:p>
        </w:tc>
      </w:tr>
      <w:tr>
        <w:trPr>
          <w:jc w:val="center"/>
          <w:trHeight w:val="50"/>
        </w:trPr>
        <w:tc>
          <w:tcPr>
            <w:tcBorders>
              <w:top w:val="single" w:color="000000" w:sz="4" w:space="0"/>
              <w:left w:val="single" w:color="000000" w:sz="4" w:space="0"/>
              <w:bottom w:val="single" w:color="000000" w:sz="4" w:space="0"/>
              <w:right w:val="single" w:color="000000" w:sz="4" w:space="0"/>
            </w:tcBorders>
            <w:tcW w:w="5098" w:type="dxa"/>
            <w:vAlign w:val="bottom"/>
            <w:textDirection w:val="lrTb"/>
            <w:noWrap w:val="false"/>
          </w:tcPr>
          <w:p>
            <w:pPr>
              <w:pStyle w:val="1063"/>
              <w:spacing w:before="120" w:after="120"/>
              <w:widowControl w:val="off"/>
              <w:rPr>
                <w:sz w:val="20"/>
                <w:szCs w:val="20"/>
              </w:rPr>
            </w:pPr>
            <w:r>
              <w:rPr>
                <w:rFonts w:ascii="Arial Narrow" w:hAnsi="Arial Narrow" w:cs="Calibri"/>
                <w:color w:val="000000"/>
                <w:sz w:val="20"/>
                <w:szCs w:val="20"/>
              </w:rPr>
              <w:t xml:space="preserve">ОПП</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34"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21 570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76"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252 492</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552"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249 063</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86"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98,6</w:t>
            </w:r>
            <w:r>
              <w:rPr>
                <w:sz w:val="20"/>
                <w:szCs w:val="20"/>
              </w:rPr>
            </w:r>
            <w:r>
              <w:rPr>
                <w:sz w:val="20"/>
                <w:szCs w:val="20"/>
              </w:rPr>
            </w:r>
          </w:p>
        </w:tc>
      </w:tr>
      <w:tr>
        <w:trPr>
          <w:jc w:val="center"/>
          <w:trHeight w:val="312"/>
        </w:trPr>
        <w:tc>
          <w:tcPr>
            <w:tcBorders>
              <w:top w:val="single" w:color="000000" w:sz="4" w:space="0"/>
              <w:left w:val="single" w:color="000000" w:sz="4" w:space="0"/>
              <w:bottom w:val="single" w:color="000000" w:sz="4" w:space="0"/>
              <w:right w:val="single" w:color="000000" w:sz="4" w:space="0"/>
            </w:tcBorders>
            <w:tcW w:w="5098" w:type="dxa"/>
            <w:vAlign w:val="bottom"/>
            <w:textDirection w:val="lrTb"/>
            <w:noWrap w:val="false"/>
          </w:tcPr>
          <w:p>
            <w:pPr>
              <w:pStyle w:val="1063"/>
              <w:spacing w:before="120" w:after="120"/>
              <w:widowControl w:val="off"/>
              <w:rPr>
                <w:sz w:val="20"/>
                <w:szCs w:val="20"/>
              </w:rPr>
            </w:pPr>
            <w:r>
              <w:rPr>
                <w:rFonts w:ascii="Arial Narrow" w:hAnsi="Arial Narrow" w:cs="Calibri"/>
                <w:color w:val="000000"/>
                <w:sz w:val="20"/>
                <w:szCs w:val="20"/>
              </w:rPr>
              <w:t xml:space="preserve">ЖКХ</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34"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76 778</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76"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920 660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552"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909 190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86"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98,8</w:t>
            </w:r>
            <w:r>
              <w:rPr>
                <w:sz w:val="20"/>
                <w:szCs w:val="20"/>
              </w:rPr>
            </w:r>
            <w:r>
              <w:rPr>
                <w:sz w:val="20"/>
                <w:szCs w:val="20"/>
              </w:rPr>
            </w:r>
          </w:p>
        </w:tc>
      </w:tr>
      <w:tr>
        <w:trPr>
          <w:jc w:val="center"/>
          <w:trHeight w:val="50"/>
        </w:trPr>
        <w:tc>
          <w:tcPr>
            <w:tcBorders>
              <w:top w:val="single" w:color="000000" w:sz="4" w:space="0"/>
              <w:left w:val="single" w:color="000000" w:sz="4" w:space="0"/>
              <w:bottom w:val="single" w:color="000000" w:sz="4" w:space="0"/>
              <w:right w:val="single" w:color="000000" w:sz="4" w:space="0"/>
            </w:tcBorders>
            <w:tcW w:w="5098" w:type="dxa"/>
            <w:vAlign w:val="bottom"/>
            <w:textDirection w:val="lrTb"/>
            <w:noWrap w:val="false"/>
          </w:tcPr>
          <w:p>
            <w:pPr>
              <w:pStyle w:val="1063"/>
              <w:spacing w:before="120" w:after="120"/>
              <w:widowControl w:val="off"/>
              <w:rPr>
                <w:sz w:val="20"/>
                <w:szCs w:val="20"/>
              </w:rPr>
            </w:pPr>
            <w:r>
              <w:rPr>
                <w:rFonts w:ascii="Arial Narrow" w:hAnsi="Arial Narrow" w:cs="Calibri"/>
                <w:color w:val="000000"/>
                <w:sz w:val="20"/>
                <w:szCs w:val="20"/>
              </w:rPr>
              <w:t xml:space="preserve">Население на прямых расчетах</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34"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408 731</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76"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1 982 330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552"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2 314 529</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86"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107,7</w:t>
            </w:r>
            <w:r>
              <w:rPr>
                <w:sz w:val="20"/>
                <w:szCs w:val="20"/>
              </w:rPr>
            </w:r>
            <w:r>
              <w:rPr>
                <w:sz w:val="20"/>
                <w:szCs w:val="20"/>
              </w:rPr>
            </w:r>
          </w:p>
        </w:tc>
      </w:tr>
      <w:tr>
        <w:trPr>
          <w:jc w:val="center"/>
          <w:trHeight w:val="50"/>
        </w:trPr>
        <w:tc>
          <w:tcPr>
            <w:tcBorders>
              <w:top w:val="single" w:color="000000" w:sz="4" w:space="0"/>
              <w:left w:val="single" w:color="000000" w:sz="4" w:space="0"/>
              <w:bottom w:val="single" w:color="000000" w:sz="4" w:space="0"/>
              <w:right w:val="single" w:color="000000" w:sz="4" w:space="0"/>
            </w:tcBorders>
            <w:tcW w:w="5098" w:type="dxa"/>
            <w:vAlign w:val="bottom"/>
            <w:textDirection w:val="lrTb"/>
            <w:noWrap w:val="false"/>
          </w:tcPr>
          <w:p>
            <w:pPr>
              <w:pStyle w:val="1063"/>
              <w:spacing w:before="120" w:after="120"/>
              <w:widowControl w:val="off"/>
              <w:rPr>
                <w:sz w:val="20"/>
                <w:szCs w:val="20"/>
              </w:rPr>
            </w:pPr>
            <w:r>
              <w:rPr>
                <w:rFonts w:ascii="Arial Narrow" w:hAnsi="Arial Narrow" w:cs="Calibri"/>
                <w:color w:val="000000"/>
                <w:sz w:val="20"/>
                <w:szCs w:val="20"/>
              </w:rPr>
              <w:t xml:space="preserve">ТСЖ, ЖСК, Управляющие компании</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34"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105 782</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76"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529 986</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552"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511 562</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86"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96,5</w:t>
            </w:r>
            <w:r>
              <w:rPr>
                <w:sz w:val="20"/>
                <w:szCs w:val="20"/>
              </w:rPr>
            </w:r>
            <w:r>
              <w:rPr>
                <w:sz w:val="20"/>
                <w:szCs w:val="20"/>
              </w:rPr>
            </w:r>
          </w:p>
        </w:tc>
      </w:tr>
      <w:tr>
        <w:trPr>
          <w:jc w:val="center"/>
          <w:trHeight w:val="50"/>
        </w:trPr>
        <w:tc>
          <w:tcPr>
            <w:tcBorders>
              <w:top w:val="single" w:color="000000" w:sz="4" w:space="0"/>
              <w:left w:val="single" w:color="000000" w:sz="4" w:space="0"/>
              <w:bottom w:val="single" w:color="000000" w:sz="4" w:space="0"/>
              <w:right w:val="single" w:color="000000" w:sz="4" w:space="0"/>
            </w:tcBorders>
            <w:tcW w:w="5098" w:type="dxa"/>
            <w:vAlign w:val="bottom"/>
            <w:textDirection w:val="lrTb"/>
            <w:noWrap w:val="false"/>
          </w:tcPr>
          <w:p>
            <w:pPr>
              <w:pStyle w:val="1063"/>
              <w:spacing w:before="120" w:after="120"/>
              <w:widowControl w:val="off"/>
              <w:rPr>
                <w:sz w:val="20"/>
                <w:szCs w:val="20"/>
              </w:rPr>
            </w:pPr>
            <w:r>
              <w:rPr>
                <w:rFonts w:ascii="Arial Narrow" w:hAnsi="Arial Narrow" w:cs="Calibri"/>
                <w:color w:val="000000"/>
                <w:sz w:val="20"/>
                <w:szCs w:val="20"/>
              </w:rPr>
              <w:t xml:space="preserve">Прочие</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34"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328 953</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76"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3 217 967</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552"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3 205 996</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86"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99,6</w:t>
            </w:r>
            <w:r>
              <w:rPr>
                <w:sz w:val="20"/>
                <w:szCs w:val="20"/>
              </w:rPr>
            </w:r>
            <w:r>
              <w:rPr>
                <w:sz w:val="20"/>
                <w:szCs w:val="20"/>
              </w:rPr>
            </w:r>
          </w:p>
        </w:tc>
      </w:tr>
    </w:tbl>
    <w:p>
      <w:pPr>
        <w:pStyle w:val="1063"/>
        <w:jc w:val="both"/>
        <w:spacing w:before="120" w:after="120"/>
        <w:tabs>
          <w:tab w:val="left" w:pos="709" w:leader="none"/>
        </w:tabs>
        <w:rPr>
          <w:rFonts w:ascii="Arial Narrow" w:hAnsi="Arial Narrow" w:eastAsia="Calibri" w:cs="Calibri"/>
          <w:sz w:val="16"/>
          <w:szCs w:val="16"/>
        </w:rPr>
      </w:pPr>
      <w:r>
        <w:rPr>
          <w:rFonts w:ascii="Arial Narrow" w:hAnsi="Arial Narrow" w:eastAsia="Calibri" w:cs="Calibri"/>
          <w:sz w:val="16"/>
          <w:szCs w:val="16"/>
        </w:rPr>
      </w:r>
      <w:r>
        <w:rPr>
          <w:rFonts w:ascii="Arial Narrow" w:hAnsi="Arial Narrow" w:eastAsia="Calibri" w:cs="Calibri"/>
          <w:sz w:val="16"/>
          <w:szCs w:val="16"/>
        </w:rPr>
      </w:r>
      <w:r>
        <w:rPr>
          <w:rFonts w:ascii="Arial Narrow" w:hAnsi="Arial Narrow" w:eastAsia="Calibri" w:cs="Calibri"/>
          <w:sz w:val="16"/>
          <w:szCs w:val="16"/>
        </w:rPr>
      </w:r>
    </w:p>
    <w:p>
      <w:pPr>
        <w:rPr>
          <w:rFonts w:ascii="Arial Narrow" w:hAnsi="Arial Narrow" w:eastAsia="Calibri" w:cs="Calibri"/>
          <w:sz w:val="16"/>
          <w:szCs w:val="16"/>
          <w:lang w:eastAsia="en-US"/>
        </w:rPr>
      </w:pPr>
      <w:r>
        <w:br w:type="page" w:clear="all"/>
      </w:r>
      <w:r>
        <w:rPr>
          <w:rFonts w:ascii="Arial Narrow" w:hAnsi="Arial Narrow" w:eastAsia="Calibri" w:cs="Calibri"/>
          <w:sz w:val="16"/>
          <w:szCs w:val="16"/>
          <w:lang w:eastAsia="en-US"/>
        </w:rPr>
      </w:r>
      <w:r>
        <w:rPr>
          <w:rFonts w:ascii="Arial Narrow" w:hAnsi="Arial Narrow" w:eastAsia="Calibri" w:cs="Calibri"/>
          <w:sz w:val="16"/>
          <w:szCs w:val="16"/>
          <w:lang w:eastAsia="en-US"/>
        </w:rPr>
      </w:r>
    </w:p>
    <w:p>
      <w:pPr>
        <w:pStyle w:val="1063"/>
        <w:jc w:val="center"/>
        <w:spacing w:before="120" w:after="120"/>
        <w:tabs>
          <w:tab w:val="left" w:pos="709" w:leader="none"/>
        </w:tabs>
        <w:rPr>
          <w:b/>
        </w:rPr>
      </w:pPr>
      <w:r>
        <w:rPr>
          <w:lang w:eastAsia="ru-RU"/>
        </w:rPr>
        <mc:AlternateContent>
          <mc:Choice Requires="wpg">
            <w:drawing>
              <wp:anchor xmlns:wp="http://schemas.openxmlformats.org/drawingml/2006/wordprocessingDrawing" xmlns:wp14="http://schemas.microsoft.com/office/word/2010/wordprocessingDrawing" distT="0" distB="0" distL="114300" distR="114300" simplePos="0" relativeHeight="251660288" behindDoc="0" locked="0" layoutInCell="0" allowOverlap="1">
                <wp:simplePos x="0" y="0"/>
                <wp:positionH relativeFrom="column">
                  <wp:posOffset>2188845</wp:posOffset>
                </wp:positionH>
                <wp:positionV relativeFrom="paragraph">
                  <wp:posOffset>36830</wp:posOffset>
                </wp:positionV>
                <wp:extent cx="4335145" cy="2671445"/>
                <wp:effectExtent l="0" t="0" r="0" b="0"/>
                <wp:wrapSquare wrapText="bothSides"/>
                <wp:docPr id="5" name="Изображение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Изображение3"/>
                        <pic:cNvPicPr>
                          <a:picLocks noChangeAspect="1"/>
                        </pic:cNvPicPr>
                        <pic:nvPr/>
                      </pic:nvPicPr>
                      <pic:blipFill>
                        <a:blip r:embed="rId15"/>
                        <a:stretch/>
                      </pic:blipFill>
                      <pic:spPr bwMode="auto">
                        <a:xfrm>
                          <a:off x="0" y="0"/>
                          <a:ext cx="4335145" cy="2671445"/>
                        </a:xfrm>
                        <a:prstGeom prst="rect">
                          <a:avLst/>
                        </a:prstGeom>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 o:spid="_x0000_s4" type="#_x0000_t75" style="position:absolute;z-index:251660288;o:allowoverlap:true;o:allowincell:false;mso-position-horizontal-relative:text;margin-left:172.35pt;mso-position-horizontal:absolute;mso-position-vertical-relative:text;margin-top:2.90pt;mso-position-vertical:absolute;width:341.35pt;height:210.35pt;mso-wrap-distance-left:9.00pt;mso-wrap-distance-top:0.00pt;mso-wrap-distance-right:9.00pt;mso-wrap-distance-bottom:0.00pt;" stroked="false">
                <v:path textboxrect="0,0,0,0"/>
                <w10:wrap type="square"/>
                <v:imagedata r:id="rId15" o:title=""/>
              </v:shape>
            </w:pict>
          </mc:Fallback>
        </mc:AlternateContent>
      </w:r>
      <w:r>
        <w:rPr>
          <w:rFonts w:ascii="Arial Narrow" w:hAnsi="Arial Narrow" w:eastAsia="Calibri" w:cs="Calibri"/>
          <w:b/>
          <w:iCs/>
          <w:color w:val="314e87"/>
          <w:lang w:eastAsia="ja-JP" w:bidi="ru-RU"/>
        </w:rPr>
        <w:t xml:space="preserve">Структура поступившей оплаты за отпущенную электрическую энергию по группам потребителей за 2024 год, </w:t>
      </w:r>
      <w:r>
        <w:rPr>
          <w:rFonts w:ascii="Arial Narrow" w:hAnsi="Arial Narrow" w:eastAsia="Calibri" w:cs="Calibri"/>
          <w:b/>
          <w:iCs/>
          <w:color w:val="314e87"/>
          <w:lang w:eastAsia="ja-JP" w:bidi="ru-RU"/>
        </w:rPr>
        <w:br/>
        <w:t xml:space="preserve">млн. рублей с НДС</w:t>
      </w:r>
      <w:r>
        <w:rPr>
          <w:b/>
        </w:rPr>
      </w:r>
      <w:r>
        <w:rPr>
          <w:b/>
        </w:rPr>
      </w:r>
    </w:p>
    <w:p>
      <w:pPr>
        <w:pStyle w:val="1063"/>
        <w:spacing w:before="120" w:after="120"/>
      </w:pPr>
      <w:r/>
      <w:r/>
    </w:p>
    <w:p>
      <w:pPr>
        <w:pStyle w:val="1063"/>
        <w:spacing w:before="120" w:after="120"/>
        <w:rPr>
          <w:rFonts w:ascii="Arial Narrow" w:hAnsi="Arial Narrow" w:cs="Calibri"/>
          <w:lang w:bidi="ru-RU"/>
        </w:rPr>
      </w:pPr>
      <w:r>
        <w:rPr>
          <w:rFonts w:ascii="Arial Narrow" w:hAnsi="Arial Narrow" w:cs="Calibri"/>
          <w:lang w:bidi="ru-RU"/>
        </w:rPr>
      </w:r>
      <w:r>
        <w:rPr>
          <w:rFonts w:ascii="Arial Narrow" w:hAnsi="Arial Narrow" w:cs="Calibri"/>
          <w:lang w:bidi="ru-RU"/>
        </w:rPr>
      </w:r>
      <w:r>
        <w:rPr>
          <w:rFonts w:ascii="Arial Narrow" w:hAnsi="Arial Narrow" w:cs="Calibri"/>
          <w:lang w:bidi="ru-RU"/>
        </w:rPr>
      </w:r>
    </w:p>
    <w:p>
      <w:pPr>
        <w:pStyle w:val="1063"/>
        <w:spacing w:before="120" w:after="120"/>
        <w:rPr>
          <w:rFonts w:ascii="Arial Narrow" w:hAnsi="Arial Narrow" w:cs="Calibri"/>
          <w:lang w:bidi="ru-RU"/>
        </w:rPr>
      </w:pPr>
      <w:r>
        <w:rPr>
          <w:rFonts w:ascii="Arial Narrow" w:hAnsi="Arial Narrow" w:cs="Calibri"/>
          <w:lang w:bidi="ru-RU"/>
        </w:rPr>
      </w:r>
      <w:r>
        <w:rPr>
          <w:rFonts w:ascii="Arial Narrow" w:hAnsi="Arial Narrow" w:cs="Calibri"/>
          <w:lang w:bidi="ru-RU"/>
        </w:rPr>
      </w:r>
      <w:r>
        <w:rPr>
          <w:rFonts w:ascii="Arial Narrow" w:hAnsi="Arial Narrow" w:cs="Calibri"/>
          <w:lang w:bidi="ru-RU"/>
        </w:rPr>
      </w:r>
    </w:p>
    <w:p>
      <w:pPr>
        <w:pStyle w:val="1063"/>
        <w:spacing w:before="120" w:after="120"/>
        <w:rPr>
          <w:rFonts w:ascii="Arial Narrow" w:hAnsi="Arial Narrow" w:cs="Calibri"/>
          <w:lang w:bidi="ru-RU"/>
        </w:rPr>
      </w:pPr>
      <w:r>
        <w:rPr>
          <w:rFonts w:ascii="Arial Narrow" w:hAnsi="Arial Narrow" w:cs="Calibri"/>
          <w:lang w:bidi="ru-RU"/>
        </w:rPr>
      </w:r>
      <w:r>
        <w:rPr>
          <w:rFonts w:ascii="Arial Narrow" w:hAnsi="Arial Narrow" w:cs="Calibri"/>
          <w:lang w:bidi="ru-RU"/>
        </w:rPr>
      </w:r>
      <w:r>
        <w:rPr>
          <w:rFonts w:ascii="Arial Narrow" w:hAnsi="Arial Narrow" w:cs="Calibri"/>
          <w:lang w:bidi="ru-RU"/>
        </w:rPr>
      </w:r>
    </w:p>
    <w:p>
      <w:pPr>
        <w:pStyle w:val="1063"/>
        <w:spacing w:before="120" w:after="120"/>
        <w:rPr>
          <w:rFonts w:ascii="Arial Narrow" w:hAnsi="Arial Narrow" w:cs="Calibri"/>
          <w:lang w:bidi="ru-RU"/>
        </w:rPr>
      </w:pPr>
      <w:r>
        <w:rPr>
          <w:rFonts w:ascii="Arial Narrow" w:hAnsi="Arial Narrow" w:cs="Calibri"/>
          <w:lang w:bidi="ru-RU"/>
        </w:rPr>
      </w:r>
      <w:r>
        <w:rPr>
          <w:rFonts w:ascii="Arial Narrow" w:hAnsi="Arial Narrow" w:cs="Calibri"/>
          <w:lang w:bidi="ru-RU"/>
        </w:rPr>
      </w:r>
      <w:r>
        <w:rPr>
          <w:rFonts w:ascii="Arial Narrow" w:hAnsi="Arial Narrow" w:cs="Calibri"/>
          <w:lang w:bidi="ru-RU"/>
        </w:rPr>
      </w:r>
    </w:p>
    <w:p>
      <w:pPr>
        <w:pStyle w:val="1063"/>
        <w:spacing w:before="120" w:after="120"/>
        <w:rPr>
          <w:rFonts w:ascii="Arial Narrow" w:hAnsi="Arial Narrow" w:cs="Calibri"/>
          <w:lang w:bidi="ru-RU"/>
        </w:rPr>
      </w:pPr>
      <w:r>
        <w:rPr>
          <w:rFonts w:ascii="Arial Narrow" w:hAnsi="Arial Narrow" w:cs="Calibri"/>
          <w:lang w:bidi="ru-RU"/>
        </w:rPr>
      </w:r>
      <w:r>
        <w:rPr>
          <w:rFonts w:ascii="Arial Narrow" w:hAnsi="Arial Narrow" w:cs="Calibri"/>
          <w:lang w:bidi="ru-RU"/>
        </w:rPr>
      </w:r>
      <w:r>
        <w:rPr>
          <w:rFonts w:ascii="Arial Narrow" w:hAnsi="Arial Narrow" w:cs="Calibri"/>
          <w:lang w:bidi="ru-RU"/>
        </w:rPr>
      </w:r>
    </w:p>
    <w:p>
      <w:pPr>
        <w:pStyle w:val="1063"/>
        <w:spacing w:before="120" w:after="120"/>
        <w:rPr>
          <w:rFonts w:ascii="Arial Narrow" w:hAnsi="Arial Narrow" w:cs="Calibri"/>
          <w:lang w:bidi="ru-RU"/>
        </w:rPr>
      </w:pPr>
      <w:r>
        <w:rPr>
          <w:rFonts w:ascii="Arial Narrow" w:hAnsi="Arial Narrow" w:cs="Calibri"/>
          <w:lang w:bidi="ru-RU"/>
        </w:rPr>
      </w:r>
      <w:r>
        <w:rPr>
          <w:rFonts w:ascii="Arial Narrow" w:hAnsi="Arial Narrow" w:cs="Calibri"/>
          <w:lang w:bidi="ru-RU"/>
        </w:rPr>
      </w:r>
      <w:r>
        <w:rPr>
          <w:rFonts w:ascii="Arial Narrow" w:hAnsi="Arial Narrow" w:cs="Calibri"/>
          <w:lang w:bidi="ru-RU"/>
        </w:rPr>
      </w:r>
    </w:p>
    <w:p>
      <w:pPr>
        <w:pStyle w:val="1063"/>
        <w:ind w:firstLine="567"/>
        <w:spacing w:before="120" w:after="120"/>
      </w:pPr>
      <w:r>
        <w:rPr>
          <w:rFonts w:ascii="Arial Narrow" w:hAnsi="Arial Narrow" w:cs="Calibri"/>
          <w:lang w:bidi="ru-RU"/>
        </w:rPr>
        <w:t xml:space="preserve">В 2024 году полезный отпуск тепловой энергии для нужд отопления и ГВС составил 1 390 459 Гкал.</w:t>
      </w:r>
      <w:r/>
    </w:p>
    <w:p>
      <w:pPr>
        <w:pStyle w:val="1063"/>
        <w:ind w:firstLine="567"/>
        <w:jc w:val="both"/>
      </w:pPr>
      <w:r>
        <w:rPr>
          <w:rFonts w:ascii="Arial Narrow" w:hAnsi="Arial Narrow" w:cs="Calibri"/>
          <w:lang w:bidi="ru-RU"/>
        </w:rPr>
        <w:t xml:space="preserve">Удельный вес потребления в общем объеме полезного отпуска в натуральном выражении:</w:t>
      </w: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bidi="ru-RU"/>
        </w:rPr>
        <w:t xml:space="preserve">Промышленность – 0,8</w:t>
      </w:r>
      <w:r>
        <w:rPr>
          <w:rFonts w:ascii="Arial Narrow" w:hAnsi="Arial Narrow" w:cs="Calibri"/>
          <w:sz w:val="24"/>
          <w:szCs w:val="24"/>
          <w:lang w:val="ru-RU" w:bidi="ru-RU"/>
        </w:rPr>
        <w:t xml:space="preserve"> </w:t>
      </w:r>
      <w:r>
        <w:rPr>
          <w:rFonts w:ascii="Arial Narrow" w:hAnsi="Arial Narrow" w:cs="Calibri"/>
          <w:sz w:val="24"/>
          <w:szCs w:val="24"/>
          <w:lang w:bidi="ru-RU"/>
        </w:rPr>
        <w:t xml:space="preserve">%,</w:t>
      </w: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bidi="ru-RU"/>
        </w:rPr>
        <w:t xml:space="preserve">Сельское хозяйство – 0,</w:t>
      </w:r>
      <w:r>
        <w:rPr>
          <w:rFonts w:ascii="Arial Narrow" w:hAnsi="Arial Narrow" w:cs="Calibri"/>
          <w:sz w:val="24"/>
          <w:szCs w:val="24"/>
          <w:lang w:val="en-US" w:bidi="ru-RU"/>
        </w:rPr>
        <w:t xml:space="preserve">0</w:t>
      </w:r>
      <w:r>
        <w:rPr>
          <w:rFonts w:ascii="Arial Narrow" w:hAnsi="Arial Narrow" w:cs="Calibri"/>
          <w:sz w:val="24"/>
          <w:szCs w:val="24"/>
          <w:lang w:val="ru-RU" w:bidi="ru-RU"/>
        </w:rPr>
        <w:t xml:space="preserve"> </w:t>
      </w:r>
      <w:r>
        <w:rPr>
          <w:rFonts w:ascii="Arial Narrow" w:hAnsi="Arial Narrow" w:cs="Calibri"/>
          <w:sz w:val="24"/>
          <w:szCs w:val="24"/>
          <w:lang w:bidi="ru-RU"/>
        </w:rPr>
        <w:t xml:space="preserve">%,</w:t>
      </w: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bidi="ru-RU"/>
        </w:rPr>
        <w:t xml:space="preserve">Федеральный бюджет – 4,5</w:t>
      </w:r>
      <w:r>
        <w:rPr>
          <w:rFonts w:ascii="Arial Narrow" w:hAnsi="Arial Narrow" w:cs="Calibri"/>
          <w:sz w:val="24"/>
          <w:szCs w:val="24"/>
          <w:lang w:val="ru-RU" w:bidi="ru-RU"/>
        </w:rPr>
        <w:t xml:space="preserve"> </w:t>
      </w:r>
      <w:r>
        <w:rPr>
          <w:rFonts w:ascii="Arial Narrow" w:hAnsi="Arial Narrow" w:cs="Calibri"/>
          <w:sz w:val="24"/>
          <w:szCs w:val="24"/>
          <w:lang w:bidi="ru-RU"/>
        </w:rPr>
        <w:t xml:space="preserve">%,</w:t>
      </w: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bidi="ru-RU"/>
        </w:rPr>
        <w:t xml:space="preserve">Региональный, местный бюджет – 10,1</w:t>
      </w:r>
      <w:r>
        <w:rPr>
          <w:rFonts w:ascii="Arial Narrow" w:hAnsi="Arial Narrow" w:cs="Calibri"/>
          <w:sz w:val="24"/>
          <w:szCs w:val="24"/>
          <w:lang w:val="ru-RU" w:bidi="ru-RU"/>
        </w:rPr>
        <w:t xml:space="preserve"> </w:t>
      </w:r>
      <w:r>
        <w:rPr>
          <w:rFonts w:ascii="Arial Narrow" w:hAnsi="Arial Narrow" w:cs="Calibri"/>
          <w:sz w:val="24"/>
          <w:szCs w:val="24"/>
          <w:lang w:bidi="ru-RU"/>
        </w:rPr>
        <w:t xml:space="preserve">%,</w:t>
      </w: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bidi="ru-RU"/>
        </w:rPr>
        <w:t xml:space="preserve">ТСЖ, ЖСК, Управляющие компании – 4,3</w:t>
      </w:r>
      <w:r>
        <w:rPr>
          <w:rFonts w:ascii="Arial Narrow" w:hAnsi="Arial Narrow" w:cs="Calibri"/>
          <w:sz w:val="24"/>
          <w:szCs w:val="24"/>
          <w:lang w:val="ru-RU" w:bidi="ru-RU"/>
        </w:rPr>
        <w:t xml:space="preserve"> </w:t>
      </w:r>
      <w:r>
        <w:rPr>
          <w:rFonts w:ascii="Arial Narrow" w:hAnsi="Arial Narrow" w:cs="Calibri"/>
          <w:sz w:val="24"/>
          <w:szCs w:val="24"/>
          <w:lang w:bidi="ru-RU"/>
        </w:rPr>
        <w:t xml:space="preserve">%,</w:t>
      </w: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bidi="ru-RU"/>
        </w:rPr>
        <w:t xml:space="preserve">Население – 73,4</w:t>
      </w:r>
      <w:r>
        <w:rPr>
          <w:rFonts w:ascii="Arial Narrow" w:hAnsi="Arial Narrow" w:cs="Calibri"/>
          <w:sz w:val="24"/>
          <w:szCs w:val="24"/>
          <w:lang w:val="ru-RU" w:bidi="ru-RU"/>
        </w:rPr>
        <w:t xml:space="preserve"> </w:t>
      </w:r>
      <w:r>
        <w:rPr>
          <w:rFonts w:ascii="Arial Narrow" w:hAnsi="Arial Narrow" w:cs="Calibri"/>
          <w:sz w:val="24"/>
          <w:szCs w:val="24"/>
          <w:lang w:bidi="ru-RU"/>
        </w:rPr>
        <w:t xml:space="preserve">%,</w:t>
      </w: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bidi="ru-RU"/>
        </w:rPr>
        <w:t xml:space="preserve">ОПП – 1,3</w:t>
      </w:r>
      <w:r>
        <w:rPr>
          <w:rFonts w:ascii="Arial Narrow" w:hAnsi="Arial Narrow" w:cs="Calibri"/>
          <w:sz w:val="24"/>
          <w:szCs w:val="24"/>
          <w:lang w:val="ru-RU" w:bidi="ru-RU"/>
        </w:rPr>
        <w:t xml:space="preserve"> </w:t>
      </w:r>
      <w:r>
        <w:rPr>
          <w:rFonts w:ascii="Arial Narrow" w:hAnsi="Arial Narrow" w:cs="Calibri"/>
          <w:sz w:val="24"/>
          <w:szCs w:val="24"/>
          <w:lang w:bidi="ru-RU"/>
        </w:rPr>
        <w:t xml:space="preserve">%,</w:t>
      </w: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bidi="ru-RU"/>
        </w:rPr>
        <w:t xml:space="preserve">Прочие – 5,6</w:t>
      </w:r>
      <w:r>
        <w:rPr>
          <w:rFonts w:ascii="Arial Narrow" w:hAnsi="Arial Narrow" w:cs="Calibri"/>
          <w:sz w:val="24"/>
          <w:szCs w:val="24"/>
          <w:lang w:val="ru-RU" w:bidi="ru-RU"/>
        </w:rPr>
        <w:t xml:space="preserve"> </w:t>
      </w:r>
      <w:r>
        <w:rPr>
          <w:rFonts w:ascii="Arial Narrow" w:hAnsi="Arial Narrow" w:cs="Calibri"/>
          <w:sz w:val="24"/>
          <w:szCs w:val="24"/>
          <w:lang w:bidi="ru-RU"/>
        </w:rPr>
        <w:t xml:space="preserve">%.</w:t>
      </w:r>
      <w:r/>
    </w:p>
    <w:p>
      <w:pPr>
        <w:pStyle w:val="1063"/>
        <w:jc w:val="both"/>
        <w:tabs>
          <w:tab w:val="left" w:pos="709" w:leader="none"/>
        </w:tabs>
        <w:rPr>
          <w:rFonts w:ascii="Arial Narrow" w:hAnsi="Arial Narrow" w:eastAsia="Calibri" w:cs="Calibri"/>
          <w:iCs/>
          <w:color w:val="314e87"/>
          <w:sz w:val="12"/>
          <w:szCs w:val="12"/>
          <w:lang w:eastAsia="ja-JP" w:bidi="ru-RU"/>
        </w:rPr>
      </w:pPr>
      <w:r>
        <w:rPr>
          <w:rFonts w:ascii="Arial Narrow" w:hAnsi="Arial Narrow" w:eastAsia="Calibri" w:cs="Calibri"/>
          <w:iCs/>
          <w:color w:val="314e87"/>
          <w:sz w:val="12"/>
          <w:szCs w:val="12"/>
          <w:lang w:eastAsia="ja-JP" w:bidi="ru-RU"/>
        </w:rPr>
      </w:r>
      <w:r>
        <w:rPr>
          <w:rFonts w:ascii="Arial Narrow" w:hAnsi="Arial Narrow" w:eastAsia="Calibri" w:cs="Calibri"/>
          <w:iCs/>
          <w:color w:val="314e87"/>
          <w:sz w:val="12"/>
          <w:szCs w:val="12"/>
          <w:lang w:eastAsia="ja-JP" w:bidi="ru-RU"/>
        </w:rPr>
      </w:r>
      <w:r>
        <w:rPr>
          <w:rFonts w:ascii="Arial Narrow" w:hAnsi="Arial Narrow" w:eastAsia="Calibri" w:cs="Calibri"/>
          <w:iCs/>
          <w:color w:val="314e87"/>
          <w:sz w:val="12"/>
          <w:szCs w:val="12"/>
          <w:lang w:eastAsia="ja-JP" w:bidi="ru-RU"/>
        </w:rPr>
      </w:r>
    </w:p>
    <w:p>
      <w:pPr>
        <w:pStyle w:val="1063"/>
        <w:jc w:val="both"/>
        <w:tabs>
          <w:tab w:val="left" w:pos="709" w:leader="none"/>
        </w:tabs>
        <w:rPr>
          <w:b/>
        </w:rPr>
      </w:pPr>
      <w:r>
        <w:rPr>
          <w:rFonts w:ascii="Arial Narrow" w:hAnsi="Arial Narrow" w:eastAsia="Calibri" w:cs="Calibri"/>
          <w:b/>
          <w:iCs/>
          <w:color w:val="314e87"/>
          <w:lang w:eastAsia="ja-JP" w:bidi="ru-RU"/>
        </w:rPr>
        <w:t xml:space="preserve">Структура полезного отпуска и оплаты тепловой энергии по группам потребителей за 2024 год</w:t>
      </w:r>
      <w:r>
        <w:rPr>
          <w:b/>
        </w:rPr>
      </w:r>
      <w:r>
        <w:rPr>
          <w:b/>
        </w:rPr>
      </w:r>
    </w:p>
    <w:p>
      <w:pPr>
        <w:pStyle w:val="1063"/>
        <w:jc w:val="right"/>
        <w:rPr>
          <w:rFonts w:ascii="Arial Narrow" w:hAnsi="Arial Narrow" w:eastAsia="Calibri" w:cs="Calibri"/>
          <w:i/>
          <w:lang w:val="en-US" w:eastAsia="ja-JP"/>
        </w:rPr>
      </w:pPr>
      <w:r>
        <w:rPr>
          <w:rFonts w:ascii="Arial Narrow" w:hAnsi="Arial Narrow" w:eastAsia="Calibri" w:cs="Calibri"/>
          <w:i/>
          <w:lang w:eastAsia="ja-JP"/>
        </w:rPr>
        <w:t xml:space="preserve">Таблица № </w:t>
      </w:r>
      <w:r>
        <w:rPr>
          <w:rFonts w:ascii="Arial Narrow" w:hAnsi="Arial Narrow" w:eastAsia="Calibri" w:cs="Calibri"/>
          <w:i/>
          <w:lang w:val="en-US" w:eastAsia="ja-JP"/>
        </w:rPr>
        <w:t xml:space="preserve">3</w:t>
      </w:r>
      <w:r>
        <w:rPr>
          <w:rFonts w:ascii="Arial Narrow" w:hAnsi="Arial Narrow" w:eastAsia="Calibri" w:cs="Calibri"/>
          <w:i/>
          <w:lang w:val="en-US" w:eastAsia="ja-JP"/>
        </w:rPr>
      </w:r>
      <w:r>
        <w:rPr>
          <w:rFonts w:ascii="Arial Narrow" w:hAnsi="Arial Narrow" w:eastAsia="Calibri" w:cs="Calibri"/>
          <w:i/>
          <w:lang w:val="en-US" w:eastAsia="ja-JP"/>
        </w:rPr>
      </w:r>
    </w:p>
    <w:tbl>
      <w:tblPr>
        <w:tblW w:w="9962" w:type="dxa"/>
        <w:tblInd w:w="211" w:type="dxa"/>
        <w:tblLayout w:type="fixed"/>
        <w:tblLook w:val="04A0" w:firstRow="1" w:lastRow="0" w:firstColumn="1" w:lastColumn="0" w:noHBand="0" w:noVBand="1"/>
      </w:tblPr>
      <w:tblGrid>
        <w:gridCol w:w="4719"/>
        <w:gridCol w:w="1278"/>
        <w:gridCol w:w="1554"/>
        <w:gridCol w:w="1459"/>
        <w:gridCol w:w="952"/>
      </w:tblGrid>
      <w:tr>
        <w:trPr>
          <w:trHeight w:val="50"/>
          <w:tblHeader/>
        </w:trPr>
        <w:tc>
          <w:tcPr>
            <w:tcBorders>
              <w:top w:val="single" w:color="000000" w:sz="4" w:space="0"/>
              <w:left w:val="single" w:color="000000" w:sz="4" w:space="0"/>
              <w:bottom w:val="single" w:color="000000" w:sz="4" w:space="0"/>
              <w:right w:val="single" w:color="000000" w:sz="4" w:space="0"/>
            </w:tcBorders>
            <w:tcW w:w="4719" w:type="dxa"/>
            <w:vAlign w:val="center"/>
            <w:vMerge w:val="restart"/>
            <w:textDirection w:val="lrTb"/>
            <w:noWrap w:val="false"/>
          </w:tcPr>
          <w:p>
            <w:pPr>
              <w:pStyle w:val="1063"/>
              <w:jc w:val="center"/>
              <w:spacing w:before="120" w:after="120"/>
              <w:widowControl w:val="off"/>
              <w:rPr>
                <w:sz w:val="20"/>
                <w:szCs w:val="20"/>
              </w:rPr>
            </w:pPr>
            <w:r>
              <w:rPr>
                <w:rFonts w:ascii="Arial Narrow" w:hAnsi="Arial Narrow" w:cs="Calibri"/>
                <w:bCs/>
                <w:color w:val="000000"/>
                <w:sz w:val="20"/>
                <w:szCs w:val="20"/>
              </w:rPr>
              <w:t xml:space="preserve">Группа потребителей</w:t>
            </w:r>
            <w:r>
              <w:rPr>
                <w:sz w:val="20"/>
                <w:szCs w:val="20"/>
              </w:rPr>
            </w:r>
            <w:r>
              <w:rPr>
                <w:sz w:val="20"/>
                <w:szCs w:val="20"/>
              </w:rPr>
            </w:r>
          </w:p>
        </w:tc>
        <w:tc>
          <w:tcPr>
            <w:gridSpan w:val="2"/>
            <w:tcBorders>
              <w:top w:val="single" w:color="000000" w:sz="4" w:space="0"/>
              <w:bottom w:val="single" w:color="000000" w:sz="4" w:space="0"/>
              <w:right w:val="single" w:color="000000" w:sz="4" w:space="0"/>
            </w:tcBorders>
            <w:tcW w:w="2832" w:type="dxa"/>
            <w:vAlign w:val="center"/>
            <w:textDirection w:val="lrTb"/>
            <w:noWrap w:val="false"/>
          </w:tcPr>
          <w:p>
            <w:pPr>
              <w:pStyle w:val="1063"/>
              <w:jc w:val="center"/>
              <w:spacing w:before="120" w:after="120"/>
              <w:widowControl w:val="off"/>
              <w:rPr>
                <w:sz w:val="20"/>
                <w:szCs w:val="20"/>
              </w:rPr>
            </w:pPr>
            <w:r>
              <w:rPr>
                <w:rFonts w:ascii="Arial Narrow" w:hAnsi="Arial Narrow" w:cs="Calibri"/>
                <w:bCs/>
                <w:color w:val="000000"/>
                <w:sz w:val="20"/>
                <w:szCs w:val="20"/>
              </w:rPr>
              <w:t xml:space="preserve">Полезный отпуск</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459" w:type="dxa"/>
            <w:vAlign w:val="center"/>
            <w:vMerge w:val="restart"/>
            <w:textDirection w:val="lrTb"/>
            <w:noWrap w:val="false"/>
          </w:tcPr>
          <w:p>
            <w:pPr>
              <w:pStyle w:val="1063"/>
              <w:jc w:val="center"/>
              <w:widowControl w:val="off"/>
              <w:rPr>
                <w:sz w:val="20"/>
                <w:szCs w:val="20"/>
              </w:rPr>
            </w:pPr>
            <w:r>
              <w:rPr>
                <w:rFonts w:ascii="Arial Narrow" w:hAnsi="Arial Narrow" w:cs="Calibri"/>
                <w:bCs/>
                <w:color w:val="000000"/>
                <w:sz w:val="20"/>
                <w:szCs w:val="20"/>
              </w:rPr>
              <w:t xml:space="preserve">Поступило оплаты,</w:t>
            </w:r>
            <w:r>
              <w:rPr>
                <w:sz w:val="20"/>
                <w:szCs w:val="20"/>
              </w:rPr>
            </w:r>
            <w:r>
              <w:rPr>
                <w:sz w:val="20"/>
                <w:szCs w:val="20"/>
              </w:rPr>
            </w:r>
          </w:p>
          <w:p>
            <w:pPr>
              <w:pStyle w:val="1063"/>
              <w:jc w:val="center"/>
              <w:widowControl w:val="off"/>
              <w:rPr>
                <w:sz w:val="20"/>
                <w:szCs w:val="20"/>
              </w:rPr>
            </w:pPr>
            <w:r>
              <w:rPr>
                <w:rFonts w:ascii="Arial Narrow" w:hAnsi="Arial Narrow" w:cs="Calibri"/>
                <w:bCs/>
                <w:color w:val="000000"/>
                <w:sz w:val="20"/>
                <w:szCs w:val="20"/>
              </w:rPr>
              <w:t xml:space="preserve">тыс. рублей</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52" w:type="dxa"/>
            <w:vAlign w:val="center"/>
            <w:vMerge w:val="restart"/>
            <w:textDirection w:val="lrTb"/>
            <w:noWrap w:val="false"/>
          </w:tcPr>
          <w:p>
            <w:pPr>
              <w:pStyle w:val="1063"/>
              <w:jc w:val="center"/>
              <w:spacing w:before="120" w:after="120"/>
              <w:widowControl w:val="off"/>
              <w:rPr>
                <w:sz w:val="20"/>
                <w:szCs w:val="20"/>
              </w:rPr>
            </w:pPr>
            <w:r>
              <w:rPr>
                <w:rFonts w:ascii="Arial Narrow" w:hAnsi="Arial Narrow" w:cs="Calibri"/>
                <w:bCs/>
                <w:color w:val="000000"/>
                <w:sz w:val="20"/>
                <w:szCs w:val="20"/>
              </w:rPr>
              <w:t xml:space="preserve">% оплаты</w:t>
            </w:r>
            <w:r>
              <w:rPr>
                <w:sz w:val="20"/>
                <w:szCs w:val="20"/>
              </w:rPr>
            </w:r>
            <w:r>
              <w:rPr>
                <w:sz w:val="20"/>
                <w:szCs w:val="20"/>
              </w:rPr>
            </w:r>
          </w:p>
        </w:tc>
      </w:tr>
      <w:tr>
        <w:trPr>
          <w:trHeight w:val="50"/>
        </w:trPr>
        <w:tc>
          <w:tcPr>
            <w:tcBorders>
              <w:top w:val="single" w:color="000000" w:sz="4" w:space="0"/>
              <w:left w:val="single" w:color="000000" w:sz="4" w:space="0"/>
              <w:bottom w:val="single" w:color="000000" w:sz="4" w:space="0"/>
              <w:right w:val="single" w:color="000000" w:sz="4" w:space="0"/>
            </w:tcBorders>
            <w:tcW w:w="4719"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tcBorders>
              <w:bottom w:val="single" w:color="000000" w:sz="4" w:space="0"/>
              <w:right w:val="single" w:color="000000" w:sz="4" w:space="0"/>
            </w:tcBorders>
            <w:tcW w:w="1278" w:type="dxa"/>
            <w:vAlign w:val="center"/>
            <w:textDirection w:val="lrTb"/>
            <w:noWrap w:val="false"/>
          </w:tcPr>
          <w:p>
            <w:pPr>
              <w:pStyle w:val="1063"/>
              <w:jc w:val="center"/>
              <w:spacing w:before="120" w:after="120"/>
              <w:widowControl w:val="off"/>
              <w:rPr>
                <w:sz w:val="20"/>
                <w:szCs w:val="20"/>
              </w:rPr>
            </w:pPr>
            <w:r>
              <w:rPr>
                <w:rFonts w:ascii="Arial Narrow" w:hAnsi="Arial Narrow" w:cs="Calibri"/>
                <w:bCs/>
                <w:color w:val="000000"/>
                <w:sz w:val="20"/>
                <w:szCs w:val="20"/>
              </w:rPr>
              <w:t xml:space="preserve"> Гкал</w:t>
            </w:r>
            <w:r>
              <w:rPr>
                <w:sz w:val="20"/>
                <w:szCs w:val="20"/>
              </w:rPr>
            </w:r>
            <w:r>
              <w:rPr>
                <w:sz w:val="20"/>
                <w:szCs w:val="20"/>
              </w:rPr>
            </w:r>
          </w:p>
        </w:tc>
        <w:tc>
          <w:tcPr>
            <w:tcBorders>
              <w:bottom w:val="single" w:color="000000" w:sz="4" w:space="0"/>
              <w:right w:val="single" w:color="000000" w:sz="4" w:space="0"/>
            </w:tcBorders>
            <w:tcW w:w="1554" w:type="dxa"/>
            <w:vAlign w:val="center"/>
            <w:textDirection w:val="lrTb"/>
            <w:noWrap w:val="false"/>
          </w:tcPr>
          <w:p>
            <w:pPr>
              <w:pStyle w:val="1063"/>
              <w:jc w:val="center"/>
              <w:spacing w:before="120" w:after="120"/>
              <w:widowControl w:val="off"/>
              <w:rPr>
                <w:sz w:val="20"/>
                <w:szCs w:val="20"/>
              </w:rPr>
            </w:pPr>
            <w:r>
              <w:rPr>
                <w:rFonts w:ascii="Arial Narrow" w:hAnsi="Arial Narrow" w:cs="Calibri"/>
                <w:bCs/>
                <w:color w:val="000000"/>
                <w:sz w:val="20"/>
                <w:szCs w:val="20"/>
              </w:rPr>
              <w:t xml:space="preserve">тыс. рублей</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459"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52"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r>
      <w:tr>
        <w:trPr>
          <w:trHeight w:val="50"/>
        </w:trPr>
        <w:tc>
          <w:tcPr>
            <w:tcBorders>
              <w:left w:val="single" w:color="000000" w:sz="4" w:space="0"/>
              <w:bottom w:val="single" w:color="000000" w:sz="4" w:space="0"/>
              <w:right w:val="single" w:color="000000" w:sz="4" w:space="0"/>
            </w:tcBorders>
            <w:tcW w:w="4719" w:type="dxa"/>
            <w:vAlign w:val="center"/>
            <w:textDirection w:val="lrTb"/>
            <w:noWrap w:val="false"/>
          </w:tcPr>
          <w:p>
            <w:pPr>
              <w:pStyle w:val="1063"/>
              <w:spacing w:before="120" w:after="120"/>
              <w:widowControl w:val="off"/>
              <w:rPr>
                <w:sz w:val="20"/>
                <w:szCs w:val="20"/>
              </w:rPr>
            </w:pPr>
            <w:r>
              <w:rPr>
                <w:rFonts w:ascii="Arial Narrow" w:hAnsi="Arial Narrow" w:cs="Calibri"/>
                <w:color w:val="000000"/>
                <w:sz w:val="20"/>
                <w:szCs w:val="20"/>
              </w:rPr>
              <w:t xml:space="preserve">Всего, в том числе:</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78" w:type="dxa"/>
            <w:vAlign w:val="center"/>
            <w:textDirection w:val="lrTb"/>
            <w:noWrap w:val="false"/>
          </w:tcPr>
          <w:p>
            <w:pPr>
              <w:pStyle w:val="1063"/>
              <w:jc w:val="center"/>
              <w:spacing w:before="120" w:after="120"/>
              <w:widowControl w:val="off"/>
              <w:rPr>
                <w:sz w:val="20"/>
                <w:szCs w:val="20"/>
              </w:rPr>
            </w:pPr>
            <w:r>
              <w:rPr>
                <w:rFonts w:ascii="Arial Narrow" w:hAnsi="Arial Narrow" w:cs="Calibri"/>
                <w:bCs/>
                <w:color w:val="000000"/>
                <w:sz w:val="20"/>
                <w:szCs w:val="20"/>
              </w:rPr>
              <w:t xml:space="preserve">1 390 459</w:t>
            </w:r>
            <w:r>
              <w:rPr>
                <w:sz w:val="20"/>
                <w:szCs w:val="20"/>
              </w:rPr>
            </w:r>
            <w:r>
              <w:rPr>
                <w:sz w:val="20"/>
                <w:szCs w:val="20"/>
              </w:rPr>
            </w:r>
          </w:p>
        </w:tc>
        <w:tc>
          <w:tcPr>
            <w:tcBorders>
              <w:top w:val="single" w:color="000000" w:sz="4" w:space="0"/>
              <w:bottom w:val="single" w:color="000000" w:sz="4" w:space="0"/>
              <w:right w:val="single" w:color="000000" w:sz="4" w:space="0"/>
            </w:tcBorders>
            <w:tcW w:w="1554" w:type="dxa"/>
            <w:vAlign w:val="center"/>
            <w:textDirection w:val="lrTb"/>
            <w:noWrap w:val="false"/>
          </w:tcPr>
          <w:p>
            <w:pPr>
              <w:pStyle w:val="1063"/>
              <w:jc w:val="center"/>
              <w:spacing w:before="120" w:after="120"/>
              <w:widowControl w:val="off"/>
              <w:rPr>
                <w:sz w:val="20"/>
                <w:szCs w:val="20"/>
              </w:rPr>
            </w:pPr>
            <w:r>
              <w:rPr>
                <w:rFonts w:ascii="Arial Narrow" w:hAnsi="Arial Narrow" w:cs="Calibri"/>
                <w:bCs/>
                <w:color w:val="000000"/>
                <w:sz w:val="20"/>
                <w:szCs w:val="20"/>
              </w:rPr>
              <w:t xml:space="preserve">7 236 927</w:t>
            </w:r>
            <w:r>
              <w:rPr>
                <w:sz w:val="20"/>
                <w:szCs w:val="20"/>
              </w:rPr>
            </w:r>
            <w:r>
              <w:rPr>
                <w:sz w:val="20"/>
                <w:szCs w:val="20"/>
              </w:rPr>
            </w:r>
          </w:p>
        </w:tc>
        <w:tc>
          <w:tcPr>
            <w:tcBorders>
              <w:top w:val="single" w:color="000000" w:sz="4" w:space="0"/>
              <w:bottom w:val="single" w:color="000000" w:sz="4" w:space="0"/>
              <w:right w:val="single" w:color="000000" w:sz="4" w:space="0"/>
            </w:tcBorders>
            <w:tcW w:w="1459" w:type="dxa"/>
            <w:vAlign w:val="center"/>
            <w:textDirection w:val="lrTb"/>
            <w:noWrap w:val="false"/>
          </w:tcPr>
          <w:p>
            <w:pPr>
              <w:pStyle w:val="1063"/>
              <w:jc w:val="center"/>
              <w:spacing w:before="120" w:after="120"/>
              <w:widowControl w:val="off"/>
              <w:rPr>
                <w:sz w:val="20"/>
                <w:szCs w:val="20"/>
              </w:rPr>
            </w:pPr>
            <w:r>
              <w:rPr>
                <w:rFonts w:ascii="Arial Narrow" w:hAnsi="Arial Narrow" w:cs="Calibri"/>
                <w:bCs/>
                <w:color w:val="000000"/>
                <w:sz w:val="20"/>
                <w:szCs w:val="20"/>
              </w:rPr>
              <w:t xml:space="preserve">7 138 225</w:t>
            </w:r>
            <w:r>
              <w:rPr>
                <w:sz w:val="20"/>
                <w:szCs w:val="20"/>
              </w:rPr>
            </w:r>
            <w:r>
              <w:rPr>
                <w:sz w:val="20"/>
                <w:szCs w:val="20"/>
              </w:rPr>
            </w:r>
          </w:p>
        </w:tc>
        <w:tc>
          <w:tcPr>
            <w:tcBorders>
              <w:top w:val="single" w:color="000000" w:sz="4" w:space="0"/>
              <w:bottom w:val="single" w:color="000000" w:sz="4" w:space="0"/>
              <w:right w:val="single" w:color="000000" w:sz="4" w:space="0"/>
            </w:tcBorders>
            <w:tcW w:w="952" w:type="dxa"/>
            <w:vAlign w:val="center"/>
            <w:textDirection w:val="lrTb"/>
            <w:noWrap w:val="false"/>
          </w:tcPr>
          <w:p>
            <w:pPr>
              <w:pStyle w:val="1063"/>
              <w:jc w:val="center"/>
              <w:spacing w:before="120" w:after="120"/>
              <w:widowControl w:val="off"/>
              <w:rPr>
                <w:sz w:val="20"/>
                <w:szCs w:val="20"/>
              </w:rPr>
            </w:pPr>
            <w:r>
              <w:rPr>
                <w:rFonts w:ascii="Arial Narrow" w:hAnsi="Arial Narrow" w:cs="Calibri"/>
                <w:bCs/>
                <w:color w:val="000000"/>
                <w:sz w:val="20"/>
                <w:szCs w:val="20"/>
              </w:rPr>
              <w:t xml:space="preserve">98,6</w:t>
            </w:r>
            <w:r>
              <w:rPr>
                <w:sz w:val="20"/>
                <w:szCs w:val="20"/>
              </w:rPr>
            </w:r>
            <w:r>
              <w:rPr>
                <w:sz w:val="20"/>
                <w:szCs w:val="20"/>
              </w:rPr>
            </w:r>
          </w:p>
        </w:tc>
      </w:tr>
      <w:tr>
        <w:trPr>
          <w:trHeight w:val="50"/>
        </w:trPr>
        <w:tc>
          <w:tcPr>
            <w:tcBorders>
              <w:left w:val="single" w:color="000000" w:sz="4" w:space="0"/>
              <w:bottom w:val="single" w:color="000000" w:sz="4" w:space="0"/>
              <w:right w:val="single" w:color="000000" w:sz="4" w:space="0"/>
            </w:tcBorders>
            <w:tcW w:w="4719" w:type="dxa"/>
            <w:vAlign w:val="bottom"/>
            <w:textDirection w:val="lrTb"/>
            <w:noWrap w:val="false"/>
          </w:tcPr>
          <w:p>
            <w:pPr>
              <w:pStyle w:val="1063"/>
              <w:spacing w:before="120" w:after="120"/>
              <w:widowControl w:val="off"/>
              <w:rPr>
                <w:sz w:val="20"/>
                <w:szCs w:val="20"/>
              </w:rPr>
            </w:pPr>
            <w:r>
              <w:rPr>
                <w:rFonts w:ascii="Arial Narrow" w:hAnsi="Arial Narrow" w:cs="Calibri"/>
                <w:color w:val="000000"/>
                <w:sz w:val="20"/>
                <w:szCs w:val="20"/>
              </w:rPr>
              <w:t xml:space="preserve">Промышленность</w:t>
            </w:r>
            <w:r>
              <w:rPr>
                <w:sz w:val="20"/>
                <w:szCs w:val="20"/>
              </w:rPr>
            </w:r>
            <w:r>
              <w:rPr>
                <w:sz w:val="20"/>
                <w:szCs w:val="20"/>
              </w:rPr>
            </w:r>
          </w:p>
        </w:tc>
        <w:tc>
          <w:tcPr>
            <w:tcBorders>
              <w:top w:val="single" w:color="000000" w:sz="4" w:space="0"/>
              <w:bottom w:val="single" w:color="000000" w:sz="4" w:space="0"/>
              <w:right w:val="single" w:color="000000" w:sz="4" w:space="0"/>
            </w:tcBorders>
            <w:tcW w:w="1278"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11 165</w:t>
            </w:r>
            <w:r>
              <w:rPr>
                <w:sz w:val="20"/>
                <w:szCs w:val="20"/>
              </w:rPr>
            </w:r>
            <w:r>
              <w:rPr>
                <w:sz w:val="20"/>
                <w:szCs w:val="20"/>
              </w:rPr>
            </w:r>
          </w:p>
        </w:tc>
        <w:tc>
          <w:tcPr>
            <w:tcBorders>
              <w:bottom w:val="single" w:color="000000" w:sz="4" w:space="0"/>
              <w:right w:val="single" w:color="000000" w:sz="4" w:space="0"/>
            </w:tcBorders>
            <w:tcW w:w="1554"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100 789</w:t>
            </w:r>
            <w:r>
              <w:rPr>
                <w:sz w:val="20"/>
                <w:szCs w:val="20"/>
              </w:rPr>
            </w:r>
            <w:r>
              <w:rPr>
                <w:sz w:val="20"/>
                <w:szCs w:val="20"/>
              </w:rPr>
            </w:r>
          </w:p>
        </w:tc>
        <w:tc>
          <w:tcPr>
            <w:tcBorders>
              <w:bottom w:val="single" w:color="000000" w:sz="4" w:space="0"/>
              <w:right w:val="single" w:color="000000" w:sz="4" w:space="0"/>
            </w:tcBorders>
            <w:tcW w:w="1459"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105 681</w:t>
            </w:r>
            <w:r>
              <w:rPr>
                <w:sz w:val="20"/>
                <w:szCs w:val="20"/>
              </w:rPr>
            </w:r>
            <w:r>
              <w:rPr>
                <w:sz w:val="20"/>
                <w:szCs w:val="20"/>
              </w:rPr>
            </w:r>
          </w:p>
        </w:tc>
        <w:tc>
          <w:tcPr>
            <w:tcBorders>
              <w:bottom w:val="single" w:color="000000" w:sz="4" w:space="0"/>
              <w:right w:val="single" w:color="000000" w:sz="4" w:space="0"/>
            </w:tcBorders>
            <w:tcW w:w="952"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104,9</w:t>
            </w:r>
            <w:r>
              <w:rPr>
                <w:sz w:val="20"/>
                <w:szCs w:val="20"/>
              </w:rPr>
            </w:r>
            <w:r>
              <w:rPr>
                <w:sz w:val="20"/>
                <w:szCs w:val="20"/>
              </w:rPr>
            </w:r>
          </w:p>
        </w:tc>
      </w:tr>
      <w:tr>
        <w:trPr>
          <w:trHeight w:val="50"/>
        </w:trPr>
        <w:tc>
          <w:tcPr>
            <w:tcBorders>
              <w:left w:val="single" w:color="000000" w:sz="4" w:space="0"/>
              <w:bottom w:val="single" w:color="000000" w:sz="4" w:space="0"/>
              <w:right w:val="single" w:color="000000" w:sz="4" w:space="0"/>
            </w:tcBorders>
            <w:tcW w:w="4719" w:type="dxa"/>
            <w:vAlign w:val="bottom"/>
            <w:textDirection w:val="lrTb"/>
            <w:noWrap w:val="false"/>
          </w:tcPr>
          <w:p>
            <w:pPr>
              <w:pStyle w:val="1063"/>
              <w:spacing w:before="120" w:after="120"/>
              <w:widowControl w:val="off"/>
              <w:rPr>
                <w:sz w:val="20"/>
                <w:szCs w:val="20"/>
              </w:rPr>
            </w:pPr>
            <w:r>
              <w:rPr>
                <w:rFonts w:ascii="Arial Narrow" w:hAnsi="Arial Narrow" w:cs="Calibri"/>
                <w:color w:val="000000"/>
                <w:sz w:val="20"/>
                <w:szCs w:val="20"/>
              </w:rPr>
              <w:t xml:space="preserve">Сельское хозяйство</w:t>
            </w:r>
            <w:r>
              <w:rPr>
                <w:sz w:val="20"/>
                <w:szCs w:val="20"/>
              </w:rPr>
            </w:r>
            <w:r>
              <w:rPr>
                <w:sz w:val="20"/>
                <w:szCs w:val="20"/>
              </w:rPr>
            </w:r>
          </w:p>
        </w:tc>
        <w:tc>
          <w:tcPr>
            <w:tcBorders>
              <w:top w:val="single" w:color="000000" w:sz="4" w:space="0"/>
              <w:bottom w:val="single" w:color="000000" w:sz="4" w:space="0"/>
              <w:right w:val="single" w:color="000000" w:sz="4" w:space="0"/>
            </w:tcBorders>
            <w:tcW w:w="1278"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262</w:t>
            </w:r>
            <w:r>
              <w:rPr>
                <w:sz w:val="20"/>
                <w:szCs w:val="20"/>
              </w:rPr>
            </w:r>
            <w:r>
              <w:rPr>
                <w:sz w:val="20"/>
                <w:szCs w:val="20"/>
              </w:rPr>
            </w:r>
          </w:p>
        </w:tc>
        <w:tc>
          <w:tcPr>
            <w:tcBorders>
              <w:bottom w:val="single" w:color="000000" w:sz="4" w:space="0"/>
              <w:right w:val="single" w:color="000000" w:sz="4" w:space="0"/>
            </w:tcBorders>
            <w:tcW w:w="1554"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3 631</w:t>
            </w:r>
            <w:r>
              <w:rPr>
                <w:sz w:val="20"/>
                <w:szCs w:val="20"/>
              </w:rPr>
            </w:r>
            <w:r>
              <w:rPr>
                <w:sz w:val="20"/>
                <w:szCs w:val="20"/>
              </w:rPr>
            </w:r>
          </w:p>
        </w:tc>
        <w:tc>
          <w:tcPr>
            <w:tcBorders>
              <w:bottom w:val="single" w:color="000000" w:sz="4" w:space="0"/>
              <w:right w:val="single" w:color="000000" w:sz="4" w:space="0"/>
            </w:tcBorders>
            <w:tcW w:w="1459"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4 213</w:t>
            </w:r>
            <w:r>
              <w:rPr>
                <w:sz w:val="20"/>
                <w:szCs w:val="20"/>
              </w:rPr>
            </w:r>
            <w:r>
              <w:rPr>
                <w:sz w:val="20"/>
                <w:szCs w:val="20"/>
              </w:rPr>
            </w:r>
          </w:p>
        </w:tc>
        <w:tc>
          <w:tcPr>
            <w:tcBorders>
              <w:bottom w:val="single" w:color="000000" w:sz="4" w:space="0"/>
              <w:right w:val="single" w:color="000000" w:sz="4" w:space="0"/>
            </w:tcBorders>
            <w:tcW w:w="952"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116,0</w:t>
            </w:r>
            <w:r>
              <w:rPr>
                <w:sz w:val="20"/>
                <w:szCs w:val="20"/>
              </w:rPr>
            </w:r>
            <w:r>
              <w:rPr>
                <w:sz w:val="20"/>
                <w:szCs w:val="20"/>
              </w:rPr>
            </w:r>
          </w:p>
        </w:tc>
      </w:tr>
      <w:tr>
        <w:trPr>
          <w:trHeight w:val="50"/>
        </w:trPr>
        <w:tc>
          <w:tcPr>
            <w:tcBorders>
              <w:left w:val="single" w:color="000000" w:sz="4" w:space="0"/>
              <w:bottom w:val="single" w:color="000000" w:sz="4" w:space="0"/>
              <w:right w:val="single" w:color="000000" w:sz="4" w:space="0"/>
            </w:tcBorders>
            <w:tcW w:w="4719" w:type="dxa"/>
            <w:vAlign w:val="bottom"/>
            <w:textDirection w:val="lrTb"/>
            <w:noWrap w:val="false"/>
          </w:tcPr>
          <w:p>
            <w:pPr>
              <w:pStyle w:val="1063"/>
              <w:spacing w:before="120" w:after="120"/>
              <w:widowControl w:val="off"/>
              <w:rPr>
                <w:sz w:val="20"/>
                <w:szCs w:val="20"/>
              </w:rPr>
            </w:pPr>
            <w:r>
              <w:rPr>
                <w:rFonts w:ascii="Arial Narrow" w:hAnsi="Arial Narrow" w:cs="Calibri"/>
                <w:color w:val="000000"/>
                <w:sz w:val="20"/>
                <w:szCs w:val="20"/>
              </w:rPr>
              <w:t xml:space="preserve">Предприятия, финансируемые из федерального бюджета</w:t>
            </w:r>
            <w:r>
              <w:rPr>
                <w:sz w:val="20"/>
                <w:szCs w:val="20"/>
              </w:rPr>
            </w:r>
            <w:r>
              <w:rPr>
                <w:sz w:val="20"/>
                <w:szCs w:val="20"/>
              </w:rPr>
            </w:r>
          </w:p>
        </w:tc>
        <w:tc>
          <w:tcPr>
            <w:tcBorders>
              <w:top w:val="single" w:color="000000" w:sz="4" w:space="0"/>
              <w:bottom w:val="single" w:color="000000" w:sz="4" w:space="0"/>
              <w:right w:val="single" w:color="000000" w:sz="4" w:space="0"/>
            </w:tcBorders>
            <w:tcW w:w="1278"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63 078</w:t>
            </w:r>
            <w:r>
              <w:rPr>
                <w:sz w:val="20"/>
                <w:szCs w:val="20"/>
              </w:rPr>
            </w:r>
            <w:r>
              <w:rPr>
                <w:sz w:val="20"/>
                <w:szCs w:val="20"/>
              </w:rPr>
            </w:r>
          </w:p>
        </w:tc>
        <w:tc>
          <w:tcPr>
            <w:tcBorders>
              <w:bottom w:val="single" w:color="000000" w:sz="4" w:space="0"/>
              <w:right w:val="single" w:color="000000" w:sz="4" w:space="0"/>
            </w:tcBorders>
            <w:tcW w:w="1554"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681 960</w:t>
            </w:r>
            <w:r>
              <w:rPr>
                <w:sz w:val="20"/>
                <w:szCs w:val="20"/>
              </w:rPr>
            </w:r>
            <w:r>
              <w:rPr>
                <w:sz w:val="20"/>
                <w:szCs w:val="20"/>
              </w:rPr>
            </w:r>
          </w:p>
        </w:tc>
        <w:tc>
          <w:tcPr>
            <w:tcBorders>
              <w:bottom w:val="single" w:color="000000" w:sz="4" w:space="0"/>
              <w:right w:val="single" w:color="000000" w:sz="4" w:space="0"/>
            </w:tcBorders>
            <w:tcW w:w="1459"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683 271</w:t>
            </w:r>
            <w:r>
              <w:rPr>
                <w:sz w:val="20"/>
                <w:szCs w:val="20"/>
              </w:rPr>
            </w:r>
            <w:r>
              <w:rPr>
                <w:sz w:val="20"/>
                <w:szCs w:val="20"/>
              </w:rPr>
            </w:r>
          </w:p>
        </w:tc>
        <w:tc>
          <w:tcPr>
            <w:tcBorders>
              <w:bottom w:val="single" w:color="000000" w:sz="4" w:space="0"/>
              <w:right w:val="single" w:color="000000" w:sz="4" w:space="0"/>
            </w:tcBorders>
            <w:tcW w:w="952"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100,2</w:t>
            </w:r>
            <w:r>
              <w:rPr>
                <w:sz w:val="20"/>
                <w:szCs w:val="20"/>
              </w:rPr>
            </w:r>
            <w:r>
              <w:rPr>
                <w:sz w:val="20"/>
                <w:szCs w:val="20"/>
              </w:rPr>
            </w:r>
          </w:p>
        </w:tc>
      </w:tr>
      <w:tr>
        <w:trPr>
          <w:trHeight w:val="50"/>
        </w:trPr>
        <w:tc>
          <w:tcPr>
            <w:tcBorders>
              <w:left w:val="single" w:color="000000" w:sz="4" w:space="0"/>
              <w:bottom w:val="single" w:color="000000" w:sz="4" w:space="0"/>
              <w:right w:val="single" w:color="000000" w:sz="4" w:space="0"/>
            </w:tcBorders>
            <w:tcW w:w="4719" w:type="dxa"/>
            <w:vAlign w:val="bottom"/>
            <w:textDirection w:val="lrTb"/>
            <w:noWrap w:val="false"/>
          </w:tcPr>
          <w:p>
            <w:pPr>
              <w:pStyle w:val="1063"/>
              <w:spacing w:before="120" w:after="120"/>
              <w:widowControl w:val="off"/>
              <w:rPr>
                <w:sz w:val="20"/>
                <w:szCs w:val="20"/>
              </w:rPr>
            </w:pPr>
            <w:r>
              <w:rPr>
                <w:rFonts w:ascii="Arial Narrow" w:hAnsi="Arial Narrow" w:cs="Calibri"/>
                <w:color w:val="000000"/>
                <w:sz w:val="20"/>
                <w:szCs w:val="20"/>
              </w:rPr>
              <w:t xml:space="preserve">Предприятия, финансируемые из местного бюджета</w:t>
            </w:r>
            <w:r>
              <w:rPr>
                <w:sz w:val="20"/>
                <w:szCs w:val="20"/>
              </w:rPr>
            </w:r>
            <w:r>
              <w:rPr>
                <w:sz w:val="20"/>
                <w:szCs w:val="20"/>
              </w:rPr>
            </w:r>
          </w:p>
        </w:tc>
        <w:tc>
          <w:tcPr>
            <w:tcBorders>
              <w:top w:val="single" w:color="000000" w:sz="4" w:space="0"/>
              <w:bottom w:val="single" w:color="000000" w:sz="4" w:space="0"/>
              <w:right w:val="single" w:color="000000" w:sz="4" w:space="0"/>
            </w:tcBorders>
            <w:tcW w:w="1278"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140 251</w:t>
            </w:r>
            <w:r>
              <w:rPr>
                <w:sz w:val="20"/>
                <w:szCs w:val="20"/>
              </w:rPr>
            </w:r>
            <w:r>
              <w:rPr>
                <w:sz w:val="20"/>
                <w:szCs w:val="20"/>
              </w:rPr>
            </w:r>
          </w:p>
        </w:tc>
        <w:tc>
          <w:tcPr>
            <w:tcBorders>
              <w:bottom w:val="single" w:color="000000" w:sz="4" w:space="0"/>
              <w:right w:val="single" w:color="000000" w:sz="4" w:space="0"/>
            </w:tcBorders>
            <w:tcW w:w="1554"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1 621 683</w:t>
            </w:r>
            <w:r>
              <w:rPr>
                <w:sz w:val="20"/>
                <w:szCs w:val="20"/>
              </w:rPr>
            </w:r>
            <w:r>
              <w:rPr>
                <w:sz w:val="20"/>
                <w:szCs w:val="20"/>
              </w:rPr>
            </w:r>
          </w:p>
        </w:tc>
        <w:tc>
          <w:tcPr>
            <w:tcBorders>
              <w:bottom w:val="single" w:color="000000" w:sz="4" w:space="0"/>
              <w:right w:val="single" w:color="000000" w:sz="4" w:space="0"/>
            </w:tcBorders>
            <w:tcW w:w="1459"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1 596 931</w:t>
            </w:r>
            <w:r>
              <w:rPr>
                <w:sz w:val="20"/>
                <w:szCs w:val="20"/>
              </w:rPr>
            </w:r>
            <w:r>
              <w:rPr>
                <w:sz w:val="20"/>
                <w:szCs w:val="20"/>
              </w:rPr>
            </w:r>
          </w:p>
        </w:tc>
        <w:tc>
          <w:tcPr>
            <w:tcBorders>
              <w:bottom w:val="single" w:color="000000" w:sz="4" w:space="0"/>
              <w:right w:val="single" w:color="000000" w:sz="4" w:space="0"/>
            </w:tcBorders>
            <w:tcW w:w="952"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98,5</w:t>
            </w:r>
            <w:r>
              <w:rPr>
                <w:sz w:val="20"/>
                <w:szCs w:val="20"/>
              </w:rPr>
            </w:r>
            <w:r>
              <w:rPr>
                <w:sz w:val="20"/>
                <w:szCs w:val="20"/>
              </w:rPr>
            </w:r>
          </w:p>
        </w:tc>
      </w:tr>
      <w:tr>
        <w:trPr>
          <w:trHeight w:val="50"/>
        </w:trPr>
        <w:tc>
          <w:tcPr>
            <w:tcBorders>
              <w:left w:val="single" w:color="000000" w:sz="4" w:space="0"/>
              <w:bottom w:val="single" w:color="000000" w:sz="4" w:space="0"/>
              <w:right w:val="single" w:color="000000" w:sz="4" w:space="0"/>
            </w:tcBorders>
            <w:tcW w:w="4719" w:type="dxa"/>
            <w:vAlign w:val="bottom"/>
            <w:textDirection w:val="lrTb"/>
            <w:noWrap w:val="false"/>
          </w:tcPr>
          <w:p>
            <w:pPr>
              <w:pStyle w:val="1063"/>
              <w:spacing w:before="120" w:after="120"/>
              <w:widowControl w:val="off"/>
              <w:rPr>
                <w:sz w:val="20"/>
                <w:szCs w:val="20"/>
              </w:rPr>
            </w:pPr>
            <w:r>
              <w:rPr>
                <w:rFonts w:ascii="Arial Narrow" w:hAnsi="Arial Narrow" w:cs="Calibri"/>
                <w:color w:val="000000"/>
                <w:sz w:val="20"/>
                <w:szCs w:val="20"/>
              </w:rPr>
              <w:t xml:space="preserve">ТСЖ, ЖСК, Управляющие компании</w:t>
            </w:r>
            <w:r>
              <w:rPr>
                <w:sz w:val="20"/>
                <w:szCs w:val="20"/>
              </w:rPr>
            </w:r>
            <w:r>
              <w:rPr>
                <w:sz w:val="20"/>
                <w:szCs w:val="20"/>
              </w:rPr>
            </w:r>
          </w:p>
        </w:tc>
        <w:tc>
          <w:tcPr>
            <w:tcBorders>
              <w:top w:val="single" w:color="000000" w:sz="4" w:space="0"/>
              <w:bottom w:val="single" w:color="000000" w:sz="4" w:space="0"/>
              <w:right w:val="single" w:color="000000" w:sz="4" w:space="0"/>
            </w:tcBorders>
            <w:tcW w:w="1278"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59 578</w:t>
            </w:r>
            <w:r>
              <w:rPr>
                <w:sz w:val="20"/>
                <w:szCs w:val="20"/>
              </w:rPr>
            </w:r>
            <w:r>
              <w:rPr>
                <w:sz w:val="20"/>
                <w:szCs w:val="20"/>
              </w:rPr>
            </w:r>
          </w:p>
        </w:tc>
        <w:tc>
          <w:tcPr>
            <w:tcBorders>
              <w:bottom w:val="single" w:color="000000" w:sz="4" w:space="0"/>
              <w:right w:val="single" w:color="000000" w:sz="4" w:space="0"/>
            </w:tcBorders>
            <w:tcW w:w="1554"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222 038</w:t>
            </w:r>
            <w:r>
              <w:rPr>
                <w:sz w:val="20"/>
                <w:szCs w:val="20"/>
              </w:rPr>
            </w:r>
            <w:r>
              <w:rPr>
                <w:sz w:val="20"/>
                <w:szCs w:val="20"/>
              </w:rPr>
            </w:r>
          </w:p>
        </w:tc>
        <w:tc>
          <w:tcPr>
            <w:tcBorders>
              <w:bottom w:val="single" w:color="000000" w:sz="4" w:space="0"/>
              <w:right w:val="single" w:color="000000" w:sz="4" w:space="0"/>
            </w:tcBorders>
            <w:tcW w:w="1459"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212 329</w:t>
            </w:r>
            <w:r>
              <w:rPr>
                <w:sz w:val="20"/>
                <w:szCs w:val="20"/>
              </w:rPr>
            </w:r>
            <w:r>
              <w:rPr>
                <w:sz w:val="20"/>
                <w:szCs w:val="20"/>
              </w:rPr>
            </w:r>
          </w:p>
        </w:tc>
        <w:tc>
          <w:tcPr>
            <w:tcBorders>
              <w:bottom w:val="single" w:color="000000" w:sz="4" w:space="0"/>
              <w:right w:val="single" w:color="000000" w:sz="4" w:space="0"/>
            </w:tcBorders>
            <w:tcW w:w="952"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95,6</w:t>
            </w:r>
            <w:r>
              <w:rPr>
                <w:sz w:val="20"/>
                <w:szCs w:val="20"/>
              </w:rPr>
            </w:r>
            <w:r>
              <w:rPr>
                <w:sz w:val="20"/>
                <w:szCs w:val="20"/>
              </w:rPr>
            </w:r>
          </w:p>
        </w:tc>
      </w:tr>
      <w:tr>
        <w:trPr>
          <w:trHeight w:val="50"/>
        </w:trPr>
        <w:tc>
          <w:tcPr>
            <w:tcBorders>
              <w:left w:val="single" w:color="000000" w:sz="4" w:space="0"/>
              <w:bottom w:val="single" w:color="000000" w:sz="4" w:space="0"/>
              <w:right w:val="single" w:color="000000" w:sz="4" w:space="0"/>
            </w:tcBorders>
            <w:tcW w:w="4719" w:type="dxa"/>
            <w:vAlign w:val="bottom"/>
            <w:textDirection w:val="lrTb"/>
            <w:noWrap w:val="false"/>
          </w:tcPr>
          <w:p>
            <w:pPr>
              <w:pStyle w:val="1063"/>
              <w:spacing w:before="120" w:after="120"/>
              <w:widowControl w:val="off"/>
              <w:rPr>
                <w:sz w:val="20"/>
                <w:szCs w:val="20"/>
              </w:rPr>
            </w:pPr>
            <w:r>
              <w:rPr>
                <w:rFonts w:ascii="Arial Narrow" w:hAnsi="Arial Narrow" w:cs="Calibri"/>
                <w:color w:val="000000"/>
                <w:sz w:val="20"/>
                <w:szCs w:val="20"/>
              </w:rPr>
              <w:t xml:space="preserve">Население на прямых расчетах</w:t>
            </w:r>
            <w:r>
              <w:rPr>
                <w:sz w:val="20"/>
                <w:szCs w:val="20"/>
              </w:rPr>
            </w:r>
            <w:r>
              <w:rPr>
                <w:sz w:val="20"/>
                <w:szCs w:val="20"/>
              </w:rPr>
            </w:r>
          </w:p>
        </w:tc>
        <w:tc>
          <w:tcPr>
            <w:tcBorders>
              <w:top w:val="single" w:color="000000" w:sz="4" w:space="0"/>
              <w:bottom w:val="single" w:color="000000" w:sz="4" w:space="0"/>
              <w:right w:val="single" w:color="000000" w:sz="4" w:space="0"/>
            </w:tcBorders>
            <w:tcW w:w="1278"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1 020 770</w:t>
            </w:r>
            <w:r>
              <w:rPr>
                <w:sz w:val="20"/>
                <w:szCs w:val="20"/>
              </w:rPr>
            </w:r>
            <w:r>
              <w:rPr>
                <w:sz w:val="20"/>
                <w:szCs w:val="20"/>
              </w:rPr>
            </w:r>
          </w:p>
        </w:tc>
        <w:tc>
          <w:tcPr>
            <w:tcBorders>
              <w:bottom w:val="single" w:color="000000" w:sz="4" w:space="0"/>
              <w:right w:val="single" w:color="000000" w:sz="4" w:space="0"/>
            </w:tcBorders>
            <w:tcW w:w="1554"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3 707 636</w:t>
            </w:r>
            <w:r>
              <w:rPr>
                <w:sz w:val="20"/>
                <w:szCs w:val="20"/>
              </w:rPr>
            </w:r>
            <w:r>
              <w:rPr>
                <w:sz w:val="20"/>
                <w:szCs w:val="20"/>
              </w:rPr>
            </w:r>
          </w:p>
        </w:tc>
        <w:tc>
          <w:tcPr>
            <w:tcBorders>
              <w:bottom w:val="single" w:color="000000" w:sz="4" w:space="0"/>
              <w:right w:val="single" w:color="000000" w:sz="4" w:space="0"/>
            </w:tcBorders>
            <w:tcW w:w="1459"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3 662 353</w:t>
            </w:r>
            <w:r>
              <w:rPr>
                <w:sz w:val="20"/>
                <w:szCs w:val="20"/>
              </w:rPr>
            </w:r>
            <w:r>
              <w:rPr>
                <w:sz w:val="20"/>
                <w:szCs w:val="20"/>
              </w:rPr>
            </w:r>
          </w:p>
        </w:tc>
        <w:tc>
          <w:tcPr>
            <w:tcBorders>
              <w:bottom w:val="single" w:color="000000" w:sz="4" w:space="0"/>
              <w:right w:val="single" w:color="000000" w:sz="4" w:space="0"/>
            </w:tcBorders>
            <w:tcW w:w="952"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98,8</w:t>
            </w:r>
            <w:r>
              <w:rPr>
                <w:sz w:val="20"/>
                <w:szCs w:val="20"/>
              </w:rPr>
            </w:r>
            <w:r>
              <w:rPr>
                <w:sz w:val="20"/>
                <w:szCs w:val="20"/>
              </w:rPr>
            </w:r>
          </w:p>
        </w:tc>
      </w:tr>
      <w:tr>
        <w:trPr>
          <w:trHeight w:val="50"/>
        </w:trPr>
        <w:tc>
          <w:tcPr>
            <w:tcBorders>
              <w:left w:val="single" w:color="000000" w:sz="4" w:space="0"/>
              <w:bottom w:val="single" w:color="000000" w:sz="4" w:space="0"/>
              <w:right w:val="single" w:color="000000" w:sz="4" w:space="0"/>
            </w:tcBorders>
            <w:tcW w:w="4719" w:type="dxa"/>
            <w:vAlign w:val="bottom"/>
            <w:textDirection w:val="lrTb"/>
            <w:noWrap w:val="false"/>
          </w:tcPr>
          <w:p>
            <w:pPr>
              <w:pStyle w:val="1063"/>
              <w:spacing w:before="120" w:after="120"/>
              <w:widowControl w:val="off"/>
              <w:rPr>
                <w:sz w:val="20"/>
                <w:szCs w:val="20"/>
              </w:rPr>
            </w:pPr>
            <w:r>
              <w:rPr>
                <w:rFonts w:ascii="Arial Narrow" w:hAnsi="Arial Narrow" w:cs="Calibri"/>
                <w:color w:val="000000"/>
                <w:sz w:val="20"/>
                <w:szCs w:val="20"/>
              </w:rPr>
              <w:t xml:space="preserve">ОПП</w:t>
            </w:r>
            <w:r>
              <w:rPr>
                <w:sz w:val="20"/>
                <w:szCs w:val="20"/>
              </w:rPr>
            </w:r>
            <w:r>
              <w:rPr>
                <w:sz w:val="20"/>
                <w:szCs w:val="20"/>
              </w:rPr>
            </w:r>
          </w:p>
        </w:tc>
        <w:tc>
          <w:tcPr>
            <w:tcBorders>
              <w:top w:val="single" w:color="000000" w:sz="4" w:space="0"/>
              <w:bottom w:val="single" w:color="000000" w:sz="4" w:space="0"/>
              <w:right w:val="single" w:color="000000" w:sz="4" w:space="0"/>
            </w:tcBorders>
            <w:tcW w:w="1278"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18 697</w:t>
            </w:r>
            <w:r>
              <w:rPr>
                <w:sz w:val="20"/>
                <w:szCs w:val="20"/>
              </w:rPr>
            </w:r>
            <w:r>
              <w:rPr>
                <w:sz w:val="20"/>
                <w:szCs w:val="20"/>
              </w:rPr>
            </w:r>
          </w:p>
        </w:tc>
        <w:tc>
          <w:tcPr>
            <w:tcBorders>
              <w:bottom w:val="single" w:color="000000" w:sz="4" w:space="0"/>
              <w:right w:val="single" w:color="000000" w:sz="4" w:space="0"/>
            </w:tcBorders>
            <w:tcW w:w="1554"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129 662</w:t>
            </w:r>
            <w:r>
              <w:rPr>
                <w:sz w:val="20"/>
                <w:szCs w:val="20"/>
              </w:rPr>
            </w:r>
            <w:r>
              <w:rPr>
                <w:sz w:val="20"/>
                <w:szCs w:val="20"/>
              </w:rPr>
            </w:r>
          </w:p>
        </w:tc>
        <w:tc>
          <w:tcPr>
            <w:tcBorders>
              <w:bottom w:val="single" w:color="000000" w:sz="4" w:space="0"/>
              <w:right w:val="single" w:color="000000" w:sz="4" w:space="0"/>
            </w:tcBorders>
            <w:tcW w:w="1459"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127 158</w:t>
            </w:r>
            <w:r>
              <w:rPr>
                <w:sz w:val="20"/>
                <w:szCs w:val="20"/>
              </w:rPr>
            </w:r>
            <w:r>
              <w:rPr>
                <w:sz w:val="20"/>
                <w:szCs w:val="20"/>
              </w:rPr>
            </w:r>
          </w:p>
        </w:tc>
        <w:tc>
          <w:tcPr>
            <w:tcBorders>
              <w:bottom w:val="single" w:color="000000" w:sz="4" w:space="0"/>
              <w:right w:val="single" w:color="000000" w:sz="4" w:space="0"/>
            </w:tcBorders>
            <w:tcW w:w="952"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98,1</w:t>
            </w:r>
            <w:r>
              <w:rPr>
                <w:sz w:val="20"/>
                <w:szCs w:val="20"/>
              </w:rPr>
            </w:r>
            <w:r>
              <w:rPr>
                <w:sz w:val="20"/>
                <w:szCs w:val="20"/>
              </w:rPr>
            </w:r>
          </w:p>
        </w:tc>
      </w:tr>
      <w:tr>
        <w:trPr>
          <w:trHeight w:val="50"/>
        </w:trPr>
        <w:tc>
          <w:tcPr>
            <w:tcBorders>
              <w:left w:val="single" w:color="000000" w:sz="4" w:space="0"/>
              <w:bottom w:val="single" w:color="000000" w:sz="4" w:space="0"/>
              <w:right w:val="single" w:color="000000" w:sz="4" w:space="0"/>
            </w:tcBorders>
            <w:tcW w:w="4719" w:type="dxa"/>
            <w:vAlign w:val="bottom"/>
            <w:textDirection w:val="lrTb"/>
            <w:noWrap w:val="false"/>
          </w:tcPr>
          <w:p>
            <w:pPr>
              <w:pStyle w:val="1063"/>
              <w:spacing w:before="120" w:after="120"/>
              <w:widowControl w:val="off"/>
              <w:rPr>
                <w:sz w:val="20"/>
                <w:szCs w:val="20"/>
              </w:rPr>
            </w:pPr>
            <w:r>
              <w:rPr>
                <w:rFonts w:ascii="Arial Narrow" w:hAnsi="Arial Narrow" w:cs="Calibri"/>
                <w:color w:val="000000"/>
                <w:sz w:val="20"/>
                <w:szCs w:val="20"/>
              </w:rPr>
              <w:t xml:space="preserve">Прочие</w:t>
            </w:r>
            <w:r>
              <w:rPr>
                <w:sz w:val="20"/>
                <w:szCs w:val="20"/>
              </w:rPr>
            </w:r>
            <w:r>
              <w:rPr>
                <w:sz w:val="20"/>
                <w:szCs w:val="20"/>
              </w:rPr>
            </w:r>
          </w:p>
        </w:tc>
        <w:tc>
          <w:tcPr>
            <w:tcBorders>
              <w:left w:val="single" w:color="000000" w:sz="4" w:space="0"/>
              <w:bottom w:val="single" w:color="000000" w:sz="4" w:space="0"/>
              <w:right w:val="single" w:color="000000" w:sz="4" w:space="0"/>
            </w:tcBorders>
            <w:tcW w:w="1278"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76 658</w:t>
            </w:r>
            <w:r>
              <w:rPr>
                <w:sz w:val="20"/>
                <w:szCs w:val="20"/>
              </w:rPr>
            </w:r>
            <w:r>
              <w:rPr>
                <w:sz w:val="20"/>
                <w:szCs w:val="20"/>
              </w:rPr>
            </w:r>
          </w:p>
        </w:tc>
        <w:tc>
          <w:tcPr>
            <w:tcBorders>
              <w:bottom w:val="single" w:color="000000" w:sz="4" w:space="0"/>
              <w:right w:val="single" w:color="000000" w:sz="4" w:space="0"/>
            </w:tcBorders>
            <w:tcW w:w="1554"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769 528</w:t>
            </w:r>
            <w:r>
              <w:rPr>
                <w:sz w:val="20"/>
                <w:szCs w:val="20"/>
              </w:rPr>
            </w:r>
            <w:r>
              <w:rPr>
                <w:sz w:val="20"/>
                <w:szCs w:val="20"/>
              </w:rPr>
            </w:r>
          </w:p>
        </w:tc>
        <w:tc>
          <w:tcPr>
            <w:tcBorders>
              <w:bottom w:val="single" w:color="000000" w:sz="4" w:space="0"/>
              <w:right w:val="single" w:color="000000" w:sz="4" w:space="0"/>
            </w:tcBorders>
            <w:tcW w:w="1459"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746 289</w:t>
            </w:r>
            <w:r>
              <w:rPr>
                <w:sz w:val="20"/>
                <w:szCs w:val="20"/>
              </w:rPr>
            </w:r>
            <w:r>
              <w:rPr>
                <w:sz w:val="20"/>
                <w:szCs w:val="20"/>
              </w:rPr>
            </w:r>
          </w:p>
        </w:tc>
        <w:tc>
          <w:tcPr>
            <w:tcBorders>
              <w:bottom w:val="single" w:color="000000" w:sz="4" w:space="0"/>
              <w:right w:val="single" w:color="000000" w:sz="4" w:space="0"/>
            </w:tcBorders>
            <w:tcW w:w="952" w:type="dxa"/>
            <w:vAlign w:val="bottom"/>
            <w:textDirection w:val="lrTb"/>
            <w:noWrap w:val="false"/>
          </w:tcPr>
          <w:p>
            <w:pPr>
              <w:pStyle w:val="1063"/>
              <w:jc w:val="center"/>
              <w:spacing w:before="120" w:after="120"/>
              <w:widowControl w:val="off"/>
              <w:rPr>
                <w:sz w:val="20"/>
                <w:szCs w:val="20"/>
              </w:rPr>
            </w:pPr>
            <w:r>
              <w:rPr>
                <w:rFonts w:ascii="Arial Narrow" w:hAnsi="Arial Narrow" w:cs="Calibri"/>
                <w:color w:val="000000"/>
                <w:sz w:val="20"/>
                <w:szCs w:val="20"/>
              </w:rPr>
              <w:t xml:space="preserve">97,0</w:t>
            </w:r>
            <w:r>
              <w:rPr>
                <w:sz w:val="20"/>
                <w:szCs w:val="20"/>
              </w:rPr>
            </w:r>
            <w:r>
              <w:rPr>
                <w:sz w:val="20"/>
                <w:szCs w:val="20"/>
              </w:rPr>
            </w:r>
          </w:p>
        </w:tc>
      </w:tr>
    </w:tbl>
    <w:p>
      <w:pPr>
        <w:pStyle w:val="1063"/>
        <w:jc w:val="center"/>
        <w:spacing w:before="120" w:after="120"/>
        <w:tabs>
          <w:tab w:val="left" w:pos="709" w:leader="none"/>
        </w:tabs>
        <w:rPr>
          <w:rFonts w:ascii="Arial Narrow" w:hAnsi="Arial Narrow" w:eastAsia="Calibri" w:cs="Calibri"/>
          <w:iCs/>
          <w:color w:val="314e87"/>
          <w:lang w:eastAsia="ja-JP" w:bidi="ru-RU"/>
        </w:rPr>
      </w:pPr>
      <w:r>
        <w:rPr>
          <w:rFonts w:ascii="Arial Narrow" w:hAnsi="Arial Narrow" w:eastAsia="Calibri" w:cs="Calibri"/>
          <w:iCs/>
          <w:color w:val="314e87"/>
          <w:lang w:eastAsia="ja-JP" w:bidi="ru-RU"/>
        </w:rPr>
      </w:r>
      <w:r>
        <w:rPr>
          <w:rFonts w:ascii="Arial Narrow" w:hAnsi="Arial Narrow" w:eastAsia="Calibri" w:cs="Calibri"/>
          <w:iCs/>
          <w:color w:val="314e87"/>
          <w:lang w:eastAsia="ja-JP" w:bidi="ru-RU"/>
        </w:rPr>
      </w:r>
      <w:r>
        <w:rPr>
          <w:rFonts w:ascii="Arial Narrow" w:hAnsi="Arial Narrow" w:eastAsia="Calibri" w:cs="Calibri"/>
          <w:iCs/>
          <w:color w:val="314e87"/>
          <w:lang w:eastAsia="ja-JP" w:bidi="ru-RU"/>
        </w:rPr>
      </w:r>
    </w:p>
    <w:p>
      <w:pPr>
        <w:rPr>
          <w:rFonts w:ascii="Arial Narrow" w:hAnsi="Arial Narrow" w:eastAsia="Calibri" w:cs="Calibri"/>
          <w:b/>
          <w:iCs/>
          <w:color w:val="314e87"/>
          <w:sz w:val="24"/>
          <w:szCs w:val="24"/>
          <w:lang w:eastAsia="ja-JP" w:bidi="ru-RU"/>
        </w:rPr>
      </w:pPr>
      <w:r>
        <w:br w:type="page" w:clear="all"/>
      </w:r>
      <w:r>
        <w:rPr>
          <w:rFonts w:ascii="Arial Narrow" w:hAnsi="Arial Narrow" w:eastAsia="Calibri" w:cs="Calibri"/>
          <w:b/>
          <w:iCs/>
          <w:color w:val="314e87"/>
          <w:sz w:val="24"/>
          <w:szCs w:val="24"/>
          <w:lang w:eastAsia="ja-JP" w:bidi="ru-RU"/>
        </w:rPr>
      </w:r>
      <w:r>
        <w:rPr>
          <w:rFonts w:ascii="Arial Narrow" w:hAnsi="Arial Narrow" w:eastAsia="Calibri" w:cs="Calibri"/>
          <w:b/>
          <w:iCs/>
          <w:color w:val="314e87"/>
          <w:sz w:val="24"/>
          <w:szCs w:val="24"/>
          <w:lang w:eastAsia="ja-JP" w:bidi="ru-RU"/>
        </w:rPr>
      </w:r>
    </w:p>
    <w:p>
      <w:pPr>
        <w:pStyle w:val="1063"/>
        <w:jc w:val="center"/>
        <w:spacing w:before="120" w:after="120"/>
        <w:tabs>
          <w:tab w:val="left" w:pos="709" w:leader="none"/>
        </w:tabs>
        <w:rPr>
          <w:b/>
        </w:rPr>
      </w:pPr>
      <w:r>
        <w:rPr>
          <w:lang w:eastAsia="ru-RU"/>
        </w:rPr>
        <mc:AlternateContent>
          <mc:Choice Requires="wpg">
            <w:drawing>
              <wp:anchor xmlns:wp="http://schemas.openxmlformats.org/drawingml/2006/wordprocessingDrawing" xmlns:wp14="http://schemas.microsoft.com/office/word/2010/wordprocessingDrawing" distT="0" distB="0" distL="114300" distR="114300" simplePos="0" relativeHeight="251668480" behindDoc="0" locked="0" layoutInCell="0" allowOverlap="1">
                <wp:simplePos x="0" y="0"/>
                <wp:positionH relativeFrom="column">
                  <wp:posOffset>2283460</wp:posOffset>
                </wp:positionH>
                <wp:positionV relativeFrom="paragraph">
                  <wp:posOffset>275590</wp:posOffset>
                </wp:positionV>
                <wp:extent cx="4024630" cy="2483485"/>
                <wp:effectExtent l="0" t="0" r="0" b="0"/>
                <wp:wrapSquare wrapText="bothSides"/>
                <wp:docPr id="6" name="Изображение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Изображение4"/>
                        <pic:cNvPicPr>
                          <a:picLocks noChangeAspect="1"/>
                        </pic:cNvPicPr>
                        <pic:nvPr/>
                      </pic:nvPicPr>
                      <pic:blipFill>
                        <a:blip r:embed="rId16"/>
                        <a:stretch/>
                      </pic:blipFill>
                      <pic:spPr bwMode="auto">
                        <a:xfrm>
                          <a:off x="0" y="0"/>
                          <a:ext cx="4024630" cy="2483485"/>
                        </a:xfrm>
                        <a:prstGeom prst="rect">
                          <a:avLst/>
                        </a:prstGeom>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5" o:spid="_x0000_s5" type="#_x0000_t75" style="position:absolute;z-index:251668480;o:allowoverlap:true;o:allowincell:false;mso-position-horizontal-relative:text;margin-left:179.80pt;mso-position-horizontal:absolute;mso-position-vertical-relative:text;margin-top:21.70pt;mso-position-vertical:absolute;width:316.90pt;height:195.55pt;mso-wrap-distance-left:9.00pt;mso-wrap-distance-top:0.00pt;mso-wrap-distance-right:9.00pt;mso-wrap-distance-bottom:0.00pt;" stroked="false">
                <v:path textboxrect="0,0,0,0"/>
                <w10:wrap type="square"/>
                <v:imagedata r:id="rId16" o:title=""/>
              </v:shape>
            </w:pict>
          </mc:Fallback>
        </mc:AlternateContent>
      </w:r>
      <w:r>
        <w:rPr>
          <w:rFonts w:ascii="Arial Narrow" w:hAnsi="Arial Narrow" w:eastAsia="Calibri" w:cs="Calibri"/>
          <w:b/>
          <w:iCs/>
          <w:color w:val="314e87"/>
          <w:lang w:eastAsia="ja-JP" w:bidi="ru-RU"/>
        </w:rPr>
        <w:t xml:space="preserve">Структура поступившей оплаты за отпущенную тепловую энергию и ГВС по группам потребителей за 2024 год, млн. рублей с НДС</w:t>
      </w:r>
      <w:r>
        <w:rPr>
          <w:b/>
        </w:rPr>
      </w:r>
      <w:r>
        <w:rPr>
          <w:b/>
        </w:rPr>
      </w:r>
    </w:p>
    <w:p>
      <w:pPr>
        <w:pStyle w:val="1063"/>
        <w:spacing w:before="120" w:after="120"/>
        <w:tabs>
          <w:tab w:val="left" w:pos="709" w:leader="none"/>
        </w:tabs>
      </w:pPr>
      <w:r/>
      <w:r/>
    </w:p>
    <w:p>
      <w:pPr>
        <w:pStyle w:val="1063"/>
      </w:pPr>
      <w:r/>
      <w:r/>
    </w:p>
    <w:p>
      <w:pPr>
        <w:pStyle w:val="1066"/>
        <w:jc w:val="both"/>
        <w:keepLines/>
        <w:spacing w:before="0" w:after="0" w:line="276" w:lineRule="auto"/>
        <w:rPr>
          <w:rFonts w:ascii="Arial Narrow" w:hAnsi="Arial Narrow" w:cs="Calibri"/>
          <w:color w:val="314e87"/>
          <w:lang w:bidi="ru-RU"/>
        </w:rPr>
      </w:pPr>
      <w:r>
        <w:rPr>
          <w:rFonts w:ascii="Arial Narrow" w:hAnsi="Arial Narrow" w:cs="Calibri"/>
          <w:color w:val="314e87"/>
          <w:lang w:bidi="ru-RU"/>
        </w:rPr>
      </w:r>
      <w:r>
        <w:rPr>
          <w:rFonts w:ascii="Arial Narrow" w:hAnsi="Arial Narrow" w:cs="Calibri"/>
          <w:color w:val="314e87"/>
          <w:lang w:bidi="ru-RU"/>
        </w:rPr>
      </w:r>
      <w:r>
        <w:rPr>
          <w:rFonts w:ascii="Arial Narrow" w:hAnsi="Arial Narrow" w:cs="Calibri"/>
          <w:color w:val="314e87"/>
          <w:lang w:bidi="ru-RU"/>
        </w:rPr>
      </w:r>
    </w:p>
    <w:p>
      <w:pPr>
        <w:pStyle w:val="1066"/>
        <w:jc w:val="both"/>
        <w:keepLines/>
        <w:spacing w:before="0" w:after="0" w:line="276" w:lineRule="auto"/>
        <w:rPr>
          <w:rFonts w:ascii="Arial Narrow" w:hAnsi="Arial Narrow" w:cs="Calibri"/>
          <w:color w:val="314e87"/>
          <w:lang w:bidi="ru-RU"/>
        </w:rPr>
      </w:pPr>
      <w:r>
        <w:rPr>
          <w:rFonts w:ascii="Arial Narrow" w:hAnsi="Arial Narrow" w:cs="Calibri"/>
          <w:color w:val="314e87"/>
          <w:lang w:bidi="ru-RU"/>
        </w:rPr>
      </w:r>
      <w:r>
        <w:rPr>
          <w:rFonts w:ascii="Arial Narrow" w:hAnsi="Arial Narrow" w:cs="Calibri"/>
          <w:color w:val="314e87"/>
          <w:lang w:bidi="ru-RU"/>
        </w:rPr>
      </w:r>
      <w:r>
        <w:rPr>
          <w:rFonts w:ascii="Arial Narrow" w:hAnsi="Arial Narrow" w:cs="Calibri"/>
          <w:color w:val="314e87"/>
          <w:lang w:bidi="ru-RU"/>
        </w:rPr>
      </w:r>
    </w:p>
    <w:p>
      <w:pPr>
        <w:pStyle w:val="1066"/>
        <w:jc w:val="both"/>
        <w:keepLines/>
        <w:spacing w:before="0" w:after="0" w:line="276" w:lineRule="auto"/>
        <w:rPr>
          <w:rFonts w:ascii="Arial Narrow" w:hAnsi="Arial Narrow" w:cs="Calibri"/>
          <w:color w:val="314e87"/>
          <w:lang w:bidi="ru-RU"/>
        </w:rPr>
      </w:pPr>
      <w:r>
        <w:rPr>
          <w:rFonts w:ascii="Arial Narrow" w:hAnsi="Arial Narrow" w:cs="Calibri"/>
          <w:color w:val="314e87"/>
          <w:lang w:bidi="ru-RU"/>
        </w:rPr>
      </w:r>
      <w:r>
        <w:rPr>
          <w:rFonts w:ascii="Arial Narrow" w:hAnsi="Arial Narrow" w:cs="Calibri"/>
          <w:color w:val="314e87"/>
          <w:lang w:bidi="ru-RU"/>
        </w:rPr>
      </w:r>
      <w:r>
        <w:rPr>
          <w:rFonts w:ascii="Arial Narrow" w:hAnsi="Arial Narrow" w:cs="Calibri"/>
          <w:color w:val="314e87"/>
          <w:lang w:bidi="ru-RU"/>
        </w:rPr>
      </w:r>
    </w:p>
    <w:p>
      <w:pPr>
        <w:pStyle w:val="1066"/>
        <w:jc w:val="both"/>
        <w:keepLines/>
        <w:spacing w:before="0" w:after="0" w:line="276" w:lineRule="auto"/>
        <w:rPr>
          <w:rFonts w:ascii="Arial Narrow" w:hAnsi="Arial Narrow" w:cs="Calibri"/>
          <w:color w:val="314e87"/>
          <w:lang w:bidi="ru-RU"/>
        </w:rPr>
      </w:pPr>
      <w:r>
        <w:rPr>
          <w:rFonts w:ascii="Arial Narrow" w:hAnsi="Arial Narrow" w:cs="Calibri"/>
          <w:color w:val="314e87"/>
          <w:lang w:bidi="ru-RU"/>
        </w:rPr>
      </w:r>
      <w:r>
        <w:rPr>
          <w:rFonts w:ascii="Arial Narrow" w:hAnsi="Arial Narrow" w:cs="Calibri"/>
          <w:color w:val="314e87"/>
          <w:lang w:bidi="ru-RU"/>
        </w:rPr>
      </w:r>
      <w:r>
        <w:rPr>
          <w:rFonts w:ascii="Arial Narrow" w:hAnsi="Arial Narrow" w:cs="Calibri"/>
          <w:color w:val="314e87"/>
          <w:lang w:bidi="ru-RU"/>
        </w:rPr>
      </w:r>
    </w:p>
    <w:p>
      <w:pPr>
        <w:pStyle w:val="1066"/>
        <w:jc w:val="both"/>
        <w:keepLines/>
        <w:spacing w:before="0" w:after="0" w:line="276" w:lineRule="auto"/>
        <w:rPr>
          <w:rFonts w:ascii="Arial Narrow" w:hAnsi="Arial Narrow" w:cs="Calibri"/>
          <w:color w:val="314e87"/>
          <w:lang w:bidi="ru-RU"/>
        </w:rPr>
      </w:pPr>
      <w:r>
        <w:rPr>
          <w:rFonts w:ascii="Arial Narrow" w:hAnsi="Arial Narrow" w:cs="Calibri"/>
          <w:color w:val="314e87"/>
          <w:lang w:bidi="ru-RU"/>
        </w:rPr>
      </w:r>
      <w:r>
        <w:rPr>
          <w:rFonts w:ascii="Arial Narrow" w:hAnsi="Arial Narrow" w:cs="Calibri"/>
          <w:color w:val="314e87"/>
          <w:lang w:bidi="ru-RU"/>
        </w:rPr>
      </w:r>
      <w:r>
        <w:rPr>
          <w:rFonts w:ascii="Arial Narrow" w:hAnsi="Arial Narrow" w:cs="Calibri"/>
          <w:color w:val="314e87"/>
          <w:lang w:bidi="ru-RU"/>
        </w:rPr>
      </w:r>
    </w:p>
    <w:p>
      <w:pPr>
        <w:pStyle w:val="1066"/>
        <w:jc w:val="both"/>
        <w:keepLines/>
        <w:spacing w:before="0" w:after="0" w:line="276" w:lineRule="auto"/>
        <w:rPr>
          <w:rFonts w:ascii="Arial Narrow" w:hAnsi="Arial Narrow" w:cs="Calibri"/>
          <w:color w:val="314e87"/>
          <w:lang w:bidi="ru-RU"/>
        </w:rPr>
      </w:pPr>
      <w:r>
        <w:rPr>
          <w:rFonts w:ascii="Arial Narrow" w:hAnsi="Arial Narrow" w:cs="Calibri"/>
          <w:color w:val="314e87"/>
          <w:lang w:bidi="ru-RU"/>
        </w:rPr>
      </w:r>
      <w:r>
        <w:rPr>
          <w:rFonts w:ascii="Arial Narrow" w:hAnsi="Arial Narrow" w:cs="Calibri"/>
          <w:color w:val="314e87"/>
          <w:lang w:bidi="ru-RU"/>
        </w:rPr>
      </w:r>
      <w:r>
        <w:rPr>
          <w:rFonts w:ascii="Arial Narrow" w:hAnsi="Arial Narrow" w:cs="Calibri"/>
          <w:color w:val="314e87"/>
          <w:lang w:bidi="ru-RU"/>
        </w:rPr>
      </w:r>
    </w:p>
    <w:p>
      <w:pPr>
        <w:pStyle w:val="1066"/>
        <w:jc w:val="both"/>
        <w:keepLines/>
        <w:spacing w:before="0" w:after="0" w:line="276" w:lineRule="auto"/>
        <w:rPr>
          <w:rFonts w:ascii="Arial Narrow" w:hAnsi="Arial Narrow" w:cs="Calibri"/>
          <w:color w:val="314e87"/>
          <w:lang w:bidi="ru-RU"/>
        </w:rPr>
      </w:pPr>
      <w:r>
        <w:rPr>
          <w:rFonts w:ascii="Arial Narrow" w:hAnsi="Arial Narrow" w:cs="Calibri"/>
          <w:color w:val="314e87"/>
          <w:lang w:bidi="ru-RU"/>
        </w:rPr>
      </w:r>
      <w:r>
        <w:rPr>
          <w:rFonts w:ascii="Arial Narrow" w:hAnsi="Arial Narrow" w:cs="Calibri"/>
          <w:color w:val="314e87"/>
          <w:lang w:bidi="ru-RU"/>
        </w:rPr>
      </w:r>
      <w:r>
        <w:rPr>
          <w:rFonts w:ascii="Arial Narrow" w:hAnsi="Arial Narrow" w:cs="Calibri"/>
          <w:color w:val="314e87"/>
          <w:lang w:bidi="ru-RU"/>
        </w:rPr>
      </w:r>
    </w:p>
    <w:p>
      <w:pPr>
        <w:pStyle w:val="1066"/>
        <w:jc w:val="both"/>
        <w:keepLines/>
        <w:spacing w:before="0" w:after="0" w:line="276" w:lineRule="auto"/>
        <w:rPr>
          <w:rFonts w:ascii="Arial Narrow" w:hAnsi="Arial Narrow" w:cs="Calibri"/>
          <w:color w:val="314e87"/>
          <w:lang w:bidi="ru-RU"/>
        </w:rPr>
      </w:pPr>
      <w:r>
        <w:rPr>
          <w:rFonts w:ascii="Arial Narrow" w:hAnsi="Arial Narrow" w:cs="Calibri"/>
          <w:color w:val="314e87"/>
          <w:lang w:bidi="ru-RU"/>
        </w:rPr>
      </w:r>
      <w:r>
        <w:rPr>
          <w:rFonts w:ascii="Arial Narrow" w:hAnsi="Arial Narrow" w:cs="Calibri"/>
          <w:color w:val="314e87"/>
          <w:lang w:bidi="ru-RU"/>
        </w:rPr>
      </w:r>
      <w:r>
        <w:rPr>
          <w:rFonts w:ascii="Arial Narrow" w:hAnsi="Arial Narrow" w:cs="Calibri"/>
          <w:color w:val="314e87"/>
          <w:lang w:bidi="ru-RU"/>
        </w:rPr>
      </w:r>
    </w:p>
    <w:p>
      <w:pPr>
        <w:pStyle w:val="1066"/>
        <w:jc w:val="both"/>
        <w:keepLines/>
        <w:spacing w:before="0" w:after="0" w:line="276" w:lineRule="auto"/>
      </w:pPr>
      <w:r/>
      <w:bookmarkStart w:id="15" w:name="_Toc193883480"/>
      <w:r/>
      <w:bookmarkStart w:id="16" w:name="_Toc193449867"/>
      <w:r>
        <w:rPr>
          <w:rFonts w:ascii="Arial Narrow" w:hAnsi="Arial Narrow" w:cs="Calibri"/>
          <w:color w:val="314e87"/>
          <w:lang w:bidi="ru-RU"/>
        </w:rPr>
        <w:t xml:space="preserve">Краткий обзор основных рынков, на которых Общество осуществляет деятельность</w:t>
      </w:r>
      <w:bookmarkEnd w:id="15"/>
      <w:r/>
      <w:bookmarkEnd w:id="16"/>
      <w:r/>
      <w:r/>
    </w:p>
    <w:p>
      <w:pPr>
        <w:pStyle w:val="1063"/>
        <w:jc w:val="both"/>
        <w:spacing w:after="120"/>
        <w:tabs>
          <w:tab w:val="left" w:pos="709" w:leader="none"/>
        </w:tabs>
      </w:pPr>
      <w:r>
        <w:rPr>
          <w:rFonts w:ascii="Arial Narrow" w:hAnsi="Arial Narrow" w:eastAsia="Calibri" w:cs="Calibri"/>
          <w:iCs/>
          <w:color w:val="314e87"/>
          <w:lang w:eastAsia="ja-JP" w:bidi="ru-RU"/>
        </w:rPr>
        <w:t xml:space="preserve">Описание конкурентного окружения Общества</w:t>
      </w:r>
      <w:r/>
    </w:p>
    <w:p>
      <w:pPr>
        <w:pStyle w:val="1063"/>
        <w:ind w:firstLine="567"/>
        <w:jc w:val="both"/>
      </w:pPr>
      <w:r>
        <w:rPr>
          <w:rFonts w:ascii="Arial Narrow" w:hAnsi="Arial Narrow" w:cs="Calibri"/>
          <w:lang w:bidi="ru-RU"/>
        </w:rPr>
        <w:t xml:space="preserve">Основными конкурентами группы ПАО «Камчатскэнерго»</w:t>
      </w:r>
      <w:r>
        <w:rPr>
          <w:rStyle w:val="775"/>
          <w:rFonts w:ascii="Arial Narrow" w:hAnsi="Arial Narrow" w:cs="Calibri"/>
          <w:lang w:bidi="ru-RU"/>
        </w:rPr>
        <w:footnoteReference w:id="2"/>
      </w:r>
      <w:r>
        <w:rPr>
          <w:rStyle w:val="792"/>
          <w:rFonts w:ascii="Arial Narrow" w:hAnsi="Arial Narrow" w:cs="Calibri"/>
          <w:lang w:bidi="ru-RU"/>
        </w:rPr>
        <w:t xml:space="preserve">1</w:t>
      </w:r>
      <w:r>
        <w:rPr>
          <w:rFonts w:ascii="Arial Narrow" w:hAnsi="Arial Narrow" w:cs="Calibri"/>
          <w:lang w:bidi="ru-RU"/>
        </w:rPr>
        <w:t xml:space="preserve"> являются АО «Корякэнерго» и АО «Камчатские электрические сети им. И.А. Пискунова».</w:t>
      </w:r>
      <w:r/>
    </w:p>
    <w:p>
      <w:pPr>
        <w:pStyle w:val="1063"/>
        <w:ind w:firstLine="720"/>
        <w:jc w:val="right"/>
        <w:rPr>
          <w:rFonts w:ascii="Arial Narrow" w:hAnsi="Arial Narrow" w:cs="Calibri"/>
          <w:i/>
          <w:sz w:val="10"/>
          <w:szCs w:val="10"/>
          <w:lang w:val="en-US" w:bidi="ru-RU"/>
        </w:rPr>
      </w:pPr>
      <w:r>
        <w:rPr>
          <w:rFonts w:ascii="Arial Narrow" w:hAnsi="Arial Narrow" w:eastAsia="Calibri" w:cs="Calibri"/>
          <w:i/>
          <w:lang w:eastAsia="ja-JP"/>
        </w:rPr>
        <w:t xml:space="preserve">Таблица № </w:t>
      </w:r>
      <w:r>
        <w:rPr>
          <w:rFonts w:ascii="Arial Narrow" w:hAnsi="Arial Narrow" w:eastAsia="Calibri" w:cs="Calibri"/>
          <w:i/>
          <w:lang w:val="en-US" w:eastAsia="ja-JP"/>
        </w:rPr>
        <w:t xml:space="preserve">4</w:t>
      </w:r>
      <w:r>
        <w:rPr>
          <w:rFonts w:ascii="Arial Narrow" w:hAnsi="Arial Narrow" w:cs="Calibri"/>
          <w:i/>
          <w:sz w:val="10"/>
          <w:szCs w:val="10"/>
          <w:lang w:val="en-US" w:bidi="ru-RU"/>
        </w:rPr>
      </w:r>
      <w:r>
        <w:rPr>
          <w:rFonts w:ascii="Arial Narrow" w:hAnsi="Arial Narrow" w:cs="Calibri"/>
          <w:i/>
          <w:sz w:val="10"/>
          <w:szCs w:val="10"/>
          <w:lang w:val="en-US" w:bidi="ru-RU"/>
        </w:rPr>
      </w:r>
    </w:p>
    <w:tbl>
      <w:tblPr>
        <w:tblW w:w="10060" w:type="dxa"/>
        <w:jc w:val="center"/>
        <w:tblLayout w:type="fixed"/>
        <w:tblLook w:val="04A0" w:firstRow="1" w:lastRow="0" w:firstColumn="1" w:lastColumn="0" w:noHBand="0" w:noVBand="1"/>
      </w:tblPr>
      <w:tblGrid>
        <w:gridCol w:w="561"/>
        <w:gridCol w:w="3262"/>
        <w:gridCol w:w="3379"/>
        <w:gridCol w:w="2858"/>
      </w:tblGrid>
      <w:tr>
        <w:trPr>
          <w:jc w:val="center"/>
          <w:trHeight w:val="50"/>
        </w:trPr>
        <w:tc>
          <w:tcPr>
            <w:tcBorders>
              <w:top w:val="single" w:color="000000" w:sz="4" w:space="0"/>
              <w:left w:val="single" w:color="000000" w:sz="4" w:space="0"/>
              <w:bottom w:val="single" w:color="000000" w:sz="4" w:space="0"/>
              <w:right w:val="single" w:color="000000" w:sz="4" w:space="0"/>
            </w:tcBorders>
            <w:tcW w:w="560" w:type="dxa"/>
            <w:textDirection w:val="lrTb"/>
            <w:noWrap w:val="false"/>
          </w:tcPr>
          <w:p>
            <w:pPr>
              <w:pStyle w:val="1063"/>
              <w:jc w:val="center"/>
              <w:widowControl w:val="off"/>
              <w:rPr>
                <w:sz w:val="20"/>
                <w:szCs w:val="20"/>
              </w:rPr>
            </w:pPr>
            <w:r>
              <w:rPr>
                <w:rFonts w:ascii="Arial Narrow" w:hAnsi="Arial Narrow" w:cs="Calibri"/>
                <w:color w:val="0f0d29"/>
                <w:sz w:val="20"/>
                <w:szCs w:val="20"/>
              </w:rPr>
              <w:t xml:space="preserve">№</w:t>
            </w:r>
            <w:r>
              <w:rPr>
                <w:sz w:val="20"/>
                <w:szCs w:val="20"/>
              </w:rPr>
            </w:r>
            <w:r>
              <w:rPr>
                <w:sz w:val="20"/>
                <w:szCs w:val="20"/>
              </w:rPr>
            </w:r>
          </w:p>
          <w:p>
            <w:pPr>
              <w:pStyle w:val="1063"/>
              <w:jc w:val="center"/>
              <w:widowControl w:val="off"/>
              <w:rPr>
                <w:sz w:val="20"/>
                <w:szCs w:val="20"/>
              </w:rPr>
            </w:pPr>
            <w:r>
              <w:rPr>
                <w:rFonts w:ascii="Arial Narrow" w:hAnsi="Arial Narrow" w:cs="Calibri"/>
                <w:color w:val="0f0d29"/>
                <w:sz w:val="20"/>
                <w:szCs w:val="20"/>
              </w:rPr>
              <w:t xml:space="preserve">п/п</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262" w:type="dxa"/>
            <w:textDirection w:val="lrTb"/>
            <w:noWrap w:val="false"/>
          </w:tcPr>
          <w:p>
            <w:pPr>
              <w:pStyle w:val="1063"/>
              <w:jc w:val="center"/>
              <w:widowControl w:val="off"/>
              <w:rPr>
                <w:sz w:val="20"/>
                <w:szCs w:val="20"/>
              </w:rPr>
            </w:pPr>
            <w:r>
              <w:rPr>
                <w:rFonts w:ascii="Arial Narrow" w:hAnsi="Arial Narrow" w:cs="Calibri"/>
                <w:bCs/>
                <w:color w:val="0f0d29"/>
                <w:sz w:val="20"/>
                <w:szCs w:val="20"/>
              </w:rPr>
              <w:t xml:space="preserve">Наименование компании</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379" w:type="dxa"/>
            <w:textDirection w:val="lrTb"/>
            <w:noWrap w:val="false"/>
          </w:tcPr>
          <w:p>
            <w:pPr>
              <w:pStyle w:val="1063"/>
              <w:jc w:val="center"/>
              <w:widowControl w:val="off"/>
              <w:rPr>
                <w:sz w:val="20"/>
                <w:szCs w:val="20"/>
              </w:rPr>
            </w:pPr>
            <w:r>
              <w:rPr>
                <w:rFonts w:ascii="Arial Narrow" w:hAnsi="Arial Narrow" w:cs="Calibri"/>
                <w:bCs/>
                <w:color w:val="0f0d29"/>
                <w:sz w:val="20"/>
                <w:szCs w:val="20"/>
              </w:rPr>
              <w:t xml:space="preserve">Установленная мощность</w:t>
            </w:r>
            <w:r>
              <w:rPr>
                <w:sz w:val="20"/>
                <w:szCs w:val="20"/>
              </w:rPr>
            </w:r>
            <w:r>
              <w:rPr>
                <w:sz w:val="20"/>
                <w:szCs w:val="20"/>
              </w:rPr>
            </w:r>
          </w:p>
          <w:p>
            <w:pPr>
              <w:pStyle w:val="1063"/>
              <w:jc w:val="center"/>
              <w:widowControl w:val="off"/>
              <w:rPr>
                <w:sz w:val="20"/>
                <w:szCs w:val="20"/>
              </w:rPr>
            </w:pPr>
            <w:r>
              <w:rPr>
                <w:rFonts w:ascii="Arial Narrow" w:hAnsi="Arial Narrow" w:cs="Calibri"/>
                <w:bCs/>
                <w:color w:val="0f0d29"/>
                <w:sz w:val="20"/>
                <w:szCs w:val="20"/>
              </w:rPr>
              <w:t xml:space="preserve">по данным компаний, мВт</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Mar>
              <w:left w:w="5" w:type="dxa"/>
              <w:right w:w="5" w:type="dxa"/>
            </w:tcMar>
            <w:tcW w:w="2858" w:type="dxa"/>
            <w:textDirection w:val="lrTb"/>
            <w:noWrap w:val="false"/>
          </w:tcPr>
          <w:p>
            <w:pPr>
              <w:pStyle w:val="1063"/>
              <w:jc w:val="center"/>
              <w:widowControl w:val="off"/>
              <w:rPr>
                <w:sz w:val="20"/>
                <w:szCs w:val="20"/>
              </w:rPr>
            </w:pPr>
            <w:r>
              <w:rPr>
                <w:rFonts w:ascii="Arial Narrow" w:hAnsi="Arial Narrow" w:cs="Calibri"/>
                <w:bCs/>
                <w:color w:val="0f0d29"/>
                <w:sz w:val="20"/>
                <w:szCs w:val="20"/>
              </w:rPr>
              <w:t xml:space="preserve">Выработка электроэнергии,</w:t>
            </w:r>
            <w:r>
              <w:rPr>
                <w:sz w:val="20"/>
                <w:szCs w:val="20"/>
              </w:rPr>
            </w:r>
            <w:r>
              <w:rPr>
                <w:sz w:val="20"/>
                <w:szCs w:val="20"/>
              </w:rPr>
            </w:r>
          </w:p>
          <w:p>
            <w:pPr>
              <w:pStyle w:val="1063"/>
              <w:jc w:val="center"/>
              <w:widowControl w:val="off"/>
              <w:rPr>
                <w:sz w:val="20"/>
                <w:szCs w:val="20"/>
              </w:rPr>
            </w:pPr>
            <w:r>
              <w:rPr>
                <w:rFonts w:ascii="Arial Narrow" w:hAnsi="Arial Narrow" w:cs="Calibri"/>
                <w:bCs/>
                <w:color w:val="0f0d29"/>
                <w:sz w:val="20"/>
                <w:szCs w:val="20"/>
              </w:rPr>
              <w:t xml:space="preserve">млн. кВтч.</w:t>
            </w:r>
            <w:r>
              <w:rPr>
                <w:sz w:val="20"/>
                <w:szCs w:val="20"/>
              </w:rPr>
            </w:r>
            <w:r>
              <w:rPr>
                <w:sz w:val="20"/>
                <w:szCs w:val="20"/>
              </w:rPr>
            </w:r>
          </w:p>
        </w:tc>
      </w:tr>
      <w:tr>
        <w:trPr>
          <w:jc w:val="center"/>
          <w:trHeight w:val="50"/>
        </w:trPr>
        <w:tc>
          <w:tcPr>
            <w:tcBorders>
              <w:top w:val="single" w:color="000000" w:sz="4" w:space="0"/>
              <w:left w:val="single" w:color="000000" w:sz="4" w:space="0"/>
              <w:bottom w:val="single" w:color="000000" w:sz="4" w:space="0"/>
              <w:right w:val="single" w:color="000000" w:sz="4" w:space="0"/>
            </w:tcBorders>
            <w:tcW w:w="560" w:type="dxa"/>
            <w:textDirection w:val="lrTb"/>
            <w:noWrap w:val="false"/>
          </w:tcPr>
          <w:p>
            <w:pPr>
              <w:pStyle w:val="1063"/>
              <w:jc w:val="center"/>
              <w:widowControl w:val="off"/>
              <w:rPr>
                <w:sz w:val="20"/>
                <w:szCs w:val="20"/>
              </w:rPr>
            </w:pPr>
            <w:r>
              <w:rPr>
                <w:rFonts w:ascii="Arial Narrow" w:hAnsi="Arial Narrow" w:cs="Calibri"/>
                <w:color w:val="0f0d29"/>
                <w:sz w:val="20"/>
                <w:szCs w:val="20"/>
              </w:rPr>
              <w:t xml:space="preserve">1</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262" w:type="dxa"/>
            <w:vAlign w:val="center"/>
            <w:textDirection w:val="lrTb"/>
            <w:noWrap w:val="false"/>
          </w:tcPr>
          <w:p>
            <w:pPr>
              <w:pStyle w:val="1063"/>
              <w:ind w:right="-107"/>
              <w:widowControl w:val="off"/>
              <w:rPr>
                <w:sz w:val="20"/>
                <w:szCs w:val="20"/>
              </w:rPr>
            </w:pPr>
            <w:r>
              <w:rPr>
                <w:rFonts w:ascii="Arial Narrow" w:hAnsi="Arial Narrow" w:cs="Calibri"/>
                <w:color w:val="0f0d29"/>
                <w:sz w:val="20"/>
                <w:szCs w:val="20"/>
              </w:rPr>
              <w:t xml:space="preserve">АО «Корякэнерго»</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379" w:type="dxa"/>
            <w:vAlign w:val="center"/>
            <w:textDirection w:val="lrTb"/>
            <w:noWrap w:val="false"/>
          </w:tcPr>
          <w:p>
            <w:pPr>
              <w:pStyle w:val="1063"/>
              <w:ind w:right="-107"/>
              <w:jc w:val="center"/>
              <w:widowControl w:val="off"/>
              <w:rPr>
                <w:sz w:val="20"/>
                <w:szCs w:val="20"/>
              </w:rPr>
            </w:pPr>
            <w:r>
              <w:rPr>
                <w:rFonts w:ascii="Arial Narrow" w:hAnsi="Arial Narrow" w:cs="Calibri"/>
                <w:color w:val="0f0d29"/>
                <w:sz w:val="20"/>
                <w:szCs w:val="20"/>
              </w:rPr>
              <w:t xml:space="preserve">23,554</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Mar>
              <w:left w:w="5" w:type="dxa"/>
              <w:right w:w="5" w:type="dxa"/>
            </w:tcMar>
            <w:tcW w:w="2858" w:type="dxa"/>
            <w:vAlign w:val="center"/>
            <w:textDirection w:val="lrTb"/>
            <w:noWrap w:val="false"/>
          </w:tcPr>
          <w:p>
            <w:pPr>
              <w:pStyle w:val="1063"/>
              <w:ind w:right="-107"/>
              <w:jc w:val="center"/>
              <w:widowControl w:val="off"/>
              <w:rPr>
                <w:sz w:val="20"/>
                <w:szCs w:val="20"/>
              </w:rPr>
            </w:pPr>
            <w:r>
              <w:rPr>
                <w:rFonts w:ascii="Arial Narrow" w:hAnsi="Arial Narrow" w:cs="Calibri"/>
                <w:color w:val="0f0d29"/>
                <w:sz w:val="20"/>
                <w:szCs w:val="20"/>
              </w:rPr>
              <w:t xml:space="preserve">23,445</w:t>
            </w:r>
            <w:r>
              <w:rPr>
                <w:sz w:val="20"/>
                <w:szCs w:val="20"/>
              </w:rPr>
            </w:r>
            <w:r>
              <w:rPr>
                <w:sz w:val="20"/>
                <w:szCs w:val="20"/>
              </w:rPr>
            </w:r>
          </w:p>
        </w:tc>
      </w:tr>
      <w:tr>
        <w:trPr>
          <w:jc w:val="center"/>
          <w:trHeight w:val="50"/>
        </w:trPr>
        <w:tc>
          <w:tcPr>
            <w:tcBorders>
              <w:top w:val="single" w:color="000000" w:sz="4" w:space="0"/>
              <w:left w:val="single" w:color="000000" w:sz="4" w:space="0"/>
              <w:bottom w:val="single" w:color="000000" w:sz="4" w:space="0"/>
              <w:right w:val="single" w:color="000000" w:sz="4" w:space="0"/>
            </w:tcBorders>
            <w:tcW w:w="560" w:type="dxa"/>
            <w:textDirection w:val="lrTb"/>
            <w:noWrap w:val="false"/>
          </w:tcPr>
          <w:p>
            <w:pPr>
              <w:pStyle w:val="1063"/>
              <w:jc w:val="center"/>
              <w:widowControl w:val="off"/>
              <w:rPr>
                <w:sz w:val="20"/>
                <w:szCs w:val="20"/>
              </w:rPr>
            </w:pPr>
            <w:r>
              <w:rPr>
                <w:rFonts w:ascii="Arial Narrow" w:hAnsi="Arial Narrow" w:cs="Calibri"/>
                <w:color w:val="0f0d29"/>
                <w:sz w:val="20"/>
                <w:szCs w:val="20"/>
              </w:rPr>
              <w:t xml:space="preserve">2</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262" w:type="dxa"/>
            <w:vAlign w:val="center"/>
            <w:textDirection w:val="lrTb"/>
            <w:noWrap w:val="false"/>
          </w:tcPr>
          <w:p>
            <w:pPr>
              <w:pStyle w:val="1063"/>
              <w:ind w:right="-107"/>
              <w:widowControl w:val="off"/>
              <w:rPr>
                <w:sz w:val="20"/>
                <w:szCs w:val="20"/>
              </w:rPr>
            </w:pPr>
            <w:r>
              <w:rPr>
                <w:rFonts w:ascii="Arial Narrow" w:hAnsi="Arial Narrow" w:cs="Calibri"/>
                <w:color w:val="0f0d29"/>
                <w:sz w:val="20"/>
                <w:szCs w:val="20"/>
              </w:rPr>
              <w:t xml:space="preserve">АО «КЭС им. И.А. Пискунова»</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379" w:type="dxa"/>
            <w:vAlign w:val="center"/>
            <w:textDirection w:val="lrTb"/>
            <w:noWrap w:val="false"/>
          </w:tcPr>
          <w:p>
            <w:pPr>
              <w:pStyle w:val="1063"/>
              <w:ind w:right="-107"/>
              <w:jc w:val="center"/>
              <w:widowControl w:val="off"/>
              <w:rPr>
                <w:sz w:val="20"/>
                <w:szCs w:val="20"/>
              </w:rPr>
            </w:pPr>
            <w:r>
              <w:rPr>
                <w:rFonts w:ascii="Arial Narrow" w:hAnsi="Arial Narrow" w:cs="Calibri"/>
                <w:color w:val="0f0d29"/>
                <w:sz w:val="20"/>
                <w:szCs w:val="20"/>
              </w:rPr>
              <w:t xml:space="preserve">22,766</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Mar>
              <w:left w:w="5" w:type="dxa"/>
              <w:right w:w="5" w:type="dxa"/>
            </w:tcMar>
            <w:tcW w:w="2858" w:type="dxa"/>
            <w:vAlign w:val="center"/>
            <w:textDirection w:val="lrTb"/>
            <w:noWrap w:val="false"/>
          </w:tcPr>
          <w:p>
            <w:pPr>
              <w:pStyle w:val="1063"/>
              <w:ind w:right="-107"/>
              <w:jc w:val="center"/>
              <w:widowControl w:val="off"/>
              <w:rPr>
                <w:sz w:val="20"/>
                <w:szCs w:val="20"/>
              </w:rPr>
            </w:pPr>
            <w:r>
              <w:rPr>
                <w:rFonts w:ascii="Arial Narrow" w:hAnsi="Arial Narrow" w:cs="Calibri"/>
                <w:color w:val="0f0d29"/>
                <w:sz w:val="20"/>
                <w:szCs w:val="20"/>
              </w:rPr>
              <w:t xml:space="preserve">22,095</w:t>
            </w:r>
            <w:r>
              <w:rPr>
                <w:sz w:val="20"/>
                <w:szCs w:val="20"/>
              </w:rPr>
            </w:r>
            <w:r>
              <w:rPr>
                <w:sz w:val="20"/>
                <w:szCs w:val="20"/>
              </w:rPr>
            </w:r>
          </w:p>
        </w:tc>
      </w:tr>
      <w:tr>
        <w:trPr>
          <w:jc w:val="center"/>
        </w:trPr>
        <w:tc>
          <w:tcPr>
            <w:tcBorders>
              <w:top w:val="single" w:color="000000" w:sz="4" w:space="0"/>
              <w:left w:val="single" w:color="000000" w:sz="4" w:space="0"/>
              <w:bottom w:val="single" w:color="000000" w:sz="4" w:space="0"/>
              <w:right w:val="single" w:color="000000" w:sz="4" w:space="0"/>
            </w:tcBorders>
            <w:tcW w:w="560" w:type="dxa"/>
            <w:textDirection w:val="lrTb"/>
            <w:noWrap w:val="false"/>
          </w:tcPr>
          <w:p>
            <w:pPr>
              <w:pStyle w:val="1063"/>
              <w:jc w:val="center"/>
              <w:widowControl w:val="off"/>
              <w:rPr>
                <w:sz w:val="20"/>
                <w:szCs w:val="20"/>
              </w:rPr>
            </w:pPr>
            <w:r>
              <w:rPr>
                <w:rFonts w:ascii="Arial Narrow" w:hAnsi="Arial Narrow" w:cs="Calibri"/>
                <w:color w:val="0f0d29"/>
                <w:sz w:val="20"/>
                <w:szCs w:val="20"/>
              </w:rPr>
              <w:t xml:space="preserve">3</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262" w:type="dxa"/>
            <w:vAlign w:val="center"/>
            <w:textDirection w:val="lrTb"/>
            <w:noWrap w:val="false"/>
          </w:tcPr>
          <w:p>
            <w:pPr>
              <w:pStyle w:val="1063"/>
              <w:ind w:right="-107"/>
              <w:widowControl w:val="off"/>
              <w:rPr>
                <w:sz w:val="20"/>
                <w:szCs w:val="20"/>
              </w:rPr>
            </w:pPr>
            <w:r>
              <w:rPr>
                <w:rFonts w:ascii="Arial Narrow" w:hAnsi="Arial Narrow" w:cs="Calibri"/>
                <w:color w:val="0f0d29"/>
                <w:sz w:val="20"/>
                <w:szCs w:val="20"/>
              </w:rPr>
              <w:t xml:space="preserve">группа ПАО «Камчатскэнерго»</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379" w:type="dxa"/>
            <w:vAlign w:val="center"/>
            <w:textDirection w:val="lrTb"/>
            <w:noWrap w:val="false"/>
          </w:tcPr>
          <w:p>
            <w:pPr>
              <w:pStyle w:val="1063"/>
              <w:ind w:right="-107"/>
              <w:jc w:val="center"/>
              <w:widowControl w:val="off"/>
              <w:rPr>
                <w:sz w:val="20"/>
                <w:szCs w:val="20"/>
              </w:rPr>
            </w:pPr>
            <w:r>
              <w:rPr>
                <w:rFonts w:ascii="Arial Narrow" w:hAnsi="Arial Narrow" w:cs="Calibri"/>
                <w:color w:val="0f0d29"/>
                <w:sz w:val="20"/>
                <w:szCs w:val="20"/>
              </w:rPr>
              <w:t xml:space="preserve">574,703</w:t>
            </w:r>
            <w:r>
              <w:rPr>
                <w:sz w:val="20"/>
                <w:szCs w:val="20"/>
              </w:rPr>
            </w:r>
          </w:p>
        </w:tc>
        <w:tc>
          <w:tcPr>
            <w:tcBorders>
              <w:top w:val="single" w:color="000000" w:sz="4" w:space="0"/>
              <w:left w:val="single" w:color="000000" w:sz="4" w:space="0"/>
              <w:bottom w:val="single" w:color="000000" w:sz="4" w:space="0"/>
              <w:right w:val="single" w:color="000000" w:sz="4" w:space="0"/>
            </w:tcBorders>
            <w:tcMar>
              <w:left w:w="5" w:type="dxa"/>
              <w:right w:w="5" w:type="dxa"/>
            </w:tcMar>
            <w:tcW w:w="2858" w:type="dxa"/>
            <w:vAlign w:val="center"/>
            <w:textDirection w:val="lrTb"/>
            <w:noWrap w:val="false"/>
          </w:tcPr>
          <w:p>
            <w:pPr>
              <w:pStyle w:val="1063"/>
              <w:ind w:right="-107"/>
              <w:jc w:val="center"/>
              <w:widowControl w:val="off"/>
              <w:rPr>
                <w:sz w:val="20"/>
                <w:szCs w:val="20"/>
              </w:rPr>
            </w:pPr>
            <w:r>
              <w:rPr>
                <w:rFonts w:ascii="Arial Narrow" w:hAnsi="Arial Narrow" w:cs="Calibri"/>
                <w:color w:val="0f0d29"/>
                <w:sz w:val="20"/>
                <w:szCs w:val="20"/>
              </w:rPr>
              <w:t xml:space="preserve">1 832,09</w:t>
            </w:r>
            <w:r>
              <w:rPr>
                <w:sz w:val="20"/>
                <w:szCs w:val="20"/>
              </w:rPr>
            </w:r>
            <w:r>
              <w:rPr>
                <w:sz w:val="20"/>
                <w:szCs w:val="20"/>
              </w:rPr>
            </w:r>
          </w:p>
        </w:tc>
      </w:tr>
    </w:tbl>
    <w:p>
      <w:pPr>
        <w:pStyle w:val="1063"/>
        <w:ind w:firstLine="720"/>
        <w:jc w:val="both"/>
        <w:rPr>
          <w:rFonts w:ascii="Arial Narrow" w:hAnsi="Arial Narrow" w:cs="Calibri"/>
          <w:sz w:val="12"/>
          <w:szCs w:val="12"/>
          <w:lang w:bidi="ru-RU"/>
        </w:rPr>
      </w:pPr>
      <w:r>
        <w:rPr>
          <w:rFonts w:ascii="Arial Narrow" w:hAnsi="Arial Narrow" w:cs="Calibri"/>
          <w:sz w:val="12"/>
          <w:szCs w:val="12"/>
          <w:lang w:bidi="ru-RU"/>
        </w:rPr>
      </w:r>
      <w:r>
        <w:rPr>
          <w:rFonts w:ascii="Arial Narrow" w:hAnsi="Arial Narrow" w:cs="Calibri"/>
          <w:sz w:val="12"/>
          <w:szCs w:val="12"/>
          <w:lang w:bidi="ru-RU"/>
        </w:rPr>
      </w:r>
      <w:r>
        <w:rPr>
          <w:rFonts w:ascii="Arial Narrow" w:hAnsi="Arial Narrow" w:cs="Calibri"/>
          <w:sz w:val="12"/>
          <w:szCs w:val="12"/>
          <w:lang w:bidi="ru-RU"/>
        </w:rPr>
      </w:r>
    </w:p>
    <w:p>
      <w:pPr>
        <w:pStyle w:val="1063"/>
        <w:ind w:firstLine="567"/>
        <w:jc w:val="both"/>
      </w:pPr>
      <w:r>
        <w:rPr>
          <w:rFonts w:ascii="Arial Narrow" w:hAnsi="Arial Narrow" w:cs="Calibri"/>
          <w:lang w:bidi="ru-RU"/>
        </w:rPr>
        <w:t xml:space="preserve">Группой ПАО «Камчатскэнерго» для поддержания результатов в конкурентной среде осуществляются следующие мероприятия:</w:t>
      </w:r>
      <w:r/>
    </w:p>
    <w:p>
      <w:pPr>
        <w:pStyle w:val="1063"/>
        <w:ind w:firstLine="567"/>
        <w:jc w:val="both"/>
      </w:pPr>
      <w:r>
        <w:rPr>
          <w:rFonts w:ascii="Arial Narrow" w:hAnsi="Arial Narrow" w:cs="Calibri"/>
          <w:lang w:bidi="ru-RU"/>
        </w:rPr>
        <w:t xml:space="preserve">• оптимизация топливных расходов;</w:t>
      </w:r>
      <w:r/>
    </w:p>
    <w:p>
      <w:pPr>
        <w:pStyle w:val="1063"/>
        <w:ind w:firstLine="567"/>
        <w:jc w:val="both"/>
      </w:pPr>
      <w:r>
        <w:rPr>
          <w:rFonts w:ascii="Arial Narrow" w:hAnsi="Arial Narrow" w:cs="Calibri"/>
          <w:lang w:bidi="ru-RU"/>
        </w:rPr>
        <w:t xml:space="preserve">• увеличение доходности за счет оптимизации включенных составов генерирующего оборудования и поддержания высокой готовности генерирующего оборудования к несению нагрузки;</w:t>
      </w:r>
      <w:r/>
    </w:p>
    <w:p>
      <w:pPr>
        <w:pStyle w:val="1063"/>
        <w:ind w:firstLine="567"/>
        <w:jc w:val="both"/>
      </w:pPr>
      <w:r>
        <w:rPr>
          <w:rFonts w:ascii="Arial Narrow" w:hAnsi="Arial Narrow" w:cs="Calibri"/>
          <w:lang w:bidi="ru-RU"/>
        </w:rPr>
        <w:t xml:space="preserve">• финансовый контроль и ведение программ по сокращению издержек;</w:t>
      </w:r>
      <w:r/>
    </w:p>
    <w:p>
      <w:pPr>
        <w:pStyle w:val="1063"/>
        <w:ind w:firstLine="567"/>
        <w:jc w:val="both"/>
      </w:pPr>
      <w:r>
        <w:rPr>
          <w:rFonts w:ascii="Arial Narrow" w:hAnsi="Arial Narrow" w:cs="Calibri"/>
          <w:lang w:bidi="ru-RU"/>
        </w:rPr>
        <w:t xml:space="preserve">• разработка проектов модернизации энерго и тепло оборудования.</w:t>
      </w:r>
      <w:r/>
    </w:p>
    <w:p>
      <w:pPr>
        <w:pStyle w:val="1063"/>
        <w:ind w:firstLine="720"/>
        <w:jc w:val="both"/>
        <w:rPr>
          <w:rFonts w:ascii="Arial Narrow" w:hAnsi="Arial Narrow" w:cs="Calibri"/>
          <w:sz w:val="12"/>
          <w:szCs w:val="12"/>
          <w:lang w:bidi="ru-RU"/>
        </w:rPr>
      </w:pPr>
      <w:r>
        <w:rPr>
          <w:rFonts w:ascii="Arial Narrow" w:hAnsi="Arial Narrow" w:cs="Calibri"/>
          <w:sz w:val="12"/>
          <w:szCs w:val="12"/>
          <w:lang w:bidi="ru-RU"/>
        </w:rPr>
      </w:r>
      <w:r>
        <w:rPr>
          <w:rFonts w:ascii="Arial Narrow" w:hAnsi="Arial Narrow" w:cs="Calibri"/>
          <w:sz w:val="12"/>
          <w:szCs w:val="12"/>
          <w:lang w:bidi="ru-RU"/>
        </w:rPr>
      </w:r>
      <w:r>
        <w:rPr>
          <w:rFonts w:ascii="Arial Narrow" w:hAnsi="Arial Narrow" w:cs="Calibri"/>
          <w:sz w:val="12"/>
          <w:szCs w:val="12"/>
          <w:lang w:bidi="ru-RU"/>
        </w:rPr>
      </w:r>
    </w:p>
    <w:p>
      <w:pPr>
        <w:pStyle w:val="1063"/>
        <w:jc w:val="both"/>
        <w:spacing w:after="120"/>
        <w:tabs>
          <w:tab w:val="left" w:pos="709" w:leader="none"/>
        </w:tabs>
        <w:rPr>
          <w:b/>
        </w:rPr>
      </w:pPr>
      <w:r/>
      <w:bookmarkStart w:id="18" w:name="_Toc69121003"/>
      <w:r/>
      <w:bookmarkStart w:id="19" w:name="_Toc68861836"/>
      <w:r>
        <w:rPr>
          <w:rFonts w:ascii="Arial Narrow" w:hAnsi="Arial Narrow" w:eastAsia="Calibri" w:cs="Calibri"/>
          <w:b/>
          <w:iCs/>
          <w:color w:val="314e87"/>
          <w:lang w:eastAsia="ja-JP" w:bidi="ru-RU"/>
        </w:rPr>
        <w:t xml:space="preserve">Основные клиенты (группа клиентов) Общества и принципы работы с ними (клиентская политика)</w:t>
      </w:r>
      <w:bookmarkEnd w:id="18"/>
      <w:r/>
      <w:bookmarkEnd w:id="19"/>
      <w:r>
        <w:rPr>
          <w:b/>
        </w:rPr>
      </w:r>
      <w:r>
        <w:rPr>
          <w:b/>
        </w:rPr>
      </w:r>
    </w:p>
    <w:p>
      <w:pPr>
        <w:pStyle w:val="1063"/>
        <w:ind w:firstLine="567"/>
        <w:jc w:val="both"/>
      </w:pPr>
      <w:r>
        <w:rPr>
          <w:rFonts w:ascii="Arial Narrow" w:hAnsi="Arial Narrow" w:cs="Calibri"/>
          <w:lang w:bidi="ru-RU"/>
        </w:rPr>
        <w:t xml:space="preserve">Основными покупателями электроэнергии являются:</w:t>
      </w: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УК, ТСЖ, население на прямых расчетах;</w:t>
      </w:r>
      <w:r>
        <w:rPr>
          <w:lang w:val="ru-RU"/>
        </w:rPr>
      </w:r>
      <w:r>
        <w:rPr>
          <w:lang w:val="ru-RU"/>
        </w:rP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Промышленность (в том числе горнодобывающие предприятия: АО «Аметистовое», АО</w:t>
      </w:r>
      <w:r>
        <w:rPr>
          <w:rFonts w:ascii="Arial Narrow" w:hAnsi="Arial Narrow" w:cs="Calibri"/>
          <w:sz w:val="24"/>
          <w:szCs w:val="24"/>
          <w:lang w:bidi="ru-RU"/>
        </w:rPr>
        <w:t xml:space="preserve"> </w:t>
      </w:r>
      <w:r>
        <w:rPr>
          <w:rFonts w:ascii="Arial Narrow" w:hAnsi="Arial Narrow" w:cs="Calibri"/>
          <w:sz w:val="24"/>
          <w:szCs w:val="24"/>
          <w:lang w:val="ru-RU" w:bidi="ru-RU"/>
        </w:rPr>
        <w:t xml:space="preserve">«Тревожное зарево, АО «Камголд», АО «Камчатское золото», АО «СИГМА»);</w:t>
      </w:r>
      <w:r>
        <w:rPr>
          <w:lang w:val="ru-RU"/>
        </w:rPr>
      </w:r>
      <w:r>
        <w:rPr>
          <w:lang w:val="ru-RU"/>
        </w:rP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Предприятия, финансируемые из средств федерального бюджета (в том числе ФГБУ «ЦЖКУ» Минобороны России, ФГКУ «Пограничное управление Федеральной службы безопасности Российской Федерации по</w:t>
      </w:r>
      <w:r>
        <w:rPr>
          <w:rFonts w:ascii="Arial Narrow" w:hAnsi="Arial Narrow" w:cs="Calibri"/>
          <w:sz w:val="24"/>
          <w:szCs w:val="24"/>
          <w:lang w:bidi="ru-RU"/>
        </w:rPr>
        <w:t xml:space="preserve"> </w:t>
      </w:r>
      <w:r>
        <w:rPr>
          <w:rFonts w:ascii="Arial Narrow" w:hAnsi="Arial Narrow" w:cs="Calibri"/>
          <w:sz w:val="24"/>
          <w:szCs w:val="24"/>
          <w:lang w:val="ru-RU" w:bidi="ru-RU"/>
        </w:rPr>
        <w:t xml:space="preserve">восточному</w:t>
      </w:r>
      <w:r>
        <w:rPr>
          <w:rFonts w:ascii="Arial Narrow" w:hAnsi="Arial Narrow" w:cs="Calibri"/>
          <w:sz w:val="24"/>
          <w:szCs w:val="24"/>
          <w:lang w:val="ru-RU" w:bidi="ru-RU"/>
        </w:rPr>
        <w:t xml:space="preserve"> арктическому району», ФКУ «Центр хозяйственного и сервисного обеспечения Управления Министерства внутренних дел Российской Федерации», ФКУ «Исправительная колония № 5 УФСИН по Камчатскому краю», ФКУ «Исправительная колония № 6 УФСИН по Камчатскому краю»);</w:t>
      </w:r>
      <w:r>
        <w:rPr>
          <w:lang w:val="ru-RU"/>
        </w:rPr>
      </w:r>
      <w:r>
        <w:rPr>
          <w:lang w:val="ru-RU"/>
        </w:rP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bidi="ru-RU"/>
        </w:rPr>
        <w:t xml:space="preserve">Предприятия ЖКХ, ВКХ;</w:t>
      </w: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val="ru-RU" w:bidi="ru-RU"/>
        </w:rPr>
        <w:t xml:space="preserve">ОПП (АО «Камчатские электрические сети им. </w:t>
      </w:r>
      <w:r>
        <w:rPr>
          <w:rFonts w:ascii="Arial Narrow" w:hAnsi="Arial Narrow" w:cs="Calibri"/>
          <w:sz w:val="24"/>
          <w:szCs w:val="24"/>
          <w:lang w:bidi="ru-RU"/>
        </w:rPr>
        <w:t xml:space="preserve">И.А. Пискунова»).</w:t>
      </w:r>
      <w:r/>
    </w:p>
    <w:p>
      <w:pPr>
        <w:pStyle w:val="1063"/>
        <w:ind w:firstLine="567"/>
        <w:jc w:val="both"/>
      </w:pPr>
      <w:r>
        <w:rPr>
          <w:rFonts w:ascii="Arial Narrow" w:hAnsi="Arial Narrow" w:cs="Calibri"/>
          <w:lang w:bidi="ru-RU"/>
        </w:rPr>
        <w:t xml:space="preserve">Основными покупателями теплоэнергии являются:</w:t>
      </w: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УК, ТСЖ, население на прямых расчетах;</w:t>
      </w:r>
      <w:r>
        <w:rPr>
          <w:lang w:val="ru-RU"/>
        </w:rPr>
      </w:r>
      <w:r>
        <w:rPr>
          <w:lang w:val="ru-RU"/>
        </w:rP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Предприятия, финансируемые из средств регионального и местного бюджетов (в том числе учреждения здравоохранения и образования);</w:t>
      </w:r>
      <w:r>
        <w:rPr>
          <w:lang w:val="ru-RU"/>
        </w:rPr>
      </w:r>
      <w:r>
        <w:rPr>
          <w:lang w:val="ru-RU"/>
        </w:rP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Предприятия, финансируемые из средств федерального бюджета (в том числе ФГБУ «ЦЖКУ» Минобороны России по ТОФ ЖЭ(К)О № 3, ФКУ «Центр хозяйственного и </w:t>
      </w:r>
      <w:r>
        <w:rPr>
          <w:rFonts w:ascii="Arial Narrow" w:hAnsi="Arial Narrow" w:cs="Calibri"/>
          <w:sz w:val="24"/>
          <w:szCs w:val="24"/>
          <w:lang w:val="ru-RU" w:bidi="ru-RU"/>
        </w:rPr>
        <w:t xml:space="preserve">сервисного обеспечения Управления Министерства внутренних дел Российской Федерации», Федеральное государственное бюджетное образовательное учреждение высшего образования «Камчатский государственный технический университет», Территориальный отдел «Камчатски</w:t>
      </w:r>
      <w:r>
        <w:rPr>
          <w:rFonts w:ascii="Arial Narrow" w:hAnsi="Arial Narrow" w:cs="Calibri"/>
          <w:sz w:val="24"/>
          <w:szCs w:val="24"/>
          <w:lang w:val="ru-RU" w:bidi="ru-RU"/>
        </w:rPr>
        <w:t xml:space="preserve">й» филиала «Восточный» ФГАУ «Центральное управление жилищно-социальной инфраструктуры (комплекса)» Министерства обороны Российской Федерации, Управление Судебного департамента в Камчатском крае, Управление Федеральной налоговой службы по Камчатскому краю, </w:t>
      </w:r>
      <w:r>
        <w:rPr>
          <w:rFonts w:ascii="Arial Narrow" w:hAnsi="Arial Narrow" w:cs="Calibri"/>
          <w:sz w:val="24"/>
          <w:szCs w:val="24"/>
          <w:lang w:bidi="ru-RU"/>
        </w:rPr>
        <w:t xml:space="preserve"> </w:t>
      </w:r>
      <w:r>
        <w:rPr>
          <w:rFonts w:ascii="Arial Narrow" w:hAnsi="Arial Narrow" w:cs="Calibri"/>
          <w:sz w:val="24"/>
          <w:szCs w:val="24"/>
          <w:lang w:val="ru-RU" w:bidi="ru-RU"/>
        </w:rPr>
        <w:t xml:space="preserve">Управление Федеральной службы безопасности Российской Федерации по Камчатскому краю).</w:t>
      </w:r>
      <w:r>
        <w:rPr>
          <w:lang w:val="ru-RU"/>
        </w:rPr>
      </w:r>
      <w:r>
        <w:rPr>
          <w:lang w:val="ru-RU"/>
        </w:rPr>
      </w:r>
    </w:p>
    <w:p>
      <w:pPr>
        <w:pStyle w:val="1063"/>
        <w:ind w:firstLine="567"/>
        <w:jc w:val="both"/>
      </w:pPr>
      <w:r>
        <w:rPr>
          <w:rFonts w:ascii="Arial Narrow" w:hAnsi="Arial Narrow" w:cs="Calibri"/>
          <w:lang w:bidi="ru-RU"/>
        </w:rPr>
        <w:t xml:space="preserve">С 01.01.2020 в рамках заключенного агентского договора между ПАО «ДЭК» и ПАО «Камчатскэнерго», ПАО «ДЭК» ведет работу с потребителями тепловой и электрической энергии в Камчатском крае от имени и по поручению ПАО «Камчатскэнерго».</w:t>
      </w:r>
      <w:r/>
    </w:p>
    <w:p>
      <w:pPr>
        <w:pStyle w:val="1063"/>
        <w:ind w:firstLine="567"/>
        <w:jc w:val="both"/>
      </w:pPr>
      <w:r>
        <w:rPr>
          <w:rFonts w:ascii="Arial Narrow" w:hAnsi="Arial Narrow" w:cs="Calibri"/>
          <w:lang w:bidi="ru-RU"/>
        </w:rPr>
        <w:t xml:space="preserve"> В связи с реализацией норм действующего законодательства и вступивших в силу </w:t>
      </w:r>
      <w:r>
        <w:rPr>
          <w:rFonts w:ascii="Arial Narrow" w:hAnsi="Arial Narrow" w:cs="Calibri"/>
          <w:lang w:bidi="ru-RU"/>
        </w:rPr>
        <w:t xml:space="preserve">изменений и дополнений к действующим Постановлениям Правительства Российской Федерации приоритетными, устанавливающими базовые требования по взаимодействию с клиентами при оказании услуг в сфере электро- и теплоснабжения были поставлены следующие задачи:  </w:t>
      </w: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создание вокруг энергокомпании позитивного информационного пространства.</w:t>
      </w:r>
      <w:r>
        <w:rPr>
          <w:lang w:val="ru-RU"/>
        </w:rPr>
      </w:r>
      <w:r>
        <w:rPr>
          <w:lang w:val="ru-RU"/>
        </w:rP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формирование дружественной информационной среды, которая способствовала бы осуществлению деятельности энергокомпании и повышению ее привлекательности в глазах целевой аудитории.</w:t>
      </w:r>
      <w:r>
        <w:rPr>
          <w:lang w:val="ru-RU"/>
        </w:rPr>
      </w:r>
      <w:r>
        <w:rPr>
          <w:lang w:val="ru-RU"/>
        </w:rP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формирование полного и достоверного информационного представления о деятельности энергокомпании.</w:t>
      </w:r>
      <w:r>
        <w:rPr>
          <w:lang w:val="ru-RU"/>
        </w:rPr>
      </w:r>
      <w:r>
        <w:rPr>
          <w:lang w:val="ru-RU"/>
        </w:rP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формирование у клиентов убеждения в необходимости своевременной оплаты счетов за электрическую и тепловую энергию.</w:t>
      </w:r>
      <w:r>
        <w:rPr>
          <w:lang w:val="ru-RU"/>
        </w:rPr>
      </w:r>
      <w:r>
        <w:rPr>
          <w:lang w:val="ru-RU"/>
        </w:rP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формирование негативного образа неплательщика, расхитителей электрической и тепловой энергии.</w:t>
      </w:r>
      <w:r>
        <w:rPr>
          <w:lang w:val="ru-RU"/>
        </w:rPr>
      </w:r>
      <w:r>
        <w:rPr>
          <w:lang w:val="ru-RU"/>
        </w:rPr>
      </w:r>
    </w:p>
    <w:p>
      <w:pPr>
        <w:pStyle w:val="1063"/>
        <w:ind w:firstLine="567"/>
        <w:jc w:val="both"/>
      </w:pPr>
      <w:r>
        <w:rPr>
          <w:rFonts w:ascii="Arial Narrow" w:hAnsi="Arial Narrow" w:cs="Calibri"/>
          <w:lang w:bidi="ru-RU"/>
        </w:rPr>
        <w:t xml:space="preserve">Целевая аудитория:</w:t>
      </w: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клиенты ПАО «Камчатскэнерго» - физические и юридические лица.</w:t>
      </w:r>
      <w:r>
        <w:rPr>
          <w:lang w:val="ru-RU"/>
        </w:rPr>
      </w:r>
      <w:r>
        <w:rPr>
          <w:lang w:val="ru-RU"/>
        </w:rP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val="ru-RU" w:bidi="ru-RU"/>
        </w:rPr>
        <w:t xml:space="preserve"> </w:t>
      </w:r>
      <w:r>
        <w:rPr>
          <w:rFonts w:ascii="Arial Narrow" w:hAnsi="Arial Narrow" w:cs="Calibri"/>
          <w:sz w:val="24"/>
          <w:szCs w:val="24"/>
          <w:lang w:bidi="ru-RU"/>
        </w:rPr>
        <w:t xml:space="preserve">средства массовой информации региона.</w:t>
      </w: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bidi="ru-RU"/>
        </w:rPr>
        <w:t xml:space="preserve">руководители предприятий и организаций.</w:t>
      </w: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органы исполнительной и законодательной власти, общественные организации.</w:t>
      </w:r>
      <w:r>
        <w:rPr>
          <w:lang w:val="ru-RU"/>
        </w:rPr>
      </w:r>
      <w:r>
        <w:rPr>
          <w:lang w:val="ru-RU"/>
        </w:rPr>
      </w:r>
    </w:p>
    <w:p>
      <w:pPr>
        <w:pStyle w:val="1063"/>
        <w:jc w:val="both"/>
        <w:tabs>
          <w:tab w:val="left" w:pos="709" w:leader="none"/>
        </w:tabs>
        <w:rPr>
          <w:rFonts w:ascii="Arial Narrow" w:hAnsi="Arial Narrow" w:eastAsia="Calibri" w:cs="Calibri"/>
          <w:color w:val="314e87"/>
          <w:sz w:val="12"/>
          <w:szCs w:val="12"/>
          <w:lang w:eastAsia="ja-JP" w:bidi="ru-RU"/>
        </w:rPr>
      </w:pPr>
      <w:r>
        <w:rPr>
          <w:rFonts w:ascii="Arial Narrow" w:hAnsi="Arial Narrow" w:eastAsia="Calibri" w:cs="Calibri"/>
          <w:color w:val="314e87"/>
          <w:sz w:val="12"/>
          <w:szCs w:val="12"/>
          <w:lang w:eastAsia="ja-JP" w:bidi="ru-RU"/>
        </w:rPr>
      </w:r>
      <w:r>
        <w:rPr>
          <w:rFonts w:ascii="Arial Narrow" w:hAnsi="Arial Narrow" w:eastAsia="Calibri" w:cs="Calibri"/>
          <w:color w:val="314e87"/>
          <w:sz w:val="12"/>
          <w:szCs w:val="12"/>
          <w:lang w:eastAsia="ja-JP" w:bidi="ru-RU"/>
        </w:rPr>
      </w:r>
      <w:r>
        <w:rPr>
          <w:rFonts w:ascii="Arial Narrow" w:hAnsi="Arial Narrow" w:eastAsia="Calibri" w:cs="Calibri"/>
          <w:color w:val="314e87"/>
          <w:sz w:val="12"/>
          <w:szCs w:val="12"/>
          <w:lang w:eastAsia="ja-JP" w:bidi="ru-RU"/>
        </w:rPr>
      </w:r>
    </w:p>
    <w:p>
      <w:pPr>
        <w:pStyle w:val="1063"/>
        <w:jc w:val="both"/>
        <w:spacing w:after="120"/>
        <w:tabs>
          <w:tab w:val="left" w:pos="709" w:leader="none"/>
        </w:tabs>
        <w:rPr>
          <w:b/>
        </w:rPr>
      </w:pPr>
      <w:r>
        <w:rPr>
          <w:rFonts w:ascii="Arial Narrow" w:hAnsi="Arial Narrow" w:eastAsia="Calibri" w:cs="Calibri"/>
          <w:b/>
          <w:iCs/>
          <w:color w:val="314e87"/>
          <w:lang w:eastAsia="ja-JP" w:bidi="ru-RU"/>
        </w:rPr>
        <w:t xml:space="preserve">Основными информационными направлениями в 2024 году стали:</w:t>
      </w:r>
      <w:r>
        <w:rPr>
          <w:b/>
        </w:rPr>
      </w:r>
      <w:r>
        <w:rPr>
          <w:b/>
        </w:rPr>
      </w:r>
    </w:p>
    <w:p>
      <w:pPr>
        <w:pStyle w:val="1063"/>
        <w:jc w:val="both"/>
        <w:spacing w:after="120"/>
        <w:tabs>
          <w:tab w:val="left" w:pos="709" w:leader="none"/>
        </w:tabs>
        <w:rPr>
          <w:b/>
        </w:rPr>
      </w:pPr>
      <w:r>
        <w:rPr>
          <w:rFonts w:ascii="Arial Narrow" w:hAnsi="Arial Narrow" w:eastAsia="Calibri" w:cs="Calibri"/>
          <w:b/>
          <w:i/>
          <w:iCs/>
          <w:color w:val="314e87"/>
          <w:lang w:eastAsia="ja-JP" w:bidi="ru-RU"/>
        </w:rPr>
        <w:t xml:space="preserve">Мероприятия по снижению дебиторской задолженности</w:t>
      </w:r>
      <w:r>
        <w:rPr>
          <w:b/>
        </w:rPr>
      </w:r>
      <w:r>
        <w:rPr>
          <w:b/>
        </w:rPr>
      </w:r>
    </w:p>
    <w:p>
      <w:pPr>
        <w:pStyle w:val="1063"/>
        <w:ind w:firstLine="567"/>
        <w:jc w:val="both"/>
        <w:spacing w:line="276" w:lineRule="auto"/>
      </w:pPr>
      <w:r>
        <w:rPr>
          <w:rFonts w:ascii="Arial Narrow" w:hAnsi="Arial Narrow" w:cs="Calibri"/>
          <w:lang w:bidi="ru-RU"/>
        </w:rPr>
        <w:t xml:space="preserve">Проблемы неоплаты задолженности за потребленные энергоресурсы – одно из основных направлений работы. Привлечение внимания к проблеме органов исполнительной власти, надзорных и контролирующих органов, а также общественности – одна из главных задач </w:t>
      </w:r>
      <w:r>
        <w:rPr>
          <w:rFonts w:ascii="Arial Narrow" w:hAnsi="Arial Narrow" w:cs="Calibri"/>
          <w:lang w:val="en-US" w:bidi="ru-RU"/>
        </w:rPr>
        <w:t xml:space="preserve">PR</w:t>
      </w:r>
      <w:r>
        <w:rPr>
          <w:rFonts w:ascii="Arial Narrow" w:hAnsi="Arial Narrow" w:cs="Calibri"/>
          <w:lang w:bidi="ru-RU"/>
        </w:rPr>
        <w:t xml:space="preserve">-службы на протяжении всего года.</w:t>
      </w:r>
      <w:r/>
    </w:p>
    <w:p>
      <w:pPr>
        <w:pStyle w:val="1063"/>
        <w:ind w:firstLine="567"/>
        <w:jc w:val="both"/>
        <w:spacing w:line="276" w:lineRule="auto"/>
      </w:pPr>
      <w:r>
        <w:rPr>
          <w:rFonts w:ascii="Arial Narrow" w:hAnsi="Arial Narrow" w:cs="Calibri"/>
          <w:lang w:bidi="ru-RU"/>
        </w:rPr>
        <w:t xml:space="preserve">В СМИ региона регулярно публикуются материалы о недопустимости накопления задолженности, о существующих мерах взыскания долга – от введения ограничений электроэнергии до исковых заявлений в суд и принудительного взыскания долга судебными приставами.</w:t>
      </w:r>
      <w:r/>
    </w:p>
    <w:p>
      <w:pPr>
        <w:pStyle w:val="1063"/>
        <w:ind w:firstLine="567"/>
        <w:jc w:val="both"/>
        <w:spacing w:line="276" w:lineRule="auto"/>
      </w:pPr>
      <w:r>
        <w:rPr>
          <w:rFonts w:ascii="Arial Narrow" w:hAnsi="Arial Narrow" w:cs="Calibri"/>
          <w:lang w:bidi="ru-RU"/>
        </w:rPr>
        <w:t xml:space="preserve">В туристический сезон – информация о должниках, которым ограничен выезд за пределы РФ по причине задолженности за тепловую и электрическую энергию.</w:t>
      </w:r>
      <w:r/>
    </w:p>
    <w:p>
      <w:pPr>
        <w:pStyle w:val="1063"/>
        <w:ind w:firstLine="567"/>
        <w:jc w:val="both"/>
        <w:spacing w:line="276" w:lineRule="auto"/>
      </w:pPr>
      <w:r>
        <w:rPr>
          <w:rFonts w:ascii="Arial Narrow" w:hAnsi="Arial Narrow" w:cs="Calibri"/>
          <w:lang w:bidi="ru-RU"/>
        </w:rPr>
        <w:t xml:space="preserve">Регулярно с последующим освещением в СМИ проводятся рейды с участием службы экономической безопасности филиала и участковых уполномоченных полиции, в ходе которых в отношении злостных должников составляются протоколы по ст. 7.19 КоАП РФ.</w:t>
      </w:r>
      <w:r/>
    </w:p>
    <w:p>
      <w:pPr>
        <w:pStyle w:val="1063"/>
        <w:ind w:firstLine="567"/>
        <w:jc w:val="both"/>
        <w:spacing w:line="276" w:lineRule="auto"/>
      </w:pPr>
      <w:r>
        <w:rPr>
          <w:rFonts w:ascii="Arial Narrow" w:hAnsi="Arial Narrow" w:cs="Calibri"/>
          <w:lang w:bidi="ru-RU"/>
        </w:rPr>
        <w:t xml:space="preserve">В общественном транспорте Петропавловска-Камчатского (5 маршрутов) размещены информационные материалы от недопустимости накопления долга и мерах воздействия на должников. Автобусы маршрутов 4,12,20,21,30 (с 15 апреля по 14 октября).</w:t>
      </w:r>
      <w:r/>
    </w:p>
    <w:p>
      <w:pPr>
        <w:pStyle w:val="1063"/>
        <w:ind w:firstLine="567"/>
        <w:jc w:val="both"/>
        <w:spacing w:line="276" w:lineRule="auto"/>
      </w:pPr>
      <w:r>
        <w:rPr>
          <w:rFonts w:ascii="Arial Narrow" w:hAnsi="Arial Narrow" w:cs="Calibri"/>
          <w:lang w:bidi="ru-RU"/>
        </w:rPr>
        <w:t xml:space="preserve">Ведется разъяснительная работа в СМИ о необходимости своевременной оплаты счетов, погашения задолженности, последствиях неоплаты долга и возможности заключить соглашение с энергокомпанией о реструктуризации долга.</w:t>
      </w:r>
      <w:r/>
    </w:p>
    <w:p>
      <w:pPr>
        <w:pStyle w:val="1063"/>
        <w:jc w:val="both"/>
        <w:spacing w:before="120" w:after="120"/>
        <w:tabs>
          <w:tab w:val="left" w:pos="709" w:leader="none"/>
        </w:tabs>
        <w:rPr>
          <w:rFonts w:ascii="Arial Narrow" w:hAnsi="Arial Narrow" w:eastAsia="Calibri" w:cs="Calibri"/>
          <w:b/>
          <w:i/>
          <w:iCs/>
          <w:color w:val="314e87"/>
          <w:lang w:eastAsia="ja-JP" w:bidi="ru-RU"/>
        </w:rPr>
      </w:pPr>
      <w:r>
        <w:rPr>
          <w:rFonts w:ascii="Arial Narrow" w:hAnsi="Arial Narrow" w:eastAsia="Calibri" w:cs="Calibri"/>
          <w:b/>
          <w:i/>
          <w:iCs/>
          <w:color w:val="314e87"/>
          <w:lang w:eastAsia="ja-JP" w:bidi="ru-RU"/>
        </w:rPr>
        <w:t xml:space="preserve">Разъяснительная работа по изменению законодательства Российской Федерации</w:t>
      </w:r>
      <w:r>
        <w:rPr>
          <w:rFonts w:ascii="Arial Narrow" w:hAnsi="Arial Narrow" w:eastAsia="Calibri" w:cs="Calibri"/>
          <w:b/>
          <w:i/>
          <w:iCs/>
          <w:color w:val="314e87"/>
          <w:lang w:eastAsia="ja-JP" w:bidi="ru-RU"/>
        </w:rPr>
      </w:r>
      <w:r>
        <w:rPr>
          <w:rFonts w:ascii="Arial Narrow" w:hAnsi="Arial Narrow" w:eastAsia="Calibri" w:cs="Calibri"/>
          <w:b/>
          <w:i/>
          <w:iCs/>
          <w:color w:val="314e87"/>
          <w:lang w:eastAsia="ja-JP" w:bidi="ru-RU"/>
        </w:rPr>
      </w:r>
    </w:p>
    <w:p>
      <w:pPr>
        <w:pStyle w:val="1063"/>
        <w:ind w:firstLine="567"/>
        <w:jc w:val="both"/>
        <w:spacing w:line="276" w:lineRule="auto"/>
      </w:pPr>
      <w:r>
        <w:rPr>
          <w:rFonts w:ascii="Arial Narrow" w:hAnsi="Arial Narrow" w:cs="Calibri"/>
          <w:lang w:bidi="ru-RU"/>
        </w:rPr>
        <w:t xml:space="preserve">Пресс-служба ведет разъяснительную работу, сообщая клиентам об изменении законодательства РФ в сфере жилищно-коммунального хозяйства. Одно из значимых изменений – Федеральный закон </w:t>
      </w:r>
      <w:r>
        <w:rPr>
          <w:rFonts w:ascii="Arial Narrow" w:hAnsi="Arial Narrow" w:cs="Calibri"/>
          <w:lang w:bidi="ru-RU"/>
        </w:rPr>
        <w:br/>
        <w:t xml:space="preserve">от 27.12.2018 № 522-ФЗ «О внесении изменений в отдельные законодательные акты Российской Федерации в связи с развитием систем учета электрической энергии (мощности) в Российской Федерации». В рамках исполнения закона ПАО «Камчатскэн</w:t>
      </w:r>
      <w:r>
        <w:rPr>
          <w:rFonts w:ascii="Arial Narrow" w:hAnsi="Arial Narrow" w:cs="Calibri"/>
          <w:lang w:bidi="ru-RU"/>
        </w:rPr>
        <w:t xml:space="preserve">ерго» бесплатно производит установку отсутствующих и неисправных приборов учета электроэнергии, а также замену счетчиков с истекшим межповерочным интервалом. Информация о замене и установке приборов учета освещается в средствах массовой информации региона.</w:t>
      </w:r>
      <w:r/>
    </w:p>
    <w:p>
      <w:pPr>
        <w:pStyle w:val="1063"/>
        <w:ind w:firstLine="567"/>
        <w:jc w:val="both"/>
        <w:spacing w:line="276" w:lineRule="auto"/>
      </w:pPr>
      <w:r>
        <w:rPr>
          <w:rFonts w:ascii="Arial Narrow" w:hAnsi="Arial Narrow" w:cs="Calibri"/>
          <w:lang w:bidi="ru-RU"/>
        </w:rPr>
        <w:t xml:space="preserve">9 сентября 2024 года вступили в силу изменения, предусмотренные Федеральным законом от 08.08.2024 № 259-ФЗ, в соответствии с которыми государственная пошлина при обращении в суд увели</w:t>
      </w:r>
      <w:r>
        <w:rPr>
          <w:rFonts w:ascii="Arial Narrow" w:hAnsi="Arial Narrow" w:cs="Calibri"/>
          <w:lang w:bidi="ru-RU"/>
        </w:rPr>
        <w:t xml:space="preserve">чилась в десять раз. Эти изменения особенно касаются клиентов, имеющих долги за потребленные энергоресурсы — к сумме задолженности добавлены дополнительные издержки в виде десятикратно выросшей госпошлины. Данная информация широко освещалась в СМИ региона.</w:t>
      </w:r>
      <w:r/>
    </w:p>
    <w:p>
      <w:pPr>
        <w:pStyle w:val="1063"/>
        <w:jc w:val="both"/>
        <w:spacing w:before="120" w:after="120"/>
        <w:tabs>
          <w:tab w:val="left" w:pos="709" w:leader="none"/>
        </w:tabs>
        <w:rPr>
          <w:rFonts w:ascii="Arial Narrow" w:hAnsi="Arial Narrow" w:eastAsia="Calibri" w:cs="Calibri"/>
          <w:b/>
          <w:i/>
          <w:iCs/>
          <w:color w:val="314e87"/>
          <w:lang w:eastAsia="ja-JP" w:bidi="ru-RU"/>
        </w:rPr>
      </w:pPr>
      <w:r>
        <w:rPr>
          <w:rFonts w:ascii="Arial Narrow" w:hAnsi="Arial Narrow" w:eastAsia="Calibri" w:cs="Calibri"/>
          <w:b/>
          <w:i/>
          <w:iCs/>
          <w:color w:val="314e87"/>
          <w:lang w:eastAsia="ja-JP" w:bidi="ru-RU"/>
        </w:rPr>
        <w:t xml:space="preserve">Популяризация интерактивных сервисов</w:t>
      </w:r>
      <w:r>
        <w:rPr>
          <w:rFonts w:ascii="Arial Narrow" w:hAnsi="Arial Narrow" w:eastAsia="Calibri" w:cs="Calibri"/>
          <w:b/>
          <w:i/>
          <w:iCs/>
          <w:color w:val="314e87"/>
          <w:lang w:eastAsia="ja-JP" w:bidi="ru-RU"/>
        </w:rPr>
      </w:r>
      <w:r>
        <w:rPr>
          <w:rFonts w:ascii="Arial Narrow" w:hAnsi="Arial Narrow" w:eastAsia="Calibri" w:cs="Calibri"/>
          <w:b/>
          <w:i/>
          <w:iCs/>
          <w:color w:val="314e87"/>
          <w:lang w:eastAsia="ja-JP" w:bidi="ru-RU"/>
        </w:rPr>
      </w:r>
    </w:p>
    <w:p>
      <w:pPr>
        <w:pStyle w:val="1063"/>
        <w:ind w:firstLine="567"/>
        <w:jc w:val="both"/>
        <w:spacing w:line="276" w:lineRule="auto"/>
      </w:pPr>
      <w:r>
        <w:rPr>
          <w:rFonts w:ascii="Arial Narrow" w:hAnsi="Arial Narrow" w:cs="Calibri"/>
          <w:lang w:bidi="ru-RU"/>
        </w:rPr>
        <w:t xml:space="preserve">В СМИ региона размещается информация о дистанционных способах оплаты счетов, передачи показаний, возможности решить свои вопросы посредств</w:t>
      </w:r>
      <w:r>
        <w:rPr>
          <w:rFonts w:ascii="Arial Narrow" w:hAnsi="Arial Narrow" w:cs="Calibri"/>
          <w:lang w:bidi="ru-RU"/>
        </w:rPr>
        <w:t xml:space="preserve">ом Интернет-приемной. Среди населения Камчатского края выросла популярность интернет-сервисов – личного кабинета и его мобильного приложения. Одним из плюсов этих сервисов стала возможность дистанционной оплаты счетов без комиссии за проведение транзакции.</w:t>
      </w:r>
      <w:r/>
    </w:p>
    <w:p>
      <w:pPr>
        <w:pStyle w:val="1063"/>
        <w:ind w:firstLine="567"/>
        <w:jc w:val="both"/>
        <w:spacing w:line="276" w:lineRule="auto"/>
      </w:pPr>
      <w:r>
        <w:rPr>
          <w:rFonts w:ascii="Arial Narrow" w:hAnsi="Arial Narrow" w:cs="Calibri"/>
          <w:lang w:bidi="ru-RU"/>
        </w:rPr>
        <w:t xml:space="preserve">В январе 2024 года ДЭК з</w:t>
      </w:r>
      <w:r>
        <w:rPr>
          <w:rFonts w:ascii="Arial Narrow" w:hAnsi="Arial Narrow" w:cs="Calibri"/>
          <w:lang w:bidi="ru-RU"/>
        </w:rPr>
        <w:t xml:space="preserve">апустила новый интерактивный онлайн-сервис для оплаты коммунальных услуг на Камчатке. Платежная страница ДЭК позволяет жителям Камчатского края без комиссии, без регистрации онлайн оплачивать услуги, включенные в платежный документ от ПАО «Камчатскэнерго».</w:t>
      </w:r>
      <w:r/>
    </w:p>
    <w:p>
      <w:pPr>
        <w:pStyle w:val="1063"/>
        <w:ind w:firstLine="567"/>
        <w:jc w:val="both"/>
        <w:spacing w:line="276" w:lineRule="auto"/>
      </w:pPr>
      <w:r>
        <w:rPr>
          <w:rFonts w:ascii="Arial Narrow" w:hAnsi="Arial Narrow" w:cs="Calibri"/>
          <w:lang w:bidi="ru-RU"/>
        </w:rPr>
        <w:t xml:space="preserve">В течение 2024 года вел</w:t>
      </w:r>
      <w:r>
        <w:rPr>
          <w:rFonts w:ascii="Arial Narrow" w:hAnsi="Arial Narrow" w:cs="Calibri"/>
          <w:lang w:bidi="ru-RU"/>
        </w:rPr>
        <w:t xml:space="preserve">ась активная работа по популяризации интерактивных сервисов — платежной страницы, личного кабинета, его мобильной версии и подписки на получение квитанции по электронной почте. К концу года в личном кабинете зарегистрировано более 80 285 лицевых счетов.   </w:t>
      </w:r>
      <w:r>
        <w:rPr>
          <w:rFonts w:ascii="Arial Narrow" w:hAnsi="Arial Narrow" w:cs="Calibri"/>
          <w:lang w:bidi="ru-RU"/>
        </w:rPr>
        <w:br/>
        <w:t xml:space="preserve">60 226 клиенто</w:t>
      </w:r>
      <w:r>
        <w:rPr>
          <w:rFonts w:ascii="Arial Narrow" w:hAnsi="Arial Narrow" w:cs="Calibri"/>
          <w:lang w:bidi="ru-RU"/>
        </w:rPr>
        <w:t xml:space="preserve">в оценили удобство и экологичность электронного платежного документа. Уменьшились жалобы на доставку бумажных квитанций – по электронной почте счета приходят первого числа каждого месяца, а также содержат прямую ссылку на оплату с помощью банковской карты.</w:t>
      </w:r>
      <w:r/>
    </w:p>
    <w:p>
      <w:pPr>
        <w:pStyle w:val="1063"/>
        <w:ind w:firstLine="567"/>
        <w:jc w:val="both"/>
        <w:spacing w:line="276" w:lineRule="auto"/>
      </w:pPr>
      <w:r>
        <w:rPr>
          <w:rFonts w:ascii="Arial Narrow" w:hAnsi="Arial Narrow" w:cs="Calibri"/>
          <w:lang w:bidi="ru-RU"/>
        </w:rPr>
        <w:t xml:space="preserve">Личный кабинет и мобильное приложение позволяю</w:t>
      </w:r>
      <w:r>
        <w:rPr>
          <w:rFonts w:ascii="Arial Narrow" w:hAnsi="Arial Narrow" w:cs="Calibri"/>
          <w:lang w:bidi="ru-RU"/>
        </w:rPr>
        <w:t xml:space="preserve">т клиентам самостоятельно решать практически все основные вопросы в сфере потребления тепловой и электрической энергии. В личном кабинете можно быстро получить актуальную информацию о лицевом счете, включая историю платежей и начислений, передать показания</w:t>
      </w:r>
      <w:r>
        <w:rPr>
          <w:rFonts w:ascii="Arial Narrow" w:hAnsi="Arial Narrow" w:cs="Calibri"/>
          <w:lang w:bidi="ru-RU"/>
        </w:rPr>
        <w:t xml:space="preserve"> приборов учета, отследить возможную задолженность, распечатать дубликат квитанции и без комиссии оплатить ее. Многие жители края прикрепили к своему аккаунту лицевые счета своих родителей и теперь могут отслеживать информацию по нескольким лицевым счетам.</w:t>
      </w:r>
      <w:r/>
    </w:p>
    <w:p>
      <w:pPr>
        <w:pStyle w:val="1063"/>
        <w:ind w:firstLine="567"/>
        <w:jc w:val="both"/>
        <w:spacing w:line="276" w:lineRule="auto"/>
      </w:pPr>
      <w:r>
        <w:rPr>
          <w:rFonts w:ascii="Arial Narrow" w:hAnsi="Arial Narrow" w:cs="Calibri"/>
          <w:lang w:bidi="ru-RU"/>
        </w:rPr>
        <w:t xml:space="preserve">Электронная квитанция – еще один оцененный клиентами сервис. Преимущества электронного платежного документа: квитанция приходит на электронную почту потребителя уже на следующий день после произведенного расчета – кли</w:t>
      </w:r>
      <w:r>
        <w:rPr>
          <w:rFonts w:ascii="Arial Narrow" w:hAnsi="Arial Narrow" w:cs="Calibri"/>
          <w:lang w:bidi="ru-RU"/>
        </w:rPr>
        <w:t xml:space="preserve">ент видит ее на несколько дней раньше, чем бумажный аналог. Электронные квитанции не требуют ресурсов на печать и изготовление бумаги, а значит, уменьшаются отходы от выработанных картриджей, выработавших ресурс принтеров, сокращается вырубка деревьев. На </w:t>
      </w:r>
      <w:r>
        <w:rPr>
          <w:rFonts w:ascii="Arial Narrow" w:hAnsi="Arial Narrow" w:cs="Calibri"/>
          <w:lang w:bidi="ru-RU"/>
        </w:rPr>
        <w:t xml:space="preserve">один электронный адрес можно оформить получение нескольких квитанций, например, старш</w:t>
      </w:r>
      <w:r>
        <w:rPr>
          <w:rFonts w:ascii="Arial Narrow" w:hAnsi="Arial Narrow" w:cs="Calibri"/>
          <w:lang w:bidi="ru-RU"/>
        </w:rPr>
        <w:t xml:space="preserve">их родственников, избавив их таким образом от забот по контролю за платежными документами. Доступ к электронной квитанции имеет только ее владелец. Сводятся к минимуму риски потери документа из-за ненадлежащего состояния почтового ящика или его отсутствия.</w:t>
      </w:r>
      <w:r/>
    </w:p>
    <w:p>
      <w:pPr>
        <w:pStyle w:val="1063"/>
        <w:ind w:firstLine="567"/>
        <w:jc w:val="both"/>
        <w:spacing w:line="276" w:lineRule="auto"/>
      </w:pPr>
      <w:r>
        <w:rPr>
          <w:rFonts w:ascii="Arial Narrow" w:hAnsi="Arial Narrow" w:cs="Calibri"/>
          <w:lang w:bidi="ru-RU"/>
        </w:rPr>
        <w:t xml:space="preserve">Такие интерактивные сервисы, как интернет-приемная и официальный сайт компании, также пользуются вниманием потребителей. Интернет-приемная всегда открыта для обра</w:t>
      </w:r>
      <w:r>
        <w:rPr>
          <w:rFonts w:ascii="Arial Narrow" w:hAnsi="Arial Narrow" w:cs="Calibri"/>
          <w:lang w:bidi="ru-RU"/>
        </w:rPr>
        <w:t xml:space="preserve">щений граждан – через нее можно направить свои вопросы, приложить необходимые документы и справки. Официальный сайт содержит информацию обо всех сервисах ПАО «ДЭК», последних новостях и изменениях законодательства в сфере жилищно-коммунального хозяйства.  </w:t>
      </w:r>
      <w:r/>
    </w:p>
    <w:p>
      <w:pPr>
        <w:pStyle w:val="1063"/>
        <w:ind w:firstLine="567"/>
        <w:jc w:val="both"/>
        <w:spacing w:line="276" w:lineRule="auto"/>
      </w:pPr>
      <w:r>
        <w:rPr>
          <w:rFonts w:ascii="Arial Narrow" w:hAnsi="Arial Narrow" w:cs="Calibri"/>
          <w:lang w:bidi="ru-RU"/>
        </w:rPr>
        <w:t xml:space="preserve">Интерактивные сервисы компании постоянно модернизируются и дополняются, чтобы стать доступными для всех категорий населения. Работа по популяризации интерактивных сервисов в 2025 году продолжается.</w:t>
      </w:r>
      <w:r/>
    </w:p>
    <w:p>
      <w:pPr>
        <w:pStyle w:val="1063"/>
        <w:jc w:val="both"/>
        <w:spacing w:before="120" w:after="120"/>
        <w:tabs>
          <w:tab w:val="left" w:pos="709" w:leader="none"/>
        </w:tabs>
        <w:rPr>
          <w:rFonts w:ascii="Arial Narrow" w:hAnsi="Arial Narrow" w:eastAsia="Calibri" w:cs="Calibri"/>
          <w:b/>
          <w:i/>
          <w:iCs/>
          <w:color w:val="314e87"/>
          <w:lang w:eastAsia="ja-JP" w:bidi="ru-RU"/>
        </w:rPr>
      </w:pPr>
      <w:r>
        <w:rPr>
          <w:rFonts w:ascii="Arial Narrow" w:hAnsi="Arial Narrow" w:eastAsia="Calibri" w:cs="Calibri"/>
          <w:b/>
          <w:i/>
          <w:iCs/>
          <w:color w:val="314e87"/>
          <w:lang w:eastAsia="ja-JP" w:bidi="ru-RU"/>
        </w:rPr>
        <w:t xml:space="preserve">Проведение информационных и поощрительных акций</w:t>
      </w:r>
      <w:r>
        <w:rPr>
          <w:rFonts w:ascii="Arial Narrow" w:hAnsi="Arial Narrow" w:eastAsia="Calibri" w:cs="Calibri"/>
          <w:b/>
          <w:i/>
          <w:iCs/>
          <w:color w:val="314e87"/>
          <w:lang w:eastAsia="ja-JP" w:bidi="ru-RU"/>
        </w:rPr>
      </w:r>
      <w:r>
        <w:rPr>
          <w:rFonts w:ascii="Arial Narrow" w:hAnsi="Arial Narrow" w:eastAsia="Calibri" w:cs="Calibri"/>
          <w:b/>
          <w:i/>
          <w:iCs/>
          <w:color w:val="314e87"/>
          <w:lang w:eastAsia="ja-JP" w:bidi="ru-RU"/>
        </w:rPr>
      </w:r>
    </w:p>
    <w:p>
      <w:pPr>
        <w:pStyle w:val="1063"/>
        <w:ind w:firstLine="567"/>
        <w:jc w:val="both"/>
        <w:spacing w:line="276" w:lineRule="auto"/>
      </w:pPr>
      <w:r>
        <w:rPr>
          <w:rFonts w:ascii="Arial Narrow" w:hAnsi="Arial Narrow" w:cs="Calibri"/>
          <w:lang w:bidi="ru-RU"/>
        </w:rPr>
        <w:t xml:space="preserve">Проведены акции Надежный партнер (для корпоративных клиентов) и На шаг впереди (для исполнителей коммунальных услуг). Награждены юридические лица, которые по итога</w:t>
      </w:r>
      <w:r>
        <w:rPr>
          <w:rFonts w:ascii="Arial Narrow" w:hAnsi="Arial Narrow" w:cs="Calibri"/>
          <w:lang w:bidi="ru-RU"/>
        </w:rPr>
        <w:t xml:space="preserve">м 2024 года стали победителями акции. В Камчатском крае были отмечены 5 лучших корпоративных клиентов в пяти номинациях: промышленные потребители, бюджетные потребители, предприятия сельского и рыболовецкого хозяйства, предприятия малого бизнеса, предприят</w:t>
      </w:r>
      <w:r>
        <w:rPr>
          <w:rFonts w:ascii="Arial Narrow" w:hAnsi="Arial Narrow" w:cs="Calibri"/>
          <w:lang w:bidi="ru-RU"/>
        </w:rPr>
        <w:t xml:space="preserve">ия сферы ЖКХ. Основными критериями отбора стали: внедрение в своем производстве энергоэффективных технологий, позволяющих снизить нагрузку на энергетические предприятия, соблюдение сроков оплат, не допущение фактов неучтенного потребления тепловой и электр</w:t>
      </w:r>
      <w:r>
        <w:rPr>
          <w:rFonts w:ascii="Arial Narrow" w:hAnsi="Arial Narrow" w:cs="Calibri"/>
          <w:lang w:bidi="ru-RU"/>
        </w:rPr>
        <w:t xml:space="preserve">ической энергии, внедрение электронного документооборота с ПАО «ДЭК».  Впервые состоялась отдельная акция для исполнителей коммунальных услуг — за отсутствие долгов, своевременное подписание документов и внедрение ЭДО, поощрены три управляющие организации.</w:t>
      </w:r>
      <w:r/>
    </w:p>
    <w:p>
      <w:pPr>
        <w:pStyle w:val="1063"/>
        <w:ind w:firstLine="567"/>
        <w:jc w:val="both"/>
        <w:spacing w:line="276" w:lineRule="auto"/>
      </w:pPr>
      <w:r>
        <w:rPr>
          <w:rFonts w:ascii="Arial Narrow" w:hAnsi="Arial Narrow" w:cs="Calibri"/>
          <w:lang w:bidi="ru-RU"/>
        </w:rPr>
        <w:t xml:space="preserve">15 ноября стартовала акция — Платите за свет и тепло с кешбэком. С 15.11.2024 до 30.06.2025 жители Камчатского края - пользователи Личного кабинета ДЭК, а также клиенты, оплачивающие счета через Платежную стра</w:t>
      </w:r>
      <w:r>
        <w:rPr>
          <w:rFonts w:ascii="Arial Narrow" w:hAnsi="Arial Narrow" w:cs="Calibri"/>
          <w:lang w:bidi="ru-RU"/>
        </w:rPr>
        <w:t xml:space="preserve">ницу ДЭК по специальному QR-коду на квитанциях, могут получить кешбэк в размере 3 % при оплате услуги через СБП. Для получения выгоды клиентам достаточно единоразово пройти регистрацию в программе лояльности на vamprivet.ru и совершить платеж по квитанции.</w:t>
      </w:r>
      <w:r/>
    </w:p>
    <w:p>
      <w:pPr>
        <w:pStyle w:val="1063"/>
        <w:ind w:firstLine="567"/>
        <w:jc w:val="both"/>
        <w:spacing w:line="276" w:lineRule="auto"/>
      </w:pPr>
      <w:r>
        <w:rPr>
          <w:rFonts w:ascii="Arial Narrow" w:hAnsi="Arial Narrow" w:cs="Calibri"/>
          <w:lang w:bidi="ru-RU"/>
        </w:rPr>
        <w:t xml:space="preserve">Предновогодняя акция по списанию пени. Акция направлена на снижение задолженности жителей края, переход на получение квитанций по электронной почте. В акции приняли участие физические</w:t>
      </w:r>
      <w:r>
        <w:rPr>
          <w:rFonts w:ascii="Arial Narrow" w:hAnsi="Arial Narrow" w:cs="Calibri"/>
          <w:lang w:bidi="ru-RU"/>
        </w:rPr>
        <w:t xml:space="preserve"> лица в Камчатском крае. Для списания начисленной пени частным клиентам было необходимо выполнить ряд условий – оплатить задолженность и текущие начисления, подписаться на получение квитанции по электронной почте. Списывались пени за исключением реструктур</w:t>
      </w:r>
      <w:r>
        <w:rPr>
          <w:rFonts w:ascii="Arial Narrow" w:hAnsi="Arial Narrow" w:cs="Calibri"/>
          <w:lang w:bidi="ru-RU"/>
        </w:rPr>
        <w:t xml:space="preserve">изированных, взысканных в судебном порядке, либо находящихся в стадии взыскания.  В 2024 году в акции приняли участие 4 151 частных клиентов. Общая сумма оплаченной задолженности составила 48 483 961,60 рублей. Сумма списанной пени —  15 094 897,47 рублей.</w:t>
      </w:r>
      <w:r/>
    </w:p>
    <w:p>
      <w:pPr>
        <w:pStyle w:val="1063"/>
        <w:jc w:val="both"/>
        <w:spacing w:line="276" w:lineRule="auto"/>
        <w:tabs>
          <w:tab w:val="left" w:pos="709" w:leader="none"/>
        </w:tabs>
      </w:pPr>
      <w:r>
        <w:rPr>
          <w:rFonts w:ascii="Arial Narrow" w:hAnsi="Arial Narrow" w:cs="Calibri"/>
          <w:lang w:bidi="ru-RU"/>
        </w:rPr>
        <w:tab/>
        <w:t xml:space="preserve">Ежемесячно проводится сбор пл</w:t>
      </w:r>
      <w:r>
        <w:rPr>
          <w:rFonts w:ascii="Arial Narrow" w:hAnsi="Arial Narrow" w:cs="Calibri"/>
          <w:lang w:bidi="ru-RU"/>
        </w:rPr>
        <w:t xml:space="preserve">атежей в формате выездных касс филиала. Работа выездных касс востребована среди жителей отдаленных поселков Елизовского района, предпочитающих наличные платежи другим видам оплаты. В основном, это пожилые люди. График работы специалистов публикуется в СМИ </w:t>
      </w:r>
      <w:r>
        <w:rPr>
          <w:rFonts w:ascii="Arial Narrow" w:hAnsi="Arial Narrow" w:cs="Calibri"/>
          <w:lang w:eastAsia="ja-JP" w:bidi="ru-RU"/>
        </w:rPr>
        <w:t xml:space="preserve">региона.</w:t>
      </w:r>
      <w:r/>
    </w:p>
    <w:p>
      <w:pPr>
        <w:rPr>
          <w:rFonts w:ascii="Arial Narrow" w:hAnsi="Arial Narrow" w:eastAsia="Calibri" w:cs="Calibri"/>
          <w:b/>
          <w:i/>
          <w:iCs/>
          <w:color w:val="314e87"/>
          <w:sz w:val="24"/>
          <w:szCs w:val="24"/>
          <w:lang w:eastAsia="ja-JP" w:bidi="ru-RU"/>
        </w:rPr>
      </w:pPr>
      <w:r>
        <w:br w:type="page" w:clear="all"/>
      </w:r>
      <w:r>
        <w:rPr>
          <w:rFonts w:ascii="Arial Narrow" w:hAnsi="Arial Narrow" w:eastAsia="Calibri" w:cs="Calibri"/>
          <w:b/>
          <w:i/>
          <w:iCs/>
          <w:color w:val="314e87"/>
          <w:sz w:val="24"/>
          <w:szCs w:val="24"/>
          <w:lang w:eastAsia="ja-JP" w:bidi="ru-RU"/>
        </w:rPr>
      </w:r>
      <w:r>
        <w:rPr>
          <w:rFonts w:ascii="Arial Narrow" w:hAnsi="Arial Narrow" w:eastAsia="Calibri" w:cs="Calibri"/>
          <w:b/>
          <w:i/>
          <w:iCs/>
          <w:color w:val="314e87"/>
          <w:sz w:val="24"/>
          <w:szCs w:val="24"/>
          <w:lang w:eastAsia="ja-JP" w:bidi="ru-RU"/>
        </w:rPr>
      </w:r>
    </w:p>
    <w:p>
      <w:pPr>
        <w:pStyle w:val="1063"/>
        <w:jc w:val="both"/>
        <w:spacing w:before="120" w:after="120"/>
        <w:tabs>
          <w:tab w:val="left" w:pos="709" w:leader="none"/>
        </w:tabs>
        <w:rPr>
          <w:rFonts w:ascii="Arial Narrow" w:hAnsi="Arial Narrow" w:eastAsia="Calibri" w:cs="Calibri"/>
          <w:b/>
          <w:i/>
          <w:iCs/>
          <w:color w:val="314e87"/>
          <w:lang w:eastAsia="ja-JP" w:bidi="ru-RU"/>
        </w:rPr>
      </w:pPr>
      <w:r>
        <w:rPr>
          <w:rFonts w:ascii="Arial Narrow" w:hAnsi="Arial Narrow" w:eastAsia="Calibri" w:cs="Calibri"/>
          <w:b/>
          <w:i/>
          <w:iCs/>
          <w:color w:val="314e87"/>
          <w:lang w:eastAsia="ja-JP" w:bidi="ru-RU"/>
        </w:rPr>
        <w:t xml:space="preserve">Информирование населения о мошеннических схемах</w:t>
      </w:r>
      <w:r>
        <w:rPr>
          <w:rFonts w:ascii="Arial Narrow" w:hAnsi="Arial Narrow" w:eastAsia="Calibri" w:cs="Calibri"/>
          <w:b/>
          <w:i/>
          <w:iCs/>
          <w:color w:val="314e87"/>
          <w:lang w:eastAsia="ja-JP" w:bidi="ru-RU"/>
        </w:rPr>
      </w:r>
      <w:r>
        <w:rPr>
          <w:rFonts w:ascii="Arial Narrow" w:hAnsi="Arial Narrow" w:eastAsia="Calibri" w:cs="Calibri"/>
          <w:b/>
          <w:i/>
          <w:iCs/>
          <w:color w:val="314e87"/>
          <w:lang w:eastAsia="ja-JP" w:bidi="ru-RU"/>
        </w:rPr>
      </w:r>
    </w:p>
    <w:p>
      <w:pPr>
        <w:pStyle w:val="1063"/>
        <w:ind w:firstLine="567"/>
        <w:jc w:val="both"/>
      </w:pPr>
      <w:r>
        <w:rPr>
          <w:rFonts w:ascii="Arial Narrow" w:hAnsi="Arial Narrow" w:cs="Calibri"/>
          <w:lang w:bidi="ru-RU"/>
        </w:rPr>
        <w:t xml:space="preserve">В связи с появлением моше</w:t>
      </w:r>
      <w:r>
        <w:rPr>
          <w:rFonts w:ascii="Arial Narrow" w:hAnsi="Arial Narrow" w:cs="Calibri"/>
          <w:lang w:bidi="ru-RU"/>
        </w:rPr>
        <w:t xml:space="preserve">ннических схем, целью которых становятся выманивание персональных данных клиентов под видом подачи заявок на установку интеллектуальных приборов учета, получения льгот по ЖКХ, проведения сверки показаний и т.д., ведется освещение данной проблематики в СМИ.</w:t>
      </w:r>
      <w:r/>
    </w:p>
    <w:p>
      <w:pPr>
        <w:pStyle w:val="1063"/>
        <w:spacing w:after="120"/>
        <w:tabs>
          <w:tab w:val="left" w:pos="992" w:leader="none"/>
        </w:tabs>
        <w:rPr>
          <w:rFonts w:ascii="Arial Narrow" w:hAnsi="Arial Narrow" w:cs="Calibri"/>
          <w:color w:val="314e87"/>
          <w:sz w:val="12"/>
          <w:szCs w:val="12"/>
          <w:lang w:bidi="ru-RU"/>
        </w:rPr>
      </w:pPr>
      <w:r>
        <w:rPr>
          <w:rFonts w:ascii="Arial Narrow" w:hAnsi="Arial Narrow" w:cs="Calibri"/>
          <w:color w:val="314e87"/>
          <w:sz w:val="12"/>
          <w:szCs w:val="12"/>
          <w:lang w:bidi="ru-RU"/>
        </w:rPr>
      </w:r>
      <w:r>
        <w:rPr>
          <w:rFonts w:ascii="Arial Narrow" w:hAnsi="Arial Narrow" w:cs="Calibri"/>
          <w:color w:val="314e87"/>
          <w:sz w:val="12"/>
          <w:szCs w:val="12"/>
          <w:lang w:bidi="ru-RU"/>
        </w:rPr>
      </w:r>
      <w:r>
        <w:rPr>
          <w:rFonts w:ascii="Arial Narrow" w:hAnsi="Arial Narrow" w:cs="Calibri"/>
          <w:color w:val="314e87"/>
          <w:sz w:val="12"/>
          <w:szCs w:val="12"/>
          <w:lang w:bidi="ru-RU"/>
        </w:rPr>
      </w:r>
    </w:p>
    <w:p>
      <w:pPr>
        <w:pStyle w:val="1063"/>
        <w:spacing w:after="120"/>
        <w:tabs>
          <w:tab w:val="left" w:pos="992" w:leader="none"/>
        </w:tabs>
        <w:rPr>
          <w:b/>
        </w:rPr>
      </w:pPr>
      <w:r>
        <w:rPr>
          <w:rFonts w:ascii="Arial Narrow" w:hAnsi="Arial Narrow" w:cs="Calibri"/>
          <w:b/>
          <w:color w:val="314e87"/>
          <w:lang w:bidi="ru-RU"/>
        </w:rPr>
        <w:t xml:space="preserve">Обзор основных событий Общества</w:t>
      </w:r>
      <w:r>
        <w:rPr>
          <w:b/>
        </w:rPr>
      </w:r>
      <w:r>
        <w:rPr>
          <w:b/>
        </w:rPr>
      </w:r>
    </w:p>
    <w:p>
      <w:pPr>
        <w:pStyle w:val="1063"/>
        <w:ind w:firstLine="567"/>
        <w:jc w:val="both"/>
      </w:pPr>
      <w:r>
        <w:rPr>
          <w:rFonts w:ascii="Arial Narrow" w:hAnsi="Arial Narrow" w:cs="Calibri"/>
          <w:lang w:bidi="ru-RU"/>
        </w:rPr>
        <w:t xml:space="preserve">Ежегодно ПАО</w:t>
      </w:r>
      <w:r>
        <w:rPr>
          <w:rFonts w:ascii="Arial Narrow" w:hAnsi="Arial Narrow" w:cs="Calibri"/>
          <w:lang w:bidi="ru-RU"/>
        </w:rPr>
        <w:t xml:space="preserve"> «Камчатскэнерго» не только успешно подтверждает звание надежного гарантирующего поставщика тепловой и электрической энергии, но и показывает, что коллектив компании умеет работать на перспективу, активно развивая энергетический потенциал Камчатского края.</w:t>
      </w:r>
      <w:r/>
    </w:p>
    <w:p>
      <w:pPr>
        <w:pStyle w:val="1063"/>
        <w:spacing w:before="120" w:after="120"/>
        <w:tabs>
          <w:tab w:val="left" w:pos="992" w:leader="none"/>
        </w:tabs>
        <w:rPr>
          <w:rFonts w:ascii="Arial Narrow" w:hAnsi="Arial Narrow" w:cs="Calibri"/>
          <w:b/>
          <w:color w:val="314e87"/>
          <w:lang w:bidi="ru-RU"/>
        </w:rPr>
      </w:pPr>
      <w:r>
        <w:rPr>
          <w:rFonts w:ascii="Arial Narrow" w:hAnsi="Arial Narrow" w:cs="Calibri"/>
          <w:b/>
          <w:color w:val="314e87"/>
          <w:lang w:bidi="ru-RU"/>
        </w:rPr>
        <w:t xml:space="preserve">ЯНВАРЬ 2024</w:t>
      </w:r>
      <w:r>
        <w:rPr>
          <w:rFonts w:ascii="Arial Narrow" w:hAnsi="Arial Narrow" w:cs="Calibri"/>
          <w:b/>
          <w:color w:val="314e87"/>
          <w:lang w:bidi="ru-RU"/>
        </w:rPr>
      </w:r>
      <w:r>
        <w:rPr>
          <w:rFonts w:ascii="Arial Narrow" w:hAnsi="Arial Narrow" w:cs="Calibri"/>
          <w:b/>
          <w:color w:val="314e87"/>
          <w:lang w:bidi="ru-RU"/>
        </w:rPr>
      </w:r>
    </w:p>
    <w:p>
      <w:pPr>
        <w:pStyle w:val="1144"/>
      </w:pPr>
      <w:r>
        <w:rPr>
          <w:rFonts w:ascii="Arial Narrow" w:hAnsi="Arial Narrow" w:eastAsia="Arial" w:cs="Calibri"/>
          <w:b/>
          <w:color w:val="314e87"/>
          <w:sz w:val="24"/>
          <w:szCs w:val="24"/>
          <w:lang w:eastAsia="en-US" w:bidi="ru-RU"/>
        </w:rPr>
        <w:t xml:space="preserve">Работников ПАО «Камчатскэнерго» наградили за спасение людей</w:t>
      </w:r>
      <w:r/>
    </w:p>
    <w:p>
      <w:pPr>
        <w:pStyle w:val="1144"/>
        <w:jc w:val="center"/>
        <w:rPr>
          <w:sz w:val="6"/>
          <w:szCs w:val="6"/>
        </w:rPr>
      </w:pPr>
      <w:r>
        <w:rPr>
          <w:sz w:val="6"/>
          <w:szCs w:val="6"/>
        </w:rPr>
      </w:r>
      <w:r>
        <w:rPr>
          <w:sz w:val="6"/>
          <w:szCs w:val="6"/>
        </w:rPr>
      </w:r>
      <w:r>
        <w:rPr>
          <w:sz w:val="6"/>
          <w:szCs w:val="6"/>
        </w:rPr>
      </w:r>
    </w:p>
    <w:p>
      <w:pPr>
        <w:pStyle w:val="1144"/>
        <w:ind w:firstLine="720"/>
        <w:jc w:val="both"/>
        <w:spacing w:line="276" w:lineRule="auto"/>
      </w:pPr>
      <w:r>
        <w:rPr>
          <w:rFonts w:ascii="Arial Narrow" w:hAnsi="Arial Narrow"/>
          <w:sz w:val="24"/>
          <w:szCs w:val="24"/>
        </w:rPr>
        <w:t xml:space="preserve">В Главном управлении МЧС России по Камчатскому краю наградили ведомственными медалями «За спасение погибающих на водах» работников филиала ПАО «Камчатскэнерго» Возобновляемая энергетика из Озерновского энергоузла.</w:t>
      </w:r>
      <w:r/>
    </w:p>
    <w:p>
      <w:pPr>
        <w:pStyle w:val="1144"/>
        <w:jc w:val="both"/>
        <w:spacing w:line="276" w:lineRule="auto"/>
      </w:pPr>
      <w:r>
        <w:rPr>
          <w:rFonts w:ascii="Arial Narrow" w:hAnsi="Arial Narrow"/>
          <w:sz w:val="24"/>
          <w:szCs w:val="24"/>
        </w:rPr>
        <w:tab/>
        <w:t xml:space="preserve">02.10.2023 работники Паужетской ГеоЭС получили сигнал о том, что при форсировании р. Паужетка в сложных мет</w:t>
      </w:r>
      <w:r>
        <w:rPr>
          <w:rFonts w:ascii="Arial Narrow" w:hAnsi="Arial Narrow"/>
          <w:sz w:val="24"/>
          <w:szCs w:val="24"/>
        </w:rPr>
        <w:t xml:space="preserve">еоусловиях перевернулись автомобили «Урал» и Toyota Land Cruiser. Работники станции Вячеслав Предко, Артем Дочкин и Алексей Ханжин на краново-манипуляторной установке (КМУ) срочно прибыли к месту происшествия и организовали спасательные работы по вызволени</w:t>
      </w:r>
      <w:r>
        <w:rPr>
          <w:rFonts w:ascii="Arial Narrow" w:hAnsi="Arial Narrow"/>
          <w:sz w:val="24"/>
          <w:szCs w:val="24"/>
        </w:rPr>
        <w:t xml:space="preserve">ю людей из разбушевавшейся реки. КМУ загнали в реку, насколько позволяло течение, выдвинутую стрелу крана приблизили к машинам и натянули трос для переправы людей.  Таким образом удалось спасти 5 человек до того, как течение перевернуло и смыло автомобили.</w:t>
      </w:r>
      <w:r/>
    </w:p>
    <w:p>
      <w:pPr>
        <w:pStyle w:val="1063"/>
        <w:spacing w:before="120" w:after="120"/>
        <w:tabs>
          <w:tab w:val="left" w:pos="992" w:leader="none"/>
        </w:tabs>
        <w:rPr>
          <w:rFonts w:ascii="Arial Narrow" w:hAnsi="Arial Narrow" w:cs="Calibri"/>
          <w:b/>
          <w:color w:val="314e87"/>
          <w:lang w:bidi="ru-RU"/>
        </w:rPr>
      </w:pPr>
      <w:r>
        <w:rPr>
          <w:rFonts w:ascii="Arial Narrow" w:hAnsi="Arial Narrow" w:cs="Calibri"/>
          <w:b/>
          <w:color w:val="314e87"/>
          <w:lang w:bidi="ru-RU"/>
        </w:rPr>
        <w:t xml:space="preserve">ФЕВРАЛЬ 2024</w:t>
      </w:r>
      <w:r>
        <w:rPr>
          <w:rFonts w:ascii="Arial Narrow" w:hAnsi="Arial Narrow" w:cs="Calibri"/>
          <w:b/>
          <w:color w:val="314e87"/>
          <w:lang w:bidi="ru-RU"/>
        </w:rPr>
      </w:r>
      <w:r>
        <w:rPr>
          <w:rFonts w:ascii="Arial Narrow" w:hAnsi="Arial Narrow" w:cs="Calibri"/>
          <w:b/>
          <w:color w:val="314e87"/>
          <w:lang w:bidi="ru-RU"/>
        </w:rPr>
      </w:r>
    </w:p>
    <w:p>
      <w:pPr>
        <w:pStyle w:val="1063"/>
        <w:spacing w:before="120" w:after="120"/>
        <w:tabs>
          <w:tab w:val="left" w:pos="992" w:leader="none"/>
        </w:tabs>
        <w:rPr>
          <w:rFonts w:ascii="Arial Narrow" w:hAnsi="Arial Narrow" w:cs="Calibri"/>
          <w:b/>
          <w:color w:val="314e87"/>
          <w:lang w:bidi="ru-RU"/>
        </w:rPr>
      </w:pPr>
      <w:r>
        <w:rPr>
          <w:rFonts w:ascii="Arial Narrow" w:hAnsi="Arial Narrow" w:cs="Calibri"/>
          <w:b/>
          <w:color w:val="314e87"/>
          <w:lang w:bidi="ru-RU"/>
        </w:rPr>
        <w:t xml:space="preserve">В ПАО «Камчатскэнерго» зафиксировали новый рекорд суточного производства электроэнергии</w:t>
      </w:r>
      <w:r>
        <w:rPr>
          <w:rFonts w:ascii="Arial Narrow" w:hAnsi="Arial Narrow" w:cs="Calibri"/>
          <w:b/>
          <w:color w:val="314e87"/>
          <w:lang w:bidi="ru-RU"/>
        </w:rPr>
      </w:r>
      <w:r>
        <w:rPr>
          <w:rFonts w:ascii="Arial Narrow" w:hAnsi="Arial Narrow" w:cs="Calibri"/>
          <w:b/>
          <w:color w:val="314e87"/>
          <w:lang w:bidi="ru-RU"/>
        </w:rPr>
      </w:r>
    </w:p>
    <w:p>
      <w:pPr>
        <w:pStyle w:val="1144"/>
        <w:ind w:firstLine="720"/>
        <w:jc w:val="both"/>
        <w:spacing w:line="276" w:lineRule="auto"/>
      </w:pPr>
      <w:r>
        <w:rPr>
          <w:rFonts w:ascii="Arial Narrow" w:hAnsi="Arial Narrow"/>
          <w:sz w:val="24"/>
          <w:szCs w:val="24"/>
        </w:rPr>
        <w:t xml:space="preserve">Электростанциями ПАО «Камчатскэнерго» 11 января 2024 года произведено рекордное суточное количество электроэнергии - 6 млн 477 тыс. кВт*ч (зимний максимум в 2023 году составил </w:t>
      </w:r>
      <w:r>
        <w:rPr>
          <w:rFonts w:ascii="Arial Narrow" w:hAnsi="Arial Narrow"/>
          <w:sz w:val="24"/>
          <w:szCs w:val="24"/>
        </w:rPr>
        <w:br/>
        <w:t xml:space="preserve">6 млн 318 тыс. кВт*ч.) Это максимальный показатель за последние 16 лет работы энергокомпании.</w:t>
      </w:r>
      <w:r/>
    </w:p>
    <w:p>
      <w:pPr>
        <w:pStyle w:val="1144"/>
        <w:jc w:val="both"/>
        <w:spacing w:line="276" w:lineRule="auto"/>
      </w:pPr>
      <w:r>
        <w:rPr>
          <w:rFonts w:ascii="Arial Narrow" w:hAnsi="Arial Narrow"/>
          <w:sz w:val="24"/>
          <w:szCs w:val="24"/>
        </w:rPr>
        <w:tab/>
        <w:t xml:space="preserve">Также установлен новый рекорд потребления мощности — 294 МВт, в январе предыдущего </w:t>
      </w:r>
      <w:r>
        <w:rPr>
          <w:rFonts w:ascii="Arial Narrow" w:hAnsi="Arial Narrow"/>
          <w:sz w:val="24"/>
          <w:szCs w:val="24"/>
        </w:rPr>
        <w:br/>
        <w:t xml:space="preserve">2023 года он составил 284 МВт. На динамику суточного роста повлиял, в первую очередь, температурный фактор: установившиеся низкие температуры над полуостровом привели к росту потребления электроэнергии населением и промышленными объектами.</w:t>
      </w:r>
      <w:r/>
    </w:p>
    <w:p>
      <w:pPr>
        <w:pStyle w:val="1144"/>
        <w:jc w:val="both"/>
        <w:spacing w:line="276" w:lineRule="auto"/>
      </w:pPr>
      <w:r>
        <w:rPr>
          <w:rFonts w:ascii="Arial Narrow" w:hAnsi="Arial Narrow"/>
          <w:sz w:val="24"/>
          <w:szCs w:val="24"/>
        </w:rPr>
        <w:tab/>
        <w:t xml:space="preserve">С третьей декады декабря 2023 года и в первой декаде января 2024 года погодные условия на Камчатке определялись влиянием обширного гре</w:t>
      </w:r>
      <w:r>
        <w:rPr>
          <w:rFonts w:ascii="Arial Narrow" w:hAnsi="Arial Narrow"/>
          <w:sz w:val="24"/>
          <w:szCs w:val="24"/>
        </w:rPr>
        <w:t xml:space="preserve">бня высокого давления азиатского антициклона, который препятствовал выходу к берегам полуострова теплых тихоокеанских циклонов. В этот период средняя температура воздуха в южных и центральных районах полуострова была на 4-10ºС холоднее климатической нормы.</w:t>
      </w:r>
      <w:r/>
    </w:p>
    <w:p>
      <w:pPr>
        <w:pStyle w:val="1144"/>
        <w:jc w:val="both"/>
        <w:spacing w:line="276" w:lineRule="auto"/>
      </w:pPr>
      <w:r>
        <w:rPr>
          <w:rFonts w:ascii="Arial Narrow" w:hAnsi="Arial Narrow"/>
          <w:sz w:val="24"/>
          <w:szCs w:val="24"/>
        </w:rPr>
        <w:tab/>
        <w:t xml:space="preserve">Энергосистема Центрального энергоузла Камчатки имеет достаточные резервы для дальнейшего прохождения пиковых нагрузок, энергетики работают в режиме повышенной готовности. Установленная мощность электростанций ПАО «Камчатскэнерго» составляет 457,320 МВт.</w:t>
      </w:r>
      <w:r/>
    </w:p>
    <w:p>
      <w:pPr>
        <w:pStyle w:val="1063"/>
        <w:spacing w:before="120" w:after="120"/>
        <w:tabs>
          <w:tab w:val="left" w:pos="992" w:leader="none"/>
        </w:tabs>
        <w:rPr>
          <w:rFonts w:ascii="Arial Narrow" w:hAnsi="Arial Narrow" w:cs="Calibri"/>
          <w:b/>
          <w:color w:val="314e87"/>
          <w:lang w:bidi="ru-RU"/>
        </w:rPr>
      </w:pPr>
      <w:r>
        <w:rPr>
          <w:rFonts w:ascii="Arial Narrow" w:hAnsi="Arial Narrow" w:cs="Calibri"/>
          <w:b/>
          <w:color w:val="314e87"/>
          <w:lang w:bidi="ru-RU"/>
        </w:rPr>
        <w:t xml:space="preserve">АПРЕЛЬ 2024</w:t>
      </w:r>
      <w:r>
        <w:rPr>
          <w:rFonts w:ascii="Arial Narrow" w:hAnsi="Arial Narrow" w:cs="Calibri"/>
          <w:b/>
          <w:color w:val="314e87"/>
          <w:lang w:bidi="ru-RU"/>
        </w:rPr>
      </w:r>
      <w:r>
        <w:rPr>
          <w:rFonts w:ascii="Arial Narrow" w:hAnsi="Arial Narrow" w:cs="Calibri"/>
          <w:b/>
          <w:color w:val="314e87"/>
          <w:lang w:bidi="ru-RU"/>
        </w:rPr>
      </w:r>
    </w:p>
    <w:p>
      <w:pPr>
        <w:pStyle w:val="1063"/>
        <w:spacing w:before="120" w:after="120"/>
        <w:tabs>
          <w:tab w:val="left" w:pos="992" w:leader="none"/>
        </w:tabs>
        <w:rPr>
          <w:rFonts w:ascii="Arial Narrow" w:hAnsi="Arial Narrow" w:cs="Calibri"/>
          <w:b/>
          <w:color w:val="314e87"/>
          <w:lang w:bidi="ru-RU"/>
        </w:rPr>
      </w:pPr>
      <w:r>
        <w:rPr>
          <w:rFonts w:ascii="Arial Narrow" w:hAnsi="Arial Narrow" w:cs="Calibri"/>
          <w:b/>
          <w:color w:val="314e87"/>
          <w:lang w:bidi="ru-RU"/>
        </w:rPr>
        <w:t xml:space="preserve">На Камчатской ТЭЦ-1 внедрена современная система защиты трубопроводов от коррозии</w:t>
      </w:r>
      <w:r>
        <w:rPr>
          <w:rFonts w:ascii="Arial Narrow" w:hAnsi="Arial Narrow" w:cs="Calibri"/>
          <w:b/>
          <w:color w:val="314e87"/>
          <w:lang w:bidi="ru-RU"/>
        </w:rPr>
      </w:r>
      <w:r>
        <w:rPr>
          <w:rFonts w:ascii="Arial Narrow" w:hAnsi="Arial Narrow" w:cs="Calibri"/>
          <w:b/>
          <w:color w:val="314e87"/>
          <w:lang w:bidi="ru-RU"/>
        </w:rPr>
      </w:r>
    </w:p>
    <w:p>
      <w:pPr>
        <w:pStyle w:val="1144"/>
        <w:jc w:val="center"/>
        <w:rPr>
          <w:sz w:val="6"/>
          <w:szCs w:val="6"/>
        </w:rPr>
      </w:pPr>
      <w:r>
        <w:rPr>
          <w:sz w:val="6"/>
          <w:szCs w:val="6"/>
        </w:rPr>
      </w:r>
      <w:r>
        <w:rPr>
          <w:sz w:val="6"/>
          <w:szCs w:val="6"/>
        </w:rPr>
      </w:r>
      <w:r>
        <w:rPr>
          <w:sz w:val="6"/>
          <w:szCs w:val="6"/>
        </w:rPr>
      </w:r>
    </w:p>
    <w:p>
      <w:pPr>
        <w:pStyle w:val="1144"/>
        <w:ind w:firstLine="720"/>
        <w:jc w:val="both"/>
        <w:spacing w:line="276" w:lineRule="auto"/>
      </w:pPr>
      <w:r>
        <w:rPr>
          <w:rFonts w:ascii="Arial Narrow" w:hAnsi="Arial Narrow"/>
          <w:sz w:val="24"/>
          <w:szCs w:val="24"/>
        </w:rPr>
        <w:t xml:space="preserve">В филиале Камчатскэнерго «Камчатские ТЭЦ» внедрена система защиты от биологических обрастаний и коррозии трубопроводов циркуляционной воды и</w:t>
      </w:r>
      <w:r>
        <w:rPr>
          <w:rFonts w:ascii="Arial Narrow" w:hAnsi="Arial Narrow"/>
          <w:sz w:val="24"/>
          <w:szCs w:val="24"/>
        </w:rPr>
        <w:t xml:space="preserve"> конденсаторов турбин на ТЭЦ-1. Она позволяет обеспечить защиту циркуляционных трубопроводов от коррозии морской водой, предотвратить закрепление микроорганизмов и бактерий на внутренних поверхностях конденсаторов и появление на них водорослей и моллюсков.</w:t>
      </w:r>
      <w:r/>
    </w:p>
    <w:p>
      <w:pPr>
        <w:pStyle w:val="1144"/>
        <w:jc w:val="both"/>
        <w:spacing w:line="276" w:lineRule="auto"/>
      </w:pPr>
      <w:r>
        <w:rPr>
          <w:rFonts w:ascii="Arial Narrow" w:hAnsi="Arial Narrow"/>
          <w:sz w:val="24"/>
          <w:szCs w:val="24"/>
        </w:rPr>
        <w:tab/>
        <w:t xml:space="preserve">На ТЭЦ-1 в системах охлаждения используется морская вода, в которой процессы коррозии протекают значительно интенсивнее, чем в обычной воде, а обрастание внутренних поверхностей биоорганизмами способ</w:t>
      </w:r>
      <w:r>
        <w:rPr>
          <w:rFonts w:ascii="Arial Narrow" w:hAnsi="Arial Narrow"/>
          <w:sz w:val="24"/>
          <w:szCs w:val="24"/>
        </w:rPr>
        <w:t xml:space="preserve">ствует росту сопротивления движения воды и засорению конденсаторов турбин. В итоге это приводит к снижению эффективности работы оборудования и нагрузки станции. Для борьбы с обрастанием трубопроводов приходится ежегодно проводить масштабную очистку систем </w:t>
      </w:r>
      <w:r>
        <w:rPr>
          <w:rFonts w:ascii="Arial Narrow" w:hAnsi="Arial Narrow"/>
          <w:sz w:val="24"/>
          <w:szCs w:val="24"/>
        </w:rPr>
        <w:t xml:space="preserve">циркуляционного водоснабжения и охлаждения турбин. С внутренних поверхностей водоводов, по которым вода поступает с береговой насосной станции на ТЭЦ ежегодно механическим способом убирают сотни килограммов моллюсков и прочих биологических микроорганизмов.</w:t>
      </w:r>
      <w:r/>
    </w:p>
    <w:p>
      <w:pPr>
        <w:pStyle w:val="1144"/>
        <w:jc w:val="both"/>
        <w:spacing w:line="276" w:lineRule="auto"/>
      </w:pPr>
      <w:r>
        <w:rPr>
          <w:rFonts w:ascii="Arial Narrow" w:hAnsi="Arial Narrow"/>
          <w:sz w:val="24"/>
          <w:szCs w:val="24"/>
        </w:rPr>
        <w:tab/>
        <w:t xml:space="preserve">Металлические участки водовод</w:t>
      </w:r>
      <w:r>
        <w:rPr>
          <w:rFonts w:ascii="Arial Narrow" w:hAnsi="Arial Narrow"/>
          <w:sz w:val="24"/>
          <w:szCs w:val="24"/>
        </w:rPr>
        <w:t xml:space="preserve">а в ходе выполнения работ были покрыты специальной противообрастающей эмалью, которая используется для защиты от обрастания подводной части корпусов кораблей и подводных лодок. Для очистки конденсаторных трубок турбин была применена система шариковой очист</w:t>
      </w:r>
      <w:r>
        <w:rPr>
          <w:rFonts w:ascii="Arial Narrow" w:hAnsi="Arial Narrow"/>
          <w:sz w:val="24"/>
          <w:szCs w:val="24"/>
        </w:rPr>
        <w:t xml:space="preserve">ки из губчатой резины, которая предотвращает образование органических отложений и очагов минеральных отложений на внутренних поверхностях. Это современное экологически профилактическое средство поддержания в чистоте поверхности трубных систем конденсатора.</w:t>
      </w:r>
      <w:r/>
    </w:p>
    <w:p>
      <w:pPr>
        <w:pStyle w:val="1144"/>
        <w:jc w:val="both"/>
        <w:spacing w:line="276" w:lineRule="auto"/>
      </w:pPr>
      <w:r>
        <w:rPr>
          <w:rFonts w:ascii="Arial Narrow" w:hAnsi="Arial Narrow"/>
          <w:sz w:val="24"/>
          <w:szCs w:val="24"/>
        </w:rPr>
        <w:tab/>
        <w:t xml:space="preserve">На Дальнем Востоке всего две электростанции, которые используют в технологическом процессе морскую воду — Камчатская ТЭЦ-1 и Владивостокская ТЭЦ-2.</w:t>
      </w:r>
      <w:r/>
    </w:p>
    <w:p>
      <w:pPr>
        <w:pStyle w:val="1144"/>
        <w:spacing w:before="120" w:after="120"/>
      </w:pPr>
      <w:r>
        <w:rPr>
          <w:rFonts w:ascii="Arial Narrow" w:hAnsi="Arial Narrow" w:eastAsia="Arial" w:cs="Calibri"/>
          <w:b/>
          <w:color w:val="314e87"/>
          <w:sz w:val="24"/>
          <w:szCs w:val="24"/>
          <w:lang w:eastAsia="en-US" w:bidi="ru-RU"/>
        </w:rPr>
        <w:t xml:space="preserve">На Камчатке провели противолавинные мероприятия на линии электропередачи</w:t>
      </w:r>
      <w:r/>
    </w:p>
    <w:p>
      <w:pPr>
        <w:pStyle w:val="1063"/>
        <w:ind w:firstLine="720"/>
        <w:jc w:val="both"/>
        <w:spacing w:line="276" w:lineRule="auto"/>
      </w:pPr>
      <w:r>
        <w:rPr>
          <w:rFonts w:ascii="Arial Narrow" w:hAnsi="Arial Narrow"/>
        </w:rPr>
        <w:t xml:space="preserve">В связи со сложившейся снеголавинной обстановкой и возможным возникновением чрезвычайных ситуаций, связанных со сходом лавин, специалисты противолавинного центра Камчатского УГМС по заявке и во взаимодействии со службами ПАО «Камчатскэнерго» и Мино</w:t>
      </w:r>
      <w:r>
        <w:rPr>
          <w:rFonts w:ascii="Arial Narrow" w:hAnsi="Arial Narrow"/>
        </w:rPr>
        <w:t xml:space="preserve">бороны провели предупредительные мероприятия в районе прохождения высоковольтной линии электропередачи, которая связывает Мутновские ГеоЭС с Центральным энергоузлом. Предупредительному обстрелу подверглись лавиноопасные участки склонов вулкана Вилючинский.</w:t>
      </w:r>
      <w:r/>
    </w:p>
    <w:p>
      <w:pPr>
        <w:pStyle w:val="1063"/>
        <w:jc w:val="both"/>
        <w:spacing w:line="276" w:lineRule="auto"/>
      </w:pPr>
      <w:r>
        <w:rPr>
          <w:rFonts w:ascii="Arial Narrow" w:hAnsi="Arial Narrow"/>
        </w:rPr>
        <w:tab/>
        <w:t xml:space="preserve">Обстрел проводился орудийным расчетом </w:t>
      </w:r>
      <w:r>
        <w:rPr>
          <w:rFonts w:ascii="Arial Narrow" w:hAnsi="Arial Narrow"/>
        </w:rPr>
        <w:t xml:space="preserve">Д-30 соединения морской пехоты Тихоокеанского флота. Он позволяет предупредить сход мощных лавин, которые могут угрожать безопасности линии электропередач, а также обеспечит безопасное движение по дороге, ведущей к Мутновским геотермальным электростанциям.</w:t>
      </w:r>
      <w:r/>
    </w:p>
    <w:p>
      <w:pPr>
        <w:pStyle w:val="1063"/>
        <w:jc w:val="both"/>
        <w:spacing w:line="276" w:lineRule="auto"/>
      </w:pPr>
      <w:r>
        <w:rPr>
          <w:rFonts w:ascii="Arial Narrow" w:hAnsi="Arial Narrow"/>
        </w:rPr>
        <w:tab/>
        <w:t xml:space="preserve">Всего в Камчатском крае насчитывается около ста лавиноопасных участков. Для оперативного реагирования специалисты противолавинной службы Камчатского края и энергетики продолжают мониторинг горных склонов.</w:t>
      </w:r>
      <w:r/>
    </w:p>
    <w:p>
      <w:pPr>
        <w:pStyle w:val="1063"/>
        <w:spacing w:before="120" w:after="120"/>
        <w:tabs>
          <w:tab w:val="left" w:pos="992" w:leader="none"/>
        </w:tabs>
        <w:rPr>
          <w:rFonts w:ascii="Arial Narrow" w:hAnsi="Arial Narrow" w:cs="Calibri"/>
          <w:b/>
          <w:color w:val="314e87"/>
          <w:lang w:bidi="ru-RU"/>
        </w:rPr>
      </w:pPr>
      <w:r>
        <w:rPr>
          <w:rFonts w:ascii="Arial Narrow" w:hAnsi="Arial Narrow" w:cs="Calibri"/>
          <w:b/>
          <w:color w:val="314e87"/>
          <w:lang w:bidi="ru-RU"/>
        </w:rPr>
        <w:t xml:space="preserve">ИЮНЬ 2024</w:t>
      </w:r>
      <w:r>
        <w:rPr>
          <w:rFonts w:ascii="Arial Narrow" w:hAnsi="Arial Narrow" w:cs="Calibri"/>
          <w:b/>
          <w:color w:val="314e87"/>
          <w:lang w:bidi="ru-RU"/>
        </w:rPr>
      </w:r>
      <w:r>
        <w:rPr>
          <w:rFonts w:ascii="Arial Narrow" w:hAnsi="Arial Narrow" w:cs="Calibri"/>
          <w:b/>
          <w:color w:val="314e87"/>
          <w:lang w:bidi="ru-RU"/>
        </w:rPr>
      </w:r>
    </w:p>
    <w:p>
      <w:pPr>
        <w:pStyle w:val="1063"/>
        <w:spacing w:before="120" w:after="120"/>
        <w:tabs>
          <w:tab w:val="left" w:pos="992" w:leader="none"/>
        </w:tabs>
        <w:rPr>
          <w:rFonts w:ascii="Arial Narrow" w:hAnsi="Arial Narrow" w:cs="Calibri"/>
          <w:b/>
          <w:color w:val="314e87"/>
          <w:lang w:bidi="ru-RU"/>
        </w:rPr>
      </w:pPr>
      <w:r>
        <w:rPr>
          <w:rFonts w:ascii="Arial Narrow" w:hAnsi="Arial Narrow" w:cs="Calibri"/>
          <w:b/>
          <w:color w:val="314e87"/>
          <w:lang w:bidi="ru-RU"/>
        </w:rPr>
        <w:t xml:space="preserve">Энергетики устанавливают на энергооборудование устройства для отпугивания птиц</w:t>
      </w:r>
      <w:r>
        <w:rPr>
          <w:rFonts w:ascii="Arial Narrow" w:hAnsi="Arial Narrow" w:cs="Calibri"/>
          <w:b/>
          <w:color w:val="314e87"/>
          <w:lang w:bidi="ru-RU"/>
        </w:rPr>
      </w:r>
      <w:r>
        <w:rPr>
          <w:rFonts w:ascii="Arial Narrow" w:hAnsi="Arial Narrow" w:cs="Calibri"/>
          <w:b/>
          <w:color w:val="314e87"/>
          <w:lang w:bidi="ru-RU"/>
        </w:rPr>
      </w:r>
    </w:p>
    <w:p>
      <w:pPr>
        <w:pStyle w:val="1144"/>
        <w:ind w:firstLine="720"/>
        <w:jc w:val="both"/>
        <w:spacing w:line="276" w:lineRule="auto"/>
      </w:pPr>
      <w:r>
        <w:rPr>
          <w:rFonts w:ascii="Arial Narrow" w:hAnsi="Arial Narrow"/>
          <w:sz w:val="24"/>
          <w:szCs w:val="24"/>
        </w:rPr>
        <w:t xml:space="preserve">Специалисты Центральных электрических сетей ПАО «Камчатскэнерго» приступили к установке птицезащитных устройств (ПЗУ) на высоковольтных линиях электропередачи и системообразующих подстанциях.</w:t>
      </w:r>
      <w:r/>
    </w:p>
    <w:p>
      <w:pPr>
        <w:pStyle w:val="1144"/>
        <w:jc w:val="both"/>
        <w:spacing w:line="276" w:lineRule="auto"/>
      </w:pPr>
      <w:r>
        <w:rPr>
          <w:rFonts w:ascii="Arial Narrow" w:hAnsi="Arial Narrow"/>
          <w:sz w:val="24"/>
          <w:szCs w:val="24"/>
        </w:rPr>
        <w:tab/>
        <w:t xml:space="preserve">Установка специальных устройств препятствует поражению птиц электрическим током, а также защищает энергооборудование от загрязнения продуктами их жизнедеятельности, продлевает срок службы изоляторов и минимизирует нештатные ситуации.</w:t>
      </w:r>
      <w:r/>
    </w:p>
    <w:p>
      <w:pPr>
        <w:pStyle w:val="1144"/>
        <w:jc w:val="both"/>
        <w:spacing w:line="276" w:lineRule="auto"/>
      </w:pPr>
      <w:r>
        <w:rPr>
          <w:rFonts w:ascii="Arial Narrow" w:hAnsi="Arial Narrow"/>
          <w:sz w:val="24"/>
          <w:szCs w:val="24"/>
        </w:rPr>
        <w:tab/>
        <w:t xml:space="preserve">На подстанциях 110 кВ «Елизово» и «Камчатскстройматериалы» установлены механические пропановые громпушки. Газовые пушки работают по принципу шумовой атаки, воспроизводя с заданной периодичностью громкий звук выстрела. Зв</w:t>
      </w:r>
      <w:r>
        <w:rPr>
          <w:rFonts w:ascii="Arial Narrow" w:hAnsi="Arial Narrow"/>
          <w:sz w:val="24"/>
          <w:szCs w:val="24"/>
        </w:rPr>
        <w:t xml:space="preserve">уковой пропановый отпугиватель птиц - очень действенное и полностью безопасное для экологии устройство.  Сила звука, с которой стреляет пушка, составляет порядка 125 децибел. Этого вполне достаточно, чтобы защитить от непрошеных гостей территории площадью </w:t>
      </w:r>
      <w:r>
        <w:rPr>
          <w:rFonts w:ascii="Arial Narrow" w:hAnsi="Arial Narrow"/>
          <w:sz w:val="24"/>
          <w:szCs w:val="24"/>
        </w:rPr>
        <w:br/>
        <w:t xml:space="preserve">до 2 гектаров, но при этом не беспокоить жителей прилегающих жилых районов.</w:t>
      </w:r>
      <w:r/>
    </w:p>
    <w:p>
      <w:pPr>
        <w:pStyle w:val="1144"/>
        <w:jc w:val="both"/>
        <w:spacing w:line="276" w:lineRule="auto"/>
      </w:pPr>
      <w:r>
        <w:rPr>
          <w:rFonts w:ascii="Arial Narrow" w:hAnsi="Arial Narrow"/>
          <w:sz w:val="24"/>
          <w:szCs w:val="24"/>
        </w:rPr>
        <w:tab/>
        <w:t xml:space="preserve">На нескольких ЛЭП, где ранее отмечались места гнездования птиц, приводившие к коротким замыканиям и отключению энергоснабжения, ведутся работы по установке биоакустических отпугивателей, имитирующих крик орла.</w:t>
      </w:r>
      <w:r/>
    </w:p>
    <w:p>
      <w:pPr>
        <w:pStyle w:val="1063"/>
        <w:spacing w:before="120" w:after="120"/>
        <w:tabs>
          <w:tab w:val="left" w:pos="992" w:leader="none"/>
        </w:tabs>
        <w:rPr>
          <w:rFonts w:ascii="Arial Narrow" w:hAnsi="Arial Narrow" w:cs="Calibri"/>
          <w:b/>
          <w:color w:val="314e87"/>
          <w:lang w:bidi="ru-RU"/>
        </w:rPr>
      </w:pPr>
      <w:r>
        <w:rPr>
          <w:rFonts w:ascii="Arial Narrow" w:hAnsi="Arial Narrow" w:cs="Calibri"/>
          <w:b/>
          <w:color w:val="314e87"/>
          <w:lang w:bidi="ru-RU"/>
        </w:rPr>
        <w:t xml:space="preserve">ИЮЛЬ 2024</w:t>
      </w:r>
      <w:r>
        <w:rPr>
          <w:rFonts w:ascii="Arial Narrow" w:hAnsi="Arial Narrow" w:cs="Calibri"/>
          <w:b/>
          <w:color w:val="314e87"/>
          <w:lang w:bidi="ru-RU"/>
        </w:rPr>
      </w:r>
      <w:r>
        <w:rPr>
          <w:rFonts w:ascii="Arial Narrow" w:hAnsi="Arial Narrow" w:cs="Calibri"/>
          <w:b/>
          <w:color w:val="314e87"/>
          <w:lang w:bidi="ru-RU"/>
        </w:rPr>
      </w:r>
    </w:p>
    <w:p>
      <w:pPr>
        <w:pStyle w:val="1063"/>
        <w:spacing w:before="120" w:after="120"/>
        <w:tabs>
          <w:tab w:val="left" w:pos="992" w:leader="none"/>
        </w:tabs>
        <w:rPr>
          <w:rFonts w:ascii="Arial Narrow" w:hAnsi="Arial Narrow" w:cs="Calibri"/>
          <w:b/>
          <w:color w:val="314e87"/>
          <w:lang w:bidi="ru-RU"/>
        </w:rPr>
      </w:pPr>
      <w:r>
        <w:rPr>
          <w:rFonts w:ascii="Arial Narrow" w:hAnsi="Arial Narrow" w:cs="Calibri"/>
          <w:b/>
          <w:color w:val="314e87"/>
          <w:lang w:bidi="ru-RU"/>
        </w:rPr>
        <w:t xml:space="preserve">В районе Мутновских ГеоЭС завершено бурение новой производственной скважины ГЕО-10</w:t>
      </w:r>
      <w:r>
        <w:rPr>
          <w:rFonts w:ascii="Arial Narrow" w:hAnsi="Arial Narrow" w:cs="Calibri"/>
          <w:b/>
          <w:color w:val="314e87"/>
          <w:lang w:bidi="ru-RU"/>
        </w:rPr>
      </w:r>
      <w:r>
        <w:rPr>
          <w:rFonts w:ascii="Arial Narrow" w:hAnsi="Arial Narrow" w:cs="Calibri"/>
          <w:b/>
          <w:color w:val="314e87"/>
          <w:lang w:bidi="ru-RU"/>
        </w:rPr>
      </w:r>
    </w:p>
    <w:p>
      <w:pPr>
        <w:pStyle w:val="1144"/>
        <w:ind w:firstLine="708"/>
        <w:jc w:val="both"/>
        <w:spacing w:line="276" w:lineRule="auto"/>
      </w:pPr>
      <w:r>
        <w:rPr>
          <w:rFonts w:ascii="Arial Narrow" w:hAnsi="Arial Narrow"/>
          <w:sz w:val="24"/>
          <w:szCs w:val="24"/>
        </w:rPr>
        <w:t xml:space="preserve">В</w:t>
      </w:r>
      <w:r>
        <w:rPr>
          <w:rFonts w:ascii="Arial Narrow" w:hAnsi="Arial Narrow"/>
          <w:sz w:val="24"/>
          <w:szCs w:val="24"/>
        </w:rPr>
        <w:t xml:space="preserve"> районе Мутновских ГеоЭС филиала «Возобновляемая энергетика» ПАО «Камчатскэнерго» завершились  работы по бурению новой скважины ГЕО-10 глубиной 2203 метра. Скважина находится в режиме прогрева с последующим проведением испытаний, по итогам которых будет вы</w:t>
      </w:r>
      <w:r>
        <w:rPr>
          <w:rFonts w:ascii="Arial Narrow" w:hAnsi="Arial Narrow"/>
          <w:sz w:val="24"/>
          <w:szCs w:val="24"/>
        </w:rPr>
        <w:t xml:space="preserve">явлены ее энергетические характеристики. В бесснежный период текущего года (август – октябрь) - после прокладки трубопровода пароводяной-смеси - энергетический потенциал пробуренной геотермальной скважины будет доведен до Верхне-Мутновской ГеоЭС (ВМГеоЭС).</w:t>
      </w:r>
      <w:r/>
    </w:p>
    <w:p>
      <w:pPr>
        <w:pStyle w:val="1144"/>
        <w:ind w:firstLine="708"/>
        <w:jc w:val="both"/>
        <w:spacing w:line="276" w:lineRule="auto"/>
      </w:pPr>
      <w:r>
        <w:rPr>
          <w:rFonts w:ascii="Arial Narrow" w:hAnsi="Arial Narrow"/>
          <w:sz w:val="24"/>
          <w:szCs w:val="24"/>
        </w:rPr>
        <w:t xml:space="preserve">Подрядная организации приступила к бурению еще одной скважины - ГЕО-11. Обе скважины ориентированы на обес</w:t>
      </w:r>
      <w:r>
        <w:rPr>
          <w:rFonts w:ascii="Arial Narrow" w:hAnsi="Arial Narrow"/>
          <w:sz w:val="24"/>
          <w:szCs w:val="24"/>
        </w:rPr>
        <w:t xml:space="preserve">печение геотермальным ресурсом ВМГеоЭС, ввод которых позволит гарантировать надежную работу станции с максимальной выработкой электроэнергии в Камчатский Центральный энергоузел без ограничения располагаемой мощности. В состав ВМГеоЭС входят 3 энергоблока с</w:t>
      </w:r>
      <w:r>
        <w:rPr>
          <w:rFonts w:ascii="Arial Narrow" w:hAnsi="Arial Narrow"/>
          <w:sz w:val="24"/>
          <w:szCs w:val="24"/>
        </w:rPr>
        <w:t xml:space="preserve"> конденсационными турбинами типа Туман-4К мощностью по 4 МВт. Стоит отметить, что новая скважина является одной из самых глубоких с увеличенным диаметром фильтровой колоны 245 мм, которые еще не строились на этом месторождении парогидротерм. Предыдущие скв</w:t>
      </w:r>
      <w:r>
        <w:rPr>
          <w:rFonts w:ascii="Arial Narrow" w:hAnsi="Arial Narrow"/>
          <w:sz w:val="24"/>
          <w:szCs w:val="24"/>
        </w:rPr>
        <w:t xml:space="preserve">ажины имели иную конструкцию с длиной до 2 186 метров и диаметром фильтровой колоны 168 мм. Данная конструкция скважины позволит получать в 1,5 раза больше геотермального флюида. До 2028 года планируется бурение трех новых скважин и для Мутновской ГеоЭС-1.</w:t>
      </w:r>
      <w:r/>
    </w:p>
    <w:p>
      <w:pPr>
        <w:pStyle w:val="1144"/>
        <w:spacing w:before="120" w:after="120"/>
      </w:pPr>
      <w:r>
        <w:rPr>
          <w:rFonts w:ascii="Arial Narrow" w:hAnsi="Arial Narrow" w:eastAsia="Arial" w:cs="Calibri"/>
          <w:b/>
          <w:color w:val="314e87"/>
          <w:sz w:val="24"/>
          <w:szCs w:val="24"/>
          <w:lang w:eastAsia="en-US" w:bidi="ru-RU"/>
        </w:rPr>
        <w:t xml:space="preserve">На Каскаде Толмачевских ГЭС начались инженерно-геологические изыскания для проектирования ГЭС-4</w:t>
      </w:r>
      <w:r/>
    </w:p>
    <w:p>
      <w:pPr>
        <w:pStyle w:val="1144"/>
        <w:ind w:firstLine="708"/>
        <w:jc w:val="both"/>
        <w:spacing w:line="276" w:lineRule="auto"/>
        <w:rPr>
          <w:rFonts w:ascii="Arial Narrow" w:hAnsi="Arial Narrow"/>
          <w:sz w:val="24"/>
          <w:szCs w:val="24"/>
        </w:rPr>
      </w:pPr>
      <w:r>
        <w:rPr>
          <w:rFonts w:ascii="Arial Narrow" w:hAnsi="Arial Narrow"/>
          <w:sz w:val="24"/>
          <w:szCs w:val="24"/>
        </w:rPr>
        <w:t xml:space="preserve">В районе реки Толмачевой в Усть-Большерецком районе Камчатского края осуществл</w:t>
      </w:r>
      <w:r>
        <w:rPr>
          <w:rFonts w:ascii="Arial Narrow" w:hAnsi="Arial Narrow"/>
          <w:sz w:val="24"/>
          <w:szCs w:val="24"/>
        </w:rPr>
        <w:t xml:space="preserve">ены полевые геотехнические и инженерно-сейсмологические работы в рамках проектирования ГЭС-4. Отряд геологов подготовил буровую технику, инструменты для выполнения откачек из скважин, оборудование и инвентарь, необходимые для обустройства полевого лагеря. </w:t>
      </w:r>
      <w:r>
        <w:rPr>
          <w:rFonts w:ascii="Arial Narrow" w:hAnsi="Arial Narrow"/>
          <w:sz w:val="24"/>
          <w:szCs w:val="24"/>
        </w:rPr>
      </w:r>
      <w:r>
        <w:rPr>
          <w:rFonts w:ascii="Arial Narrow" w:hAnsi="Arial Narrow"/>
          <w:sz w:val="24"/>
          <w:szCs w:val="24"/>
        </w:rPr>
      </w:r>
    </w:p>
    <w:p>
      <w:pPr>
        <w:pStyle w:val="1144"/>
        <w:ind w:firstLine="708"/>
        <w:jc w:val="both"/>
        <w:spacing w:line="276" w:lineRule="auto"/>
      </w:pPr>
      <w:r>
        <w:rPr>
          <w:rFonts w:ascii="Arial Narrow" w:hAnsi="Arial Narrow"/>
          <w:sz w:val="24"/>
          <w:szCs w:val="24"/>
        </w:rPr>
        <w:t xml:space="preserve">Толмачевская ГЭС-4 должна стать завершающей ступенью каскада малых гидроэлектростанций на реке Толмачева в Усть-Большерецком районе Камчат</w:t>
      </w:r>
      <w:r>
        <w:rPr>
          <w:rFonts w:ascii="Arial Narrow" w:hAnsi="Arial Narrow"/>
          <w:sz w:val="24"/>
          <w:szCs w:val="24"/>
        </w:rPr>
        <w:t xml:space="preserve">ского края. Согласно предварительным проектным проработкам и технико-экономическим расчетам, мощность станции составит 6 МВт, в год она сможет вырабатывать 41,55 млн кВтч электроэнергии. Проектирование новой станции планируется завершить к концу 2025 года.</w:t>
      </w:r>
      <w:r/>
    </w:p>
    <w:p>
      <w:pPr>
        <w:pStyle w:val="1144"/>
        <w:spacing w:before="120" w:after="120"/>
        <w:rPr>
          <w:rFonts w:ascii="Arial Narrow" w:hAnsi="Arial Narrow" w:eastAsia="Arial" w:cs="Calibri"/>
          <w:b/>
          <w:color w:val="314e87"/>
          <w:sz w:val="24"/>
          <w:szCs w:val="24"/>
          <w:lang w:eastAsia="en-US" w:bidi="ru-RU"/>
        </w:rPr>
      </w:pPr>
      <w:r>
        <w:rPr>
          <w:rFonts w:ascii="Arial Narrow" w:hAnsi="Arial Narrow" w:eastAsia="Arial" w:cs="Calibri"/>
          <w:b/>
          <w:color w:val="314e87"/>
          <w:sz w:val="24"/>
          <w:szCs w:val="24"/>
          <w:lang w:eastAsia="en-US" w:bidi="ru-RU"/>
        </w:rPr>
        <w:t xml:space="preserve">ПАО «Камчатскэнерго» выпустило в реки полуострова мальков кеты</w:t>
      </w:r>
      <w:r>
        <w:rPr>
          <w:rFonts w:ascii="Arial Narrow" w:hAnsi="Arial Narrow" w:eastAsia="Arial" w:cs="Calibri"/>
          <w:b/>
          <w:color w:val="314e87"/>
          <w:sz w:val="24"/>
          <w:szCs w:val="24"/>
          <w:lang w:eastAsia="en-US" w:bidi="ru-RU"/>
        </w:rPr>
      </w:r>
      <w:r>
        <w:rPr>
          <w:rFonts w:ascii="Arial Narrow" w:hAnsi="Arial Narrow" w:eastAsia="Arial" w:cs="Calibri"/>
          <w:b/>
          <w:color w:val="314e87"/>
          <w:sz w:val="24"/>
          <w:szCs w:val="24"/>
          <w:lang w:eastAsia="en-US" w:bidi="ru-RU"/>
        </w:rPr>
      </w:r>
    </w:p>
    <w:p>
      <w:pPr>
        <w:pStyle w:val="1144"/>
        <w:ind w:firstLine="708"/>
        <w:jc w:val="both"/>
        <w:spacing w:line="276" w:lineRule="auto"/>
      </w:pPr>
      <w:r>
        <w:rPr>
          <w:rFonts w:ascii="Arial Narrow" w:hAnsi="Arial Narrow"/>
          <w:sz w:val="24"/>
          <w:szCs w:val="24"/>
        </w:rPr>
        <w:t xml:space="preserve">Энергетики К</w:t>
      </w:r>
      <w:r>
        <w:rPr>
          <w:rFonts w:ascii="Arial Narrow" w:hAnsi="Arial Narrow"/>
          <w:sz w:val="24"/>
          <w:szCs w:val="24"/>
        </w:rPr>
        <w:t xml:space="preserve">амчатскэнерго совместно с Росрыболовством в целях восполнения водных биоресурсов выпустили в реки полуострова порядка 2 700 мальков кеты. Молодь этой ценной породы лососевых рыб пополнила ресурсы реки Авача, являющейся водоемом рыбохозяйственного значения.</w:t>
      </w:r>
      <w:r/>
    </w:p>
    <w:p>
      <w:pPr>
        <w:pStyle w:val="1144"/>
        <w:ind w:firstLine="708"/>
        <w:jc w:val="both"/>
        <w:spacing w:line="276" w:lineRule="auto"/>
        <w:rPr>
          <w:rFonts w:ascii="Arial Narrow" w:hAnsi="Arial Narrow"/>
          <w:sz w:val="6"/>
          <w:szCs w:val="6"/>
        </w:rPr>
      </w:pPr>
      <w:r>
        <w:rPr>
          <w:rFonts w:ascii="Arial Narrow" w:hAnsi="Arial Narrow"/>
          <w:sz w:val="24"/>
          <w:szCs w:val="24"/>
        </w:rPr>
        <w:t xml:space="preserve">Сохранение и восполнение биоресурсов – одна из приоритетных задач энергокомпании. Особое внимание уделяется сохранению и восстановлению рыбных запасов рек. </w:t>
      </w:r>
      <w:r>
        <w:rPr>
          <w:rFonts w:ascii="Arial Narrow" w:hAnsi="Arial Narrow"/>
          <w:sz w:val="6"/>
          <w:szCs w:val="6"/>
        </w:rPr>
      </w:r>
      <w:r>
        <w:rPr>
          <w:rFonts w:ascii="Arial Narrow" w:hAnsi="Arial Narrow"/>
          <w:sz w:val="6"/>
          <w:szCs w:val="6"/>
        </w:rPr>
      </w:r>
    </w:p>
    <w:p>
      <w:pPr>
        <w:pStyle w:val="1063"/>
        <w:spacing w:before="120" w:after="120"/>
        <w:tabs>
          <w:tab w:val="left" w:pos="992" w:leader="none"/>
        </w:tabs>
        <w:rPr>
          <w:b/>
        </w:rPr>
      </w:pPr>
      <w:r>
        <w:rPr>
          <w:rFonts w:ascii="Arial Narrow" w:hAnsi="Arial Narrow" w:cs="Calibri"/>
          <w:b/>
          <w:color w:val="314e87"/>
          <w:lang w:bidi="ru-RU"/>
        </w:rPr>
        <w:t xml:space="preserve">АВГУСТ 2024</w:t>
      </w:r>
      <w:r>
        <w:rPr>
          <w:b/>
        </w:rPr>
      </w:r>
      <w:r>
        <w:rPr>
          <w:b/>
        </w:rPr>
      </w:r>
    </w:p>
    <w:p>
      <w:pPr>
        <w:pStyle w:val="1144"/>
      </w:pPr>
      <w:r>
        <w:rPr>
          <w:rFonts w:ascii="Arial Narrow" w:hAnsi="Arial Narrow" w:eastAsia="Arial" w:cs="Calibri"/>
          <w:b/>
          <w:color w:val="314e87"/>
          <w:sz w:val="24"/>
          <w:szCs w:val="24"/>
          <w:lang w:eastAsia="en-US" w:bidi="ru-RU"/>
        </w:rPr>
        <w:t xml:space="preserve">Жителей Камчатки будут оповещать об отключениях электроэнергии по СМС</w:t>
      </w:r>
      <w:r/>
    </w:p>
    <w:p>
      <w:pPr>
        <w:pStyle w:val="1144"/>
        <w:jc w:val="center"/>
        <w:rPr>
          <w:sz w:val="6"/>
          <w:szCs w:val="6"/>
        </w:rPr>
      </w:pPr>
      <w:r>
        <w:rPr>
          <w:sz w:val="6"/>
          <w:szCs w:val="6"/>
        </w:rPr>
      </w:r>
      <w:r>
        <w:rPr>
          <w:sz w:val="6"/>
          <w:szCs w:val="6"/>
        </w:rPr>
      </w:r>
      <w:r>
        <w:rPr>
          <w:sz w:val="6"/>
          <w:szCs w:val="6"/>
        </w:rPr>
      </w:r>
    </w:p>
    <w:p>
      <w:pPr>
        <w:pStyle w:val="1144"/>
        <w:ind w:firstLine="720"/>
        <w:jc w:val="both"/>
        <w:spacing w:line="276" w:lineRule="auto"/>
      </w:pPr>
      <w:r>
        <w:rPr>
          <w:rFonts w:ascii="Arial Narrow" w:hAnsi="Arial Narrow"/>
          <w:sz w:val="24"/>
          <w:szCs w:val="24"/>
        </w:rPr>
        <w:t xml:space="preserve">ПАО «Камчатскэнерго» осуществило внедрение системы прямого информирования собственников квартир и частных домохозяйств о дате и времени отключений электроэнергии пр</w:t>
      </w:r>
      <w:r>
        <w:rPr>
          <w:rFonts w:ascii="Arial Narrow" w:hAnsi="Arial Narrow"/>
          <w:sz w:val="24"/>
          <w:szCs w:val="24"/>
        </w:rPr>
        <w:t xml:space="preserve">и проведении планово-профилактического ремонта на электрооборудовании, а также при аварийных отключениях посредством рассылки СМС-сообщений. Сообщения жителям будут приходить на телефонные номера, указанные в договорах на предоставление коммунальных услуг.</w:t>
      </w:r>
      <w:r/>
    </w:p>
    <w:p>
      <w:pPr>
        <w:pStyle w:val="1144"/>
        <w:jc w:val="both"/>
        <w:spacing w:line="276" w:lineRule="auto"/>
      </w:pPr>
      <w:r>
        <w:rPr>
          <w:rFonts w:ascii="Arial Narrow" w:hAnsi="Arial Narrow"/>
          <w:sz w:val="24"/>
          <w:szCs w:val="24"/>
        </w:rPr>
        <w:tab/>
        <w:t xml:space="preserve">Внедрение автоматического СМС-информирования началось с 01.09.2024. Первыми начнут получать уведомления жители с. Мильково, п. Пущино, с. Шаромы. В дальнейшем данная услуга будет внедрена и в других населенных пунктах Камчатского края.</w:t>
      </w:r>
      <w:r/>
    </w:p>
    <w:p>
      <w:pPr>
        <w:pStyle w:val="1063"/>
        <w:spacing w:before="120" w:after="120"/>
        <w:tabs>
          <w:tab w:val="left" w:pos="992" w:leader="none"/>
        </w:tabs>
        <w:rPr>
          <w:rFonts w:ascii="Arial Narrow" w:hAnsi="Arial Narrow" w:cs="Calibri"/>
          <w:b/>
          <w:color w:val="314e87"/>
          <w:lang w:bidi="ru-RU"/>
        </w:rPr>
      </w:pPr>
      <w:r>
        <w:rPr>
          <w:rFonts w:ascii="Arial Narrow" w:hAnsi="Arial Narrow" w:cs="Calibri"/>
          <w:b/>
          <w:color w:val="314e87"/>
          <w:lang w:bidi="ru-RU"/>
        </w:rPr>
        <w:t xml:space="preserve">СЕНТЯБРЬ 2024</w:t>
      </w:r>
      <w:r>
        <w:rPr>
          <w:rFonts w:ascii="Arial Narrow" w:hAnsi="Arial Narrow" w:cs="Calibri"/>
          <w:b/>
          <w:color w:val="314e87"/>
          <w:lang w:bidi="ru-RU"/>
        </w:rPr>
      </w:r>
      <w:r>
        <w:rPr>
          <w:rFonts w:ascii="Arial Narrow" w:hAnsi="Arial Narrow" w:cs="Calibri"/>
          <w:b/>
          <w:color w:val="314e87"/>
          <w:lang w:bidi="ru-RU"/>
        </w:rPr>
      </w:r>
    </w:p>
    <w:p>
      <w:pPr>
        <w:pStyle w:val="1063"/>
        <w:spacing w:before="120" w:after="120"/>
        <w:tabs>
          <w:tab w:val="left" w:pos="992" w:leader="none"/>
        </w:tabs>
        <w:rPr>
          <w:rFonts w:ascii="Arial Narrow" w:hAnsi="Arial Narrow" w:cs="Calibri"/>
          <w:b/>
          <w:color w:val="314e87"/>
          <w:lang w:bidi="ru-RU"/>
        </w:rPr>
      </w:pPr>
      <w:r>
        <w:rPr>
          <w:rFonts w:ascii="Arial Narrow" w:hAnsi="Arial Narrow" w:cs="Calibri"/>
          <w:b/>
          <w:color w:val="314e87"/>
          <w:lang w:bidi="ru-RU"/>
        </w:rPr>
        <w:t xml:space="preserve">Завершен проект по установке инновационных противолавинных опор</w:t>
      </w:r>
      <w:r>
        <w:rPr>
          <w:rFonts w:ascii="Arial Narrow" w:hAnsi="Arial Narrow" w:cs="Calibri"/>
          <w:b/>
          <w:color w:val="314e87"/>
          <w:lang w:bidi="ru-RU"/>
        </w:rPr>
      </w:r>
      <w:r>
        <w:rPr>
          <w:rFonts w:ascii="Arial Narrow" w:hAnsi="Arial Narrow" w:cs="Calibri"/>
          <w:b/>
          <w:color w:val="314e87"/>
          <w:lang w:bidi="ru-RU"/>
        </w:rPr>
      </w:r>
    </w:p>
    <w:p>
      <w:pPr>
        <w:pStyle w:val="1144"/>
        <w:ind w:firstLine="720"/>
        <w:jc w:val="both"/>
        <w:spacing w:line="276" w:lineRule="auto"/>
      </w:pPr>
      <w:r>
        <w:rPr>
          <w:rFonts w:ascii="Arial Narrow" w:hAnsi="Arial Narrow"/>
          <w:sz w:val="24"/>
          <w:szCs w:val="24"/>
        </w:rPr>
        <w:t xml:space="preserve">ПАО «Камчатскэнерго» завершило работы по защите высоковольтной линии ВЛ-201 от возможного схода лавин — последние три противолавинные опоры установлены у подножия Вилючинского вулкана.  Вс</w:t>
      </w:r>
      <w:r>
        <w:rPr>
          <w:rFonts w:ascii="Arial Narrow" w:hAnsi="Arial Narrow"/>
          <w:sz w:val="24"/>
          <w:szCs w:val="24"/>
        </w:rPr>
        <w:t xml:space="preserve">его на высоковольтной линии, идущей от Мутновской геотермальной станции установлено восемь инновационных противолавинных опор. Опоры отличаются от типовой своей конструкции – это 24-метровая многогранная конструкция, внутри на треть высоты залитая бетоном.</w:t>
      </w:r>
      <w:r/>
    </w:p>
    <w:p>
      <w:pPr>
        <w:pStyle w:val="1144"/>
        <w:jc w:val="both"/>
        <w:spacing w:line="276" w:lineRule="auto"/>
      </w:pPr>
      <w:r>
        <w:rPr>
          <w:rFonts w:ascii="Arial Narrow" w:hAnsi="Arial Narrow"/>
          <w:sz w:val="24"/>
          <w:szCs w:val="24"/>
        </w:rPr>
        <w:tab/>
        <w:t xml:space="preserve">Линия «Авача-МГеоЭС»</w:t>
      </w:r>
      <w:r>
        <w:rPr>
          <w:rFonts w:ascii="Arial Narrow" w:hAnsi="Arial Narrow"/>
          <w:sz w:val="24"/>
          <w:szCs w:val="24"/>
        </w:rPr>
        <w:t xml:space="preserve"> является основной, обеспечивающей порядка 30 % всей электроэнергии, потребляемой центральным энергоузлом Камчатского края. Она эксплуатируется в очень сложных климатических условиях: ветровые нагрузки до 60 м/с, гололед и лавины, объем которых составляет </w:t>
      </w:r>
      <w:r>
        <w:rPr>
          <w:rFonts w:ascii="Arial Narrow" w:hAnsi="Arial Narrow"/>
          <w:sz w:val="24"/>
          <w:szCs w:val="24"/>
        </w:rPr>
        <w:br/>
        <w:t xml:space="preserve">от 1 млн до 2,5 млн м³.</w:t>
      </w:r>
      <w:r/>
    </w:p>
    <w:p>
      <w:pPr>
        <w:pStyle w:val="1144"/>
        <w:jc w:val="both"/>
        <w:spacing w:line="276" w:lineRule="auto"/>
      </w:pPr>
      <w:r>
        <w:rPr>
          <w:rFonts w:ascii="Arial Narrow" w:hAnsi="Arial Narrow"/>
          <w:sz w:val="24"/>
          <w:szCs w:val="24"/>
        </w:rPr>
        <w:tab/>
        <w:t xml:space="preserve">Опоры установлены в местах наи</w:t>
      </w:r>
      <w:r>
        <w:rPr>
          <w:rFonts w:ascii="Arial Narrow" w:hAnsi="Arial Narrow"/>
          <w:sz w:val="24"/>
          <w:szCs w:val="24"/>
        </w:rPr>
        <w:t xml:space="preserve">более подверженных сходу снежных масс с вулкана.  За время существования этой высоковольтной линии лавины несколько раз полностью разрушали опоры. Последний раз это произошло 29.12.2018, когда сошедшая лавина уничтожила две 25-метровые металлические опоры.</w:t>
      </w:r>
      <w:r/>
    </w:p>
    <w:p>
      <w:pPr>
        <w:pStyle w:val="1063"/>
        <w:spacing w:before="120" w:after="120"/>
        <w:tabs>
          <w:tab w:val="left" w:pos="992" w:leader="none"/>
        </w:tabs>
        <w:rPr>
          <w:rFonts w:ascii="Arial Narrow" w:hAnsi="Arial Narrow" w:cs="Calibri"/>
          <w:b/>
          <w:color w:val="314e87"/>
          <w:lang w:bidi="ru-RU"/>
        </w:rPr>
      </w:pPr>
      <w:r>
        <w:rPr>
          <w:rFonts w:ascii="Arial Narrow" w:hAnsi="Arial Narrow" w:cs="Calibri"/>
          <w:b/>
          <w:color w:val="314e87"/>
          <w:lang w:bidi="ru-RU"/>
        </w:rPr>
        <w:t xml:space="preserve">НОЯБРЬ 2024</w:t>
      </w:r>
      <w:r>
        <w:rPr>
          <w:rFonts w:ascii="Arial Narrow" w:hAnsi="Arial Narrow" w:cs="Calibri"/>
          <w:b/>
          <w:color w:val="314e87"/>
          <w:lang w:bidi="ru-RU"/>
        </w:rPr>
      </w:r>
      <w:r>
        <w:rPr>
          <w:rFonts w:ascii="Arial Narrow" w:hAnsi="Arial Narrow" w:cs="Calibri"/>
          <w:b/>
          <w:color w:val="314e87"/>
          <w:lang w:bidi="ru-RU"/>
        </w:rPr>
      </w:r>
    </w:p>
    <w:p>
      <w:pPr>
        <w:pStyle w:val="1063"/>
        <w:spacing w:before="120" w:after="120"/>
        <w:tabs>
          <w:tab w:val="left" w:pos="992" w:leader="none"/>
        </w:tabs>
        <w:rPr>
          <w:rFonts w:ascii="Arial Narrow" w:hAnsi="Arial Narrow" w:cs="Calibri"/>
          <w:b/>
          <w:color w:val="314e87"/>
          <w:lang w:bidi="ru-RU"/>
        </w:rPr>
      </w:pPr>
      <w:r>
        <w:rPr>
          <w:rFonts w:ascii="Arial Narrow" w:hAnsi="Arial Narrow" w:cs="Calibri"/>
          <w:b/>
          <w:color w:val="314e87"/>
          <w:lang w:bidi="ru-RU"/>
        </w:rPr>
        <w:t xml:space="preserve">ПАО «Камчатскэнерго» получило паспорт готовности к зиме</w:t>
      </w:r>
      <w:r>
        <w:rPr>
          <w:rFonts w:ascii="Arial Narrow" w:hAnsi="Arial Narrow" w:cs="Calibri"/>
          <w:b/>
          <w:color w:val="314e87"/>
          <w:lang w:bidi="ru-RU"/>
        </w:rPr>
      </w:r>
      <w:r>
        <w:rPr>
          <w:rFonts w:ascii="Arial Narrow" w:hAnsi="Arial Narrow" w:cs="Calibri"/>
          <w:b/>
          <w:color w:val="314e87"/>
          <w:lang w:bidi="ru-RU"/>
        </w:rPr>
      </w:r>
    </w:p>
    <w:p>
      <w:pPr>
        <w:pStyle w:val="1144"/>
        <w:ind w:firstLine="720"/>
        <w:jc w:val="both"/>
        <w:spacing w:line="276" w:lineRule="auto"/>
      </w:pPr>
      <w:r>
        <w:rPr>
          <w:rFonts w:ascii="Arial Narrow" w:hAnsi="Arial Narrow"/>
          <w:sz w:val="24"/>
          <w:szCs w:val="24"/>
        </w:rPr>
        <w:t xml:space="preserve">ПАО «Камчатскэнерго» успешно завершило подготовку к осенне-зимнему п</w:t>
      </w:r>
      <w:r>
        <w:rPr>
          <w:rFonts w:ascii="Arial Narrow" w:hAnsi="Arial Narrow"/>
          <w:sz w:val="24"/>
          <w:szCs w:val="24"/>
        </w:rPr>
        <w:t xml:space="preserve">ериоду 2024-2025 годов и получило паспорт готовности от Министерства энергетики России. Этот документ подтверждает готовность компании обеспечить бесперебойное энергоснабжение Камчатского края в условиях повышенного потребления энергии и низких температур.</w:t>
      </w:r>
      <w:r/>
    </w:p>
    <w:p>
      <w:pPr>
        <w:pStyle w:val="1144"/>
        <w:jc w:val="both"/>
        <w:spacing w:line="276" w:lineRule="auto"/>
      </w:pPr>
      <w:r>
        <w:rPr>
          <w:rFonts w:ascii="Arial Narrow" w:hAnsi="Arial Narrow"/>
          <w:sz w:val="24"/>
          <w:szCs w:val="24"/>
        </w:rPr>
        <w:tab/>
        <w:t xml:space="preserve">В рамках подготовки к осенне-зимнему периоду были проведены масштабные ремонтные работы, включающие ремонт трансформаторных и распределительных подстанций, 8 котлоагрегатов, </w:t>
      </w:r>
      <w:r>
        <w:rPr>
          <w:rFonts w:ascii="Arial Narrow" w:hAnsi="Arial Narrow"/>
          <w:sz w:val="24"/>
          <w:szCs w:val="24"/>
        </w:rPr>
        <w:br/>
        <w:t xml:space="preserve">12 турбоагрегатов и 6 гидроагрегатов, более 109 км линий электропередачи. Проведена расчистка и расширение 366 га просек в охранных зонах линий электропередачи (дополнительные работы запланированы после установления отрицательных температур). </w:t>
      </w:r>
      <w:r>
        <w:rPr>
          <w:rFonts w:ascii="Arial Narrow" w:hAnsi="Arial Narrow"/>
          <w:sz w:val="24"/>
          <w:szCs w:val="24"/>
        </w:rPr>
        <w:tab/>
        <w:t xml:space="preserve">Был проведен ремонт и замена участков изношенных тепловых сетей протяженностью 9 635 метров в однотрубном исчислении, при этом часть тепловых сетей, 1 250 метров, была заменена на трубы из изопрофлекса, что позволяет снизить эксплуа</w:t>
      </w:r>
      <w:r>
        <w:rPr>
          <w:rFonts w:ascii="Arial Narrow" w:hAnsi="Arial Narrow"/>
          <w:sz w:val="24"/>
          <w:szCs w:val="24"/>
        </w:rPr>
        <w:t xml:space="preserve">тационные расходы, существенно увеличить срок службы трубопроводов. Так же были отремонтированы 17 котлов, 6 зданий и сооружений, сформированы нормативные запасы топлива, установлена новая дымовая труба на котельной № 6 «Авача» в Петропавловске-Камчатском.</w:t>
      </w:r>
      <w:r/>
    </w:p>
    <w:p>
      <w:pPr>
        <w:pStyle w:val="1144"/>
        <w:jc w:val="both"/>
        <w:spacing w:line="276" w:lineRule="auto"/>
      </w:pPr>
      <w:r>
        <w:rPr>
          <w:rFonts w:ascii="Arial Narrow" w:hAnsi="Arial Narrow"/>
          <w:sz w:val="24"/>
          <w:szCs w:val="24"/>
        </w:rPr>
        <w:tab/>
        <w:t xml:space="preserve">ПАО «Камчатскэнерго» еж</w:t>
      </w:r>
      <w:r>
        <w:rPr>
          <w:rFonts w:ascii="Arial Narrow" w:hAnsi="Arial Narrow"/>
          <w:sz w:val="24"/>
          <w:szCs w:val="24"/>
        </w:rPr>
        <w:t xml:space="preserve">егодно увеличивает объемы ремонтных работ, что положительно влияет на надежность и эффективность работы оборудования. Своевременная и всесторонняя подготовка гарантирует бесперебойное энергоснабжение Камчатского края в течение всего осенне-зимнего периода.</w:t>
      </w:r>
      <w:r/>
    </w:p>
    <w:p>
      <w:pPr>
        <w:pStyle w:val="1144"/>
        <w:spacing w:before="120" w:after="120"/>
      </w:pPr>
      <w:r>
        <w:rPr>
          <w:rFonts w:ascii="Arial Narrow" w:hAnsi="Arial Narrow" w:eastAsia="Arial" w:cs="Calibri"/>
          <w:b/>
          <w:color w:val="314e87"/>
          <w:sz w:val="24"/>
          <w:szCs w:val="24"/>
          <w:lang w:eastAsia="en-US" w:bidi="ru-RU"/>
        </w:rPr>
        <w:t xml:space="preserve">На Камчатских ТЭЦ устанавливают высокотехнологичное оборудование российского производства</w:t>
      </w:r>
      <w:r/>
    </w:p>
    <w:p>
      <w:pPr>
        <w:pStyle w:val="1187"/>
        <w:jc w:val="both"/>
      </w:pPr>
      <w:r>
        <w:rPr>
          <w:rFonts w:ascii="Arial Narrow" w:hAnsi="Arial Narrow"/>
          <w:sz w:val="24"/>
          <w:szCs w:val="24"/>
        </w:rPr>
        <w:tab/>
        <w:t xml:space="preserve">На станции ТЭЦ-2 завершилось комплексное испытание новог</w:t>
      </w:r>
      <w:r>
        <w:rPr>
          <w:rFonts w:ascii="Arial Narrow" w:hAnsi="Arial Narrow"/>
          <w:sz w:val="24"/>
          <w:szCs w:val="24"/>
        </w:rPr>
        <w:t xml:space="preserve">о элегазового выключателя 110 кВ. Это уже третий выключатель на Камчатских ТЭЦ, установленный в рамках повышения надежности энергообъектов и сокращения расходов на ремонтные работы. До конца текущего года планируется установить еще 5 подобных выключателей.</w:t>
      </w:r>
      <w:r/>
    </w:p>
    <w:p>
      <w:pPr>
        <w:pStyle w:val="1187"/>
        <w:jc w:val="both"/>
      </w:pPr>
      <w:r>
        <w:rPr>
          <w:rFonts w:ascii="Arial Narrow" w:hAnsi="Arial Narrow"/>
          <w:sz w:val="24"/>
          <w:szCs w:val="24"/>
        </w:rPr>
        <w:tab/>
        <w:t xml:space="preserve">Элегазовый выключатель представляет собой высокотехнологичное оборудование, обеспечивающее защиту сети от перегру</w:t>
      </w:r>
      <w:r>
        <w:rPr>
          <w:rFonts w:ascii="Arial Narrow" w:hAnsi="Arial Narrow"/>
          <w:sz w:val="24"/>
          <w:szCs w:val="24"/>
        </w:rPr>
        <w:t xml:space="preserve">зок и коротких замыканий с минимальным временем отключения, что значительно снижает риск аварийных ситуаций и позволяет стабильно поддерживать работу критически важной инфраструктуры на полуострове. Он отличается повышенной долговечностью, меньшим объемом </w:t>
      </w:r>
      <w:r>
        <w:rPr>
          <w:rFonts w:ascii="Arial Narrow" w:hAnsi="Arial Narrow"/>
          <w:sz w:val="24"/>
          <w:szCs w:val="24"/>
        </w:rPr>
        <w:t xml:space="preserve">технического обслуживания и высокой устойчивостью к атмосферным и климатическим воздействиям, что особенно актуально для суровых условий Камчатки.</w:t>
      </w:r>
      <w:r/>
    </w:p>
    <w:p>
      <w:pPr>
        <w:pStyle w:val="1187"/>
        <w:jc w:val="both"/>
      </w:pPr>
      <w:r>
        <w:rPr>
          <w:rFonts w:ascii="Arial Narrow" w:hAnsi="Arial Narrow"/>
          <w:sz w:val="24"/>
          <w:szCs w:val="24"/>
        </w:rPr>
        <w:tab/>
        <w:t xml:space="preserve">Установленные на Камчатских ТЭЦ элегазовые выключатели произведены в России, полностью внедрение этого инновационного электротехнического оборудования завершится на Камчатских ТЭЦ </w:t>
      </w:r>
      <w:r>
        <w:rPr>
          <w:rFonts w:ascii="Arial Narrow" w:hAnsi="Arial Narrow"/>
          <w:sz w:val="24"/>
          <w:szCs w:val="24"/>
        </w:rPr>
        <w:br/>
        <w:t xml:space="preserve">в 2026 году.</w:t>
      </w:r>
      <w:r/>
    </w:p>
    <w:p>
      <w:pPr>
        <w:pStyle w:val="1187"/>
        <w:jc w:val="both"/>
      </w:pPr>
      <w:r>
        <w:rPr>
          <w:rFonts w:ascii="Arial Narrow" w:hAnsi="Arial Narrow"/>
          <w:sz w:val="24"/>
          <w:szCs w:val="24"/>
        </w:rPr>
        <w:tab/>
        <w:t xml:space="preserve">Начиная с 1978 года на Камчатских ТЭЦ эксплуатиро</w:t>
      </w:r>
      <w:r>
        <w:rPr>
          <w:rFonts w:ascii="Arial Narrow" w:hAnsi="Arial Narrow"/>
          <w:sz w:val="24"/>
          <w:szCs w:val="24"/>
        </w:rPr>
        <w:t xml:space="preserve">вались выключатели масляного типа, произведенные компаниями Болгарии и Швеции. Всего на Камчатских ТЭЦ было установлено 25 таких выключателей. Со временем технология использования масла в качестве дугогасящей среды устарела и стала экономически невыгодной.</w:t>
      </w:r>
      <w:r/>
    </w:p>
    <w:p>
      <w:pPr>
        <w:pStyle w:val="1187"/>
        <w:jc w:val="both"/>
      </w:pPr>
      <w:r>
        <w:rPr>
          <w:rFonts w:ascii="Arial Narrow" w:hAnsi="Arial Narrow"/>
          <w:sz w:val="24"/>
          <w:szCs w:val="24"/>
        </w:rPr>
        <w:tab/>
        <w:t xml:space="preserve">Замена устаревших устройств на современные элегазовые выключатели позволяет существенно улучшить стабильность и качество энергоснабжения региона.</w:t>
      </w:r>
      <w:r/>
    </w:p>
    <w:p>
      <w:pPr>
        <w:pStyle w:val="1063"/>
        <w:ind w:firstLine="720"/>
        <w:jc w:val="both"/>
        <w:rPr>
          <w:rFonts w:ascii="Arial Narrow" w:hAnsi="Arial Narrow" w:cs="Calibri"/>
          <w:lang w:bidi="ru-RU"/>
        </w:rPr>
      </w:pPr>
      <w:r>
        <w:rPr>
          <w:rFonts w:ascii="Arial Narrow" w:hAnsi="Arial Narrow" w:cs="Calibri"/>
          <w:lang w:bidi="ru-RU"/>
        </w:rPr>
      </w:r>
      <w:r>
        <w:rPr>
          <w:rFonts w:ascii="Arial Narrow" w:hAnsi="Arial Narrow" w:cs="Calibri"/>
          <w:lang w:bidi="ru-RU"/>
        </w:rPr>
      </w:r>
      <w:r>
        <w:rPr>
          <w:rFonts w:ascii="Arial Narrow" w:hAnsi="Arial Narrow" w:cs="Calibri"/>
          <w:lang w:bidi="ru-RU"/>
        </w:rPr>
      </w:r>
    </w:p>
    <w:p>
      <w:pPr>
        <w:pStyle w:val="763"/>
        <w:numPr>
          <w:ilvl w:val="1"/>
          <w:numId w:val="1"/>
        </w:numPr>
        <w:jc w:val="both"/>
        <w:keepLines/>
        <w:spacing w:after="0" w:line="276" w:lineRule="auto"/>
        <w:tabs>
          <w:tab w:val="clear" w:pos="0" w:leader="none"/>
        </w:tabs>
        <w:rPr>
          <w:rFonts w:ascii="Arial Narrow" w:hAnsi="Arial Narrow" w:eastAsiaTheme="majorEastAsia" w:cstheme="minorHAnsi"/>
          <w:b/>
          <w:color w:val="314e87"/>
          <w:sz w:val="24"/>
          <w:szCs w:val="24"/>
          <w:lang w:eastAsia="en-US" w:bidi="ru-RU"/>
        </w:rPr>
      </w:pPr>
      <w:r/>
      <w:bookmarkStart w:id="20" w:name="_Toc131673605"/>
      <w:r/>
      <w:bookmarkStart w:id="21" w:name="_Toc130551087"/>
      <w:r/>
      <w:bookmarkStart w:id="22" w:name="_Toc131517598"/>
      <w:r/>
      <w:bookmarkStart w:id="23" w:name="_Toc69121005"/>
      <w:r/>
      <w:bookmarkStart w:id="24" w:name="_Toc68861838"/>
      <w:r/>
      <w:bookmarkStart w:id="25" w:name="_Toc193883481"/>
      <w:r/>
      <w:bookmarkStart w:id="26" w:name="_Toc196126981"/>
      <w:r/>
      <w:bookmarkEnd w:id="20"/>
      <w:r/>
      <w:bookmarkEnd w:id="21"/>
      <w:r/>
      <w:bookmarkEnd w:id="22"/>
      <w:r>
        <w:rPr>
          <w:rFonts w:ascii="Arial Narrow" w:hAnsi="Arial Narrow" w:eastAsiaTheme="majorEastAsia" w:cstheme="minorHAnsi"/>
          <w:b/>
          <w:color w:val="314e87"/>
          <w:sz w:val="24"/>
          <w:szCs w:val="24"/>
          <w:lang w:eastAsia="en-US" w:bidi="ru-RU"/>
        </w:rPr>
        <w:t xml:space="preserve">Стратегические цели</w:t>
      </w:r>
      <w:bookmarkEnd w:id="23"/>
      <w:r/>
      <w:bookmarkEnd w:id="24"/>
      <w:r/>
      <w:bookmarkEnd w:id="25"/>
      <w:r/>
      <w:bookmarkEnd w:id="26"/>
      <w:r>
        <w:rPr>
          <w:rFonts w:ascii="Arial Narrow" w:hAnsi="Arial Narrow" w:eastAsiaTheme="majorEastAsia" w:cstheme="minorHAnsi"/>
          <w:b/>
          <w:color w:val="314e87"/>
          <w:sz w:val="24"/>
          <w:szCs w:val="24"/>
          <w:lang w:eastAsia="en-US" w:bidi="ru-RU"/>
        </w:rPr>
      </w:r>
      <w:r>
        <w:rPr>
          <w:rFonts w:ascii="Arial Narrow" w:hAnsi="Arial Narrow" w:eastAsiaTheme="majorEastAsia" w:cstheme="minorHAnsi"/>
          <w:b/>
          <w:color w:val="314e87"/>
          <w:sz w:val="24"/>
          <w:szCs w:val="24"/>
          <w:lang w:eastAsia="en-US" w:bidi="ru-RU"/>
        </w:rPr>
      </w:r>
    </w:p>
    <w:p>
      <w:pPr>
        <w:pStyle w:val="1063"/>
        <w:ind w:left="57" w:firstLine="567"/>
        <w:jc w:val="both"/>
        <w:rPr>
          <w:rFonts w:ascii="Arial Narrow" w:hAnsi="Arial Narrow" w:cs="Calibri"/>
          <w:lang w:bidi="ru-RU"/>
        </w:rPr>
      </w:pPr>
      <w:r>
        <w:rPr>
          <w:rFonts w:ascii="Arial Narrow" w:hAnsi="Arial Narrow" w:cs="Calibri"/>
          <w:lang w:bidi="ru-RU"/>
        </w:rPr>
        <w:t xml:space="preserve">Стратегические цели</w:t>
      </w:r>
      <w:r>
        <w:rPr>
          <w:rFonts w:ascii="Arial Narrow" w:hAnsi="Arial Narrow" w:cs="Calibri"/>
          <w:lang w:bidi="ru-RU"/>
        </w:rPr>
        <w:t xml:space="preserve"> Общества определяются в соответствии со Стратегией развития Группы РусГидро на период до 2025 года с перспективой до 2035 года (далее – Стратегия развития Группы РусГидро), утвержденной Советом директоров ПАО «РусГидро» 27.05.2021 (протокол от 27.05.2021 </w:t>
      </w:r>
      <w:r>
        <w:rPr>
          <w:rFonts w:ascii="Arial Narrow" w:hAnsi="Arial Narrow" w:cs="Calibri"/>
          <w:lang w:bidi="ru-RU"/>
        </w:rPr>
        <w:br/>
        <w:t xml:space="preserve">№ 328).</w:t>
      </w:r>
      <w:r>
        <w:rPr>
          <w:rFonts w:ascii="Arial Narrow" w:hAnsi="Arial Narrow" w:cs="Calibri"/>
          <w:lang w:bidi="ru-RU"/>
        </w:rPr>
      </w:r>
      <w:r>
        <w:rPr>
          <w:rFonts w:ascii="Arial Narrow" w:hAnsi="Arial Narrow" w:cs="Calibri"/>
          <w:lang w:bidi="ru-RU"/>
        </w:rPr>
      </w:r>
    </w:p>
    <w:p>
      <w:pPr>
        <w:pStyle w:val="1063"/>
        <w:ind w:left="57" w:firstLine="567"/>
        <w:jc w:val="both"/>
      </w:pPr>
      <w:r>
        <w:rPr>
          <w:rFonts w:ascii="Arial Narrow" w:hAnsi="Arial Narrow" w:cs="Calibri"/>
          <w:lang w:bidi="ru-RU"/>
        </w:rPr>
        <w:t xml:space="preserve">Общество присоединилось к Стратегии развития Гр</w:t>
      </w:r>
      <w:r>
        <w:rPr>
          <w:rFonts w:ascii="Arial Narrow" w:hAnsi="Arial Narrow" w:cs="Calibri"/>
          <w:lang w:bidi="ru-RU"/>
        </w:rPr>
        <w:t xml:space="preserve">уппы РусГидро в соответствии с решением Совета директоров ПАО «Камчатскэнерго» 10.12.2021 (протокол от 10.12.2021 № 10), в связи с чем Стратегия развития Группы РусГидро является внутренним документом Общества, а её требования – обязательными для Общества.</w:t>
      </w:r>
      <w:r/>
    </w:p>
    <w:p>
      <w:pPr>
        <w:pStyle w:val="1091"/>
        <w:ind w:left="0"/>
        <w:jc w:val="both"/>
        <w:spacing w:line="276" w:lineRule="auto"/>
        <w:rPr>
          <w:rFonts w:ascii="Arial Narrow" w:hAnsi="Arial Narrow" w:cs="Calibri"/>
          <w:b/>
          <w:color w:val="314e87"/>
          <w:sz w:val="12"/>
          <w:szCs w:val="12"/>
          <w:lang w:val="ru-RU"/>
        </w:rPr>
      </w:pPr>
      <w:r>
        <w:rPr>
          <w:rFonts w:ascii="Arial Narrow" w:hAnsi="Arial Narrow" w:cs="Calibri"/>
          <w:b/>
          <w:color w:val="314e87"/>
          <w:sz w:val="12"/>
          <w:szCs w:val="12"/>
          <w:lang w:val="ru-RU"/>
        </w:rPr>
      </w:r>
      <w:r>
        <w:rPr>
          <w:rFonts w:ascii="Arial Narrow" w:hAnsi="Arial Narrow" w:cs="Calibri"/>
          <w:b/>
          <w:color w:val="314e87"/>
          <w:sz w:val="12"/>
          <w:szCs w:val="12"/>
          <w:lang w:val="ru-RU"/>
        </w:rPr>
      </w:r>
      <w:r>
        <w:rPr>
          <w:rFonts w:ascii="Arial Narrow" w:hAnsi="Arial Narrow" w:cs="Calibri"/>
          <w:b/>
          <w:color w:val="314e87"/>
          <w:sz w:val="12"/>
          <w:szCs w:val="12"/>
          <w:lang w:val="ru-RU"/>
        </w:rPr>
      </w:r>
    </w:p>
    <w:p>
      <w:pPr>
        <w:pStyle w:val="1091"/>
        <w:ind w:left="0"/>
        <w:jc w:val="both"/>
        <w:spacing w:after="120" w:line="276" w:lineRule="auto"/>
        <w:rPr>
          <w:lang w:val="ru-RU"/>
        </w:rPr>
      </w:pPr>
      <w:r>
        <w:rPr>
          <w:rFonts w:ascii="Arial Narrow" w:hAnsi="Arial Narrow" w:cs="Calibri"/>
          <w:b/>
          <w:color w:val="314e87"/>
          <w:sz w:val="24"/>
          <w:szCs w:val="24"/>
          <w:lang w:val="ru-RU"/>
        </w:rPr>
        <w:t xml:space="preserve">Обеспечение надежного электро- и теплоснабжения, и безопасного функционирования объектов Общества</w:t>
      </w:r>
      <w:r>
        <w:rPr>
          <w:lang w:val="ru-RU"/>
        </w:rPr>
      </w:r>
      <w:r>
        <w:rPr>
          <w:lang w:val="ru-RU"/>
        </w:rPr>
      </w:r>
    </w:p>
    <w:p>
      <w:pPr>
        <w:pStyle w:val="1063"/>
        <w:ind w:firstLine="567"/>
        <w:jc w:val="both"/>
        <w:rPr>
          <w:rFonts w:ascii="Arial Narrow" w:hAnsi="Arial Narrow" w:cs="Calibri"/>
          <w:lang w:bidi="ru-RU"/>
        </w:rPr>
      </w:pPr>
      <w:r>
        <w:rPr>
          <w:rFonts w:ascii="Arial Narrow" w:hAnsi="Arial Narrow" w:cs="Calibri"/>
          <w:lang w:bidi="ru-RU"/>
        </w:rPr>
        <w:t xml:space="preserve">Являясь подконтрольным обществом ПАО «РусГидро» Общество осознает свою социальную ответственность как производителя необходимой электрической и тепловой энергии.</w:t>
      </w:r>
      <w:r>
        <w:rPr>
          <w:rFonts w:ascii="Arial Narrow" w:hAnsi="Arial Narrow" w:cs="Calibri"/>
          <w:lang w:bidi="ru-RU"/>
        </w:rPr>
      </w:r>
      <w:r>
        <w:rPr>
          <w:rFonts w:ascii="Arial Narrow" w:hAnsi="Arial Narrow" w:cs="Calibri"/>
          <w:lang w:bidi="ru-RU"/>
        </w:rPr>
      </w:r>
    </w:p>
    <w:p>
      <w:pPr>
        <w:pStyle w:val="1063"/>
        <w:ind w:firstLine="567"/>
        <w:jc w:val="both"/>
      </w:pPr>
      <w:r>
        <w:rPr>
          <w:rFonts w:ascii="Arial Narrow" w:hAnsi="Arial Narrow" w:cs="Calibri"/>
          <w:lang w:bidi="ru-RU"/>
        </w:rPr>
        <w:t xml:space="preserve">Общество стремится</w:t>
      </w:r>
      <w:r>
        <w:rPr>
          <w:rFonts w:ascii="Arial Narrow" w:hAnsi="Arial Narrow" w:cs="Calibri"/>
          <w:lang w:bidi="ru-RU"/>
        </w:rPr>
        <w:t xml:space="preserve"> к обеспечению надежного и безопасного для потребителей и окружающей среды функционирования объектов инфраструктуры тепловых станций и котельных с учетом экономической обоснованности средств, направляемых на минимизацию рисков и снижение возможного ущерба.</w:t>
      </w:r>
      <w:r/>
    </w:p>
    <w:p>
      <w:pPr>
        <w:pStyle w:val="1091"/>
        <w:ind w:left="0"/>
        <w:spacing w:line="276" w:lineRule="auto"/>
        <w:rPr>
          <w:rFonts w:ascii="Arial Narrow" w:hAnsi="Arial Narrow" w:cs="Calibri"/>
          <w:b/>
          <w:color w:val="314e87"/>
          <w:sz w:val="12"/>
          <w:szCs w:val="12"/>
          <w:lang w:val="ru-RU"/>
        </w:rPr>
      </w:pPr>
      <w:r>
        <w:rPr>
          <w:rFonts w:ascii="Arial Narrow" w:hAnsi="Arial Narrow" w:cs="Calibri"/>
          <w:b/>
          <w:color w:val="314e87"/>
          <w:sz w:val="12"/>
          <w:szCs w:val="12"/>
          <w:lang w:val="ru-RU"/>
        </w:rPr>
      </w:r>
      <w:r>
        <w:rPr>
          <w:rFonts w:ascii="Arial Narrow" w:hAnsi="Arial Narrow" w:cs="Calibri"/>
          <w:b/>
          <w:color w:val="314e87"/>
          <w:sz w:val="12"/>
          <w:szCs w:val="12"/>
          <w:lang w:val="ru-RU"/>
        </w:rPr>
      </w:r>
      <w:r>
        <w:rPr>
          <w:rFonts w:ascii="Arial Narrow" w:hAnsi="Arial Narrow" w:cs="Calibri"/>
          <w:b/>
          <w:color w:val="314e87"/>
          <w:sz w:val="12"/>
          <w:szCs w:val="12"/>
          <w:lang w:val="ru-RU"/>
        </w:rPr>
      </w:r>
    </w:p>
    <w:p>
      <w:pPr>
        <w:pStyle w:val="1091"/>
        <w:ind w:left="0"/>
        <w:jc w:val="both"/>
        <w:spacing w:after="120" w:line="276" w:lineRule="auto"/>
        <w:rPr>
          <w:rFonts w:ascii="Arial Narrow" w:hAnsi="Arial Narrow" w:eastAsia="Calibri" w:cs="Calibri"/>
          <w:b/>
          <w:color w:val="314e87"/>
          <w:sz w:val="24"/>
          <w:szCs w:val="24"/>
          <w:lang w:val="ru-RU" w:eastAsia="ja-JP"/>
        </w:rPr>
      </w:pPr>
      <w:r>
        <w:rPr>
          <w:rFonts w:ascii="Arial Narrow" w:hAnsi="Arial Narrow" w:eastAsia="Calibri" w:cs="Calibri"/>
          <w:b/>
          <w:color w:val="314e87"/>
          <w:sz w:val="24"/>
          <w:szCs w:val="24"/>
          <w:lang w:val="ru-RU" w:eastAsia="ja-JP"/>
        </w:rPr>
        <w:t xml:space="preserve">Устойчивое развитие производства электроэнергии с фокусом на чистую энергию</w:t>
      </w:r>
      <w:r>
        <w:rPr>
          <w:rFonts w:ascii="Arial Narrow" w:hAnsi="Arial Narrow" w:eastAsia="Calibri" w:cs="Calibri"/>
          <w:b/>
          <w:color w:val="314e87"/>
          <w:sz w:val="24"/>
          <w:szCs w:val="24"/>
          <w:lang w:val="ru-RU" w:eastAsia="ja-JP"/>
        </w:rPr>
      </w:r>
      <w:r>
        <w:rPr>
          <w:rFonts w:ascii="Arial Narrow" w:hAnsi="Arial Narrow" w:eastAsia="Calibri" w:cs="Calibri"/>
          <w:b/>
          <w:color w:val="314e87"/>
          <w:sz w:val="24"/>
          <w:szCs w:val="24"/>
          <w:lang w:val="ru-RU" w:eastAsia="ja-JP"/>
        </w:rPr>
      </w:r>
    </w:p>
    <w:p>
      <w:pPr>
        <w:pStyle w:val="1063"/>
        <w:ind w:firstLine="567"/>
        <w:jc w:val="both"/>
        <w:tabs>
          <w:tab w:val="left" w:pos="709" w:leader="none"/>
        </w:tabs>
      </w:pPr>
      <w:r>
        <w:rPr>
          <w:rFonts w:ascii="Arial Narrow" w:hAnsi="Arial Narrow" w:cs="Calibri"/>
          <w:bCs/>
        </w:rPr>
        <w:t xml:space="preserve">Общество прилагает усилия для увеличения объемов производства электроэнергии, в том числе за счет повышения эффективности реализации производственных программ и реализации инвестиционных проектов с учетом их экономической эффекта.</w:t>
      </w:r>
      <w:r/>
    </w:p>
    <w:p>
      <w:pPr>
        <w:pStyle w:val="1063"/>
        <w:jc w:val="both"/>
        <w:tabs>
          <w:tab w:val="left" w:pos="709" w:leader="none"/>
        </w:tabs>
        <w:rPr>
          <w:rFonts w:ascii="Arial Narrow" w:hAnsi="Arial Narrow" w:eastAsia="Calibri" w:cs="Calibri"/>
          <w:color w:val="314e87"/>
          <w:sz w:val="12"/>
          <w:szCs w:val="12"/>
          <w:lang w:eastAsia="ja-JP"/>
        </w:rPr>
      </w:pPr>
      <w:r>
        <w:rPr>
          <w:rFonts w:ascii="Arial Narrow" w:hAnsi="Arial Narrow" w:eastAsia="Calibri" w:cs="Calibri"/>
          <w:color w:val="314e87"/>
          <w:sz w:val="12"/>
          <w:szCs w:val="12"/>
          <w:lang w:eastAsia="ja-JP"/>
        </w:rPr>
      </w:r>
      <w:r>
        <w:rPr>
          <w:rFonts w:ascii="Arial Narrow" w:hAnsi="Arial Narrow" w:eastAsia="Calibri" w:cs="Calibri"/>
          <w:color w:val="314e87"/>
          <w:sz w:val="12"/>
          <w:szCs w:val="12"/>
          <w:lang w:eastAsia="ja-JP"/>
        </w:rPr>
      </w:r>
      <w:r>
        <w:rPr>
          <w:rFonts w:ascii="Arial Narrow" w:hAnsi="Arial Narrow" w:eastAsia="Calibri" w:cs="Calibri"/>
          <w:color w:val="314e87"/>
          <w:sz w:val="12"/>
          <w:szCs w:val="12"/>
          <w:lang w:eastAsia="ja-JP"/>
        </w:rPr>
      </w:r>
    </w:p>
    <w:p>
      <w:pPr>
        <w:pStyle w:val="1091"/>
        <w:ind w:left="0"/>
        <w:jc w:val="both"/>
        <w:spacing w:after="120" w:line="276" w:lineRule="auto"/>
        <w:rPr>
          <w:rFonts w:ascii="Arial Narrow" w:hAnsi="Arial Narrow" w:eastAsia="Calibri" w:cs="Calibri"/>
          <w:b/>
          <w:color w:val="314e87"/>
          <w:sz w:val="24"/>
          <w:szCs w:val="24"/>
          <w:lang w:val="ru-RU" w:eastAsia="ja-JP"/>
        </w:rPr>
      </w:pPr>
      <w:r>
        <w:rPr>
          <w:rFonts w:ascii="Arial Narrow" w:hAnsi="Arial Narrow" w:eastAsia="Calibri" w:cs="Calibri"/>
          <w:b/>
          <w:color w:val="314e87"/>
          <w:sz w:val="24"/>
          <w:szCs w:val="24"/>
          <w:lang w:val="ru-RU" w:eastAsia="ja-JP"/>
        </w:rPr>
        <w:t xml:space="preserve">Развитие энергетики Дальнего Востока</w:t>
      </w:r>
      <w:r>
        <w:rPr>
          <w:rFonts w:ascii="Arial Narrow" w:hAnsi="Arial Narrow" w:eastAsia="Calibri" w:cs="Calibri"/>
          <w:b/>
          <w:color w:val="314e87"/>
          <w:sz w:val="24"/>
          <w:szCs w:val="24"/>
          <w:lang w:val="ru-RU" w:eastAsia="ja-JP"/>
        </w:rPr>
      </w:r>
      <w:r>
        <w:rPr>
          <w:rFonts w:ascii="Arial Narrow" w:hAnsi="Arial Narrow" w:eastAsia="Calibri" w:cs="Calibri"/>
          <w:b/>
          <w:color w:val="314e87"/>
          <w:sz w:val="24"/>
          <w:szCs w:val="24"/>
          <w:lang w:val="ru-RU" w:eastAsia="ja-JP"/>
        </w:rPr>
      </w:r>
    </w:p>
    <w:p>
      <w:pPr>
        <w:pStyle w:val="1063"/>
        <w:ind w:firstLine="567"/>
        <w:jc w:val="both"/>
      </w:pPr>
      <w:r>
        <w:rPr>
          <w:rFonts w:ascii="Arial Narrow" w:hAnsi="Arial Narrow" w:cs="Calibri"/>
          <w:lang w:bidi="ru-RU"/>
        </w:rPr>
        <w:t xml:space="preserve">Обще</w:t>
      </w:r>
      <w:r>
        <w:rPr>
          <w:rFonts w:ascii="Arial Narrow" w:hAnsi="Arial Narrow" w:cs="Calibri"/>
          <w:lang w:bidi="ru-RU"/>
        </w:rPr>
        <w:t xml:space="preserve">ство прилагает усилия для обеспечения устойчивого развития энергетики Дальнего Востока, в том числе за счет строительства новых объектов энергетической инфраструктуры для территории опережающего социально-экономического развития (далее – ТОСЭР) «Камчатка».</w:t>
      </w:r>
      <w:r/>
    </w:p>
    <w:p>
      <w:pPr>
        <w:rPr>
          <w:rFonts w:ascii="Arial Narrow" w:hAnsi="Arial Narrow" w:eastAsia="Calibri" w:cs="Calibri"/>
          <w:b/>
          <w:color w:val="314e87"/>
          <w:sz w:val="24"/>
          <w:szCs w:val="24"/>
          <w:lang w:eastAsia="ja-JP"/>
        </w:rPr>
      </w:pPr>
      <w:r>
        <w:br w:type="page" w:clear="all"/>
      </w:r>
      <w:r>
        <w:rPr>
          <w:rFonts w:ascii="Arial Narrow" w:hAnsi="Arial Narrow" w:eastAsia="Calibri" w:cs="Calibri"/>
          <w:b/>
          <w:color w:val="314e87"/>
          <w:sz w:val="24"/>
          <w:szCs w:val="24"/>
          <w:lang w:eastAsia="ja-JP"/>
        </w:rPr>
      </w:r>
      <w:r>
        <w:rPr>
          <w:rFonts w:ascii="Arial Narrow" w:hAnsi="Arial Narrow" w:eastAsia="Calibri" w:cs="Calibri"/>
          <w:b/>
          <w:color w:val="314e87"/>
          <w:sz w:val="24"/>
          <w:szCs w:val="24"/>
          <w:lang w:eastAsia="ja-JP"/>
        </w:rPr>
      </w:r>
    </w:p>
    <w:p>
      <w:pPr>
        <w:pStyle w:val="1091"/>
        <w:ind w:left="0"/>
        <w:jc w:val="both"/>
        <w:spacing w:after="120" w:line="276" w:lineRule="auto"/>
        <w:rPr>
          <w:rFonts w:ascii="Arial Narrow" w:hAnsi="Arial Narrow" w:eastAsia="Calibri" w:cs="Calibri"/>
          <w:b/>
          <w:color w:val="314e87"/>
          <w:sz w:val="24"/>
          <w:szCs w:val="24"/>
          <w:lang w:val="ru-RU" w:eastAsia="ja-JP"/>
        </w:rPr>
      </w:pPr>
      <w:r>
        <w:rPr>
          <w:rFonts w:ascii="Arial Narrow" w:hAnsi="Arial Narrow" w:eastAsia="Calibri" w:cs="Calibri"/>
          <w:b/>
          <w:color w:val="314e87"/>
          <w:sz w:val="24"/>
          <w:szCs w:val="24"/>
          <w:lang w:val="ru-RU" w:eastAsia="ja-JP"/>
        </w:rPr>
        <w:t xml:space="preserve">Рост ценности Общества</w:t>
      </w:r>
      <w:r>
        <w:rPr>
          <w:rFonts w:ascii="Arial Narrow" w:hAnsi="Arial Narrow" w:eastAsia="Calibri" w:cs="Calibri"/>
          <w:b/>
          <w:color w:val="314e87"/>
          <w:sz w:val="24"/>
          <w:szCs w:val="24"/>
          <w:lang w:val="ru-RU" w:eastAsia="ja-JP"/>
        </w:rPr>
      </w:r>
      <w:r>
        <w:rPr>
          <w:rFonts w:ascii="Arial Narrow" w:hAnsi="Arial Narrow" w:eastAsia="Calibri" w:cs="Calibri"/>
          <w:b/>
          <w:color w:val="314e87"/>
          <w:sz w:val="24"/>
          <w:szCs w:val="24"/>
          <w:lang w:val="ru-RU" w:eastAsia="ja-JP"/>
        </w:rPr>
      </w:r>
    </w:p>
    <w:p>
      <w:pPr>
        <w:pStyle w:val="1063"/>
        <w:ind w:firstLine="567"/>
        <w:jc w:val="both"/>
        <w:tabs>
          <w:tab w:val="left" w:pos="709" w:leader="none"/>
        </w:tabs>
        <w:rPr>
          <w:rFonts w:ascii="Arial Narrow" w:hAnsi="Arial Narrow" w:cs="Calibri"/>
          <w:bCs/>
        </w:rPr>
      </w:pPr>
      <w:r>
        <w:rPr>
          <w:rFonts w:ascii="Arial Narrow" w:hAnsi="Arial Narrow" w:cs="Calibri"/>
          <w:bCs/>
        </w:rPr>
        <w:t xml:space="preserve">Общество стремится к увеличению фундаментальной стоимости, росту инвестиционной привлекательности и ценности при обязательном обеспечении надежного, эффективного и безопасного функционирования объектов Общества.</w:t>
      </w:r>
      <w:r>
        <w:rPr>
          <w:rFonts w:ascii="Arial Narrow" w:hAnsi="Arial Narrow" w:cs="Calibri"/>
          <w:bCs/>
        </w:rPr>
      </w:r>
      <w:r>
        <w:rPr>
          <w:rFonts w:ascii="Arial Narrow" w:hAnsi="Arial Narrow" w:cs="Calibri"/>
          <w:bCs/>
        </w:rPr>
      </w:r>
    </w:p>
    <w:p>
      <w:pPr>
        <w:pStyle w:val="1063"/>
        <w:ind w:firstLine="567"/>
        <w:jc w:val="both"/>
        <w:tabs>
          <w:tab w:val="left" w:pos="709" w:leader="none"/>
        </w:tabs>
        <w:rPr>
          <w:rFonts w:ascii="Arial Narrow" w:hAnsi="Arial Narrow" w:cs="Calibri"/>
          <w:bCs/>
        </w:rPr>
      </w:pPr>
      <w:r>
        <w:rPr>
          <w:rFonts w:ascii="Arial Narrow" w:hAnsi="Arial Narrow" w:cs="Calibri"/>
          <w:bCs/>
        </w:rPr>
      </w:r>
      <w:r>
        <w:rPr>
          <w:rFonts w:ascii="Arial Narrow" w:hAnsi="Arial Narrow" w:cs="Calibri"/>
          <w:bCs/>
        </w:rPr>
      </w:r>
      <w:r>
        <w:rPr>
          <w:rFonts w:ascii="Arial Narrow" w:hAnsi="Arial Narrow" w:cs="Calibri"/>
          <w:bCs/>
        </w:rPr>
      </w:r>
    </w:p>
    <w:p>
      <w:pPr>
        <w:pStyle w:val="763"/>
        <w:numPr>
          <w:ilvl w:val="1"/>
          <w:numId w:val="1"/>
        </w:numPr>
        <w:jc w:val="both"/>
        <w:keepLines/>
        <w:spacing w:after="0" w:line="276" w:lineRule="auto"/>
        <w:tabs>
          <w:tab w:val="clear" w:pos="0" w:leader="none"/>
        </w:tabs>
        <w:rPr>
          <w:rFonts w:ascii="Arial Narrow" w:hAnsi="Arial Narrow" w:eastAsiaTheme="majorEastAsia" w:cstheme="minorHAnsi"/>
          <w:b/>
          <w:color w:val="314e87"/>
          <w:sz w:val="24"/>
          <w:szCs w:val="24"/>
          <w:lang w:eastAsia="en-US" w:bidi="ru-RU"/>
        </w:rPr>
      </w:pPr>
      <w:r/>
      <w:bookmarkStart w:id="27" w:name="_Toc69121006"/>
      <w:r/>
      <w:bookmarkStart w:id="28" w:name="_Toc68861839"/>
      <w:r/>
      <w:bookmarkStart w:id="29" w:name="_Toc193883482"/>
      <w:r/>
      <w:bookmarkStart w:id="30" w:name="_Toc196126982"/>
      <w:r>
        <w:rPr>
          <w:rFonts w:ascii="Arial Narrow" w:hAnsi="Arial Narrow" w:eastAsiaTheme="majorEastAsia" w:cstheme="minorHAnsi"/>
          <w:b/>
          <w:color w:val="314e87"/>
          <w:sz w:val="24"/>
          <w:szCs w:val="24"/>
          <w:lang w:eastAsia="en-US" w:bidi="ru-RU"/>
        </w:rPr>
        <w:t xml:space="preserve">Приоритетные задачи и перспективы развития</w:t>
      </w:r>
      <w:bookmarkEnd w:id="27"/>
      <w:r/>
      <w:bookmarkEnd w:id="28"/>
      <w:r>
        <w:rPr>
          <w:rFonts w:ascii="Arial Narrow" w:hAnsi="Arial Narrow" w:eastAsiaTheme="majorEastAsia" w:cstheme="minorHAnsi"/>
          <w:b/>
          <w:color w:val="314e87"/>
          <w:sz w:val="24"/>
          <w:szCs w:val="24"/>
          <w:lang w:eastAsia="en-US" w:bidi="ru-RU"/>
        </w:rPr>
        <w:t xml:space="preserve"> Общества</w:t>
      </w:r>
      <w:bookmarkEnd w:id="29"/>
      <w:r/>
      <w:bookmarkEnd w:id="30"/>
      <w:r>
        <w:rPr>
          <w:rFonts w:ascii="Arial Narrow" w:hAnsi="Arial Narrow" w:eastAsiaTheme="majorEastAsia" w:cstheme="minorHAnsi"/>
          <w:b/>
          <w:color w:val="314e87"/>
          <w:sz w:val="24"/>
          <w:szCs w:val="24"/>
          <w:lang w:eastAsia="en-US" w:bidi="ru-RU"/>
        </w:rPr>
      </w:r>
      <w:r>
        <w:rPr>
          <w:rFonts w:ascii="Arial Narrow" w:hAnsi="Arial Narrow" w:eastAsiaTheme="majorEastAsia" w:cstheme="minorHAnsi"/>
          <w:b/>
          <w:color w:val="314e87"/>
          <w:sz w:val="24"/>
          <w:szCs w:val="24"/>
          <w:lang w:eastAsia="en-US" w:bidi="ru-RU"/>
        </w:rPr>
      </w:r>
    </w:p>
    <w:p>
      <w:pPr>
        <w:pStyle w:val="1063"/>
        <w:ind w:firstLine="567"/>
        <w:jc w:val="both"/>
        <w:tabs>
          <w:tab w:val="left" w:pos="709" w:leader="none"/>
        </w:tabs>
      </w:pPr>
      <w:r>
        <w:rPr>
          <w:rFonts w:ascii="Arial Narrow" w:hAnsi="Arial Narrow" w:cs="Calibri"/>
          <w:bCs/>
        </w:rPr>
        <w:t xml:space="preserve">Приоритетные задачи Общества определяются в соответствии с положениями Стратегии развития Группы РусГидро.</w:t>
      </w:r>
      <w:r/>
    </w:p>
    <w:p>
      <w:pPr>
        <w:pStyle w:val="1063"/>
        <w:ind w:firstLine="567"/>
        <w:jc w:val="both"/>
        <w:tabs>
          <w:tab w:val="left" w:pos="709" w:leader="none"/>
        </w:tabs>
      </w:pPr>
      <w:r>
        <w:rPr>
          <w:rFonts w:ascii="Arial Narrow" w:hAnsi="Arial Narrow" w:cs="Calibri"/>
          <w:color w:val="0f0d29"/>
          <w:lang w:eastAsia="ja-JP"/>
        </w:rPr>
        <w:t xml:space="preserve">Для достижения стратегических целей Общество решает следующие приоритетные задачи:</w:t>
      </w: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bidi="ru-RU"/>
        </w:rPr>
        <w:t xml:space="preserve">повышение надежности электроснабжения потребителей,</w:t>
      </w: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повышение располагаемой мощности Мутновских ГеоЭС,</w:t>
      </w:r>
      <w:r>
        <w:rPr>
          <w:lang w:val="ru-RU"/>
        </w:rPr>
      </w:r>
      <w:r>
        <w:rPr>
          <w:lang w:val="ru-RU"/>
        </w:rP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bidi="ru-RU"/>
        </w:rPr>
        <w:t xml:space="preserve">бесперебойная подача электроэнергии,</w:t>
      </w: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bidi="ru-RU"/>
        </w:rPr>
        <w:t xml:space="preserve">технологическое присоединение новых потребителей.</w:t>
      </w:r>
      <w:r/>
    </w:p>
    <w:p>
      <w:pPr>
        <w:pStyle w:val="1063"/>
        <w:ind w:firstLine="567"/>
        <w:jc w:val="both"/>
        <w:tabs>
          <w:tab w:val="left" w:pos="709" w:leader="none"/>
        </w:tabs>
      </w:pPr>
      <w:r>
        <w:rPr>
          <w:rFonts w:ascii="Arial Narrow" w:hAnsi="Arial Narrow" w:cs="Calibri"/>
          <w:color w:val="0f0d29"/>
          <w:lang w:eastAsia="ja-JP"/>
        </w:rPr>
        <w:t xml:space="preserve">Для решения приоритетных задач в 2024 году было сделано:</w:t>
      </w: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eastAsia="en-US" w:bidi="ru-RU"/>
        </w:rPr>
        <w:t xml:space="preserve">С целью повышения на</w:t>
      </w:r>
      <w:r>
        <w:rPr>
          <w:rFonts w:ascii="Arial Narrow" w:hAnsi="Arial Narrow" w:cs="Calibri"/>
          <w:sz w:val="24"/>
          <w:szCs w:val="24"/>
          <w:lang w:val="ru-RU" w:eastAsia="en-US" w:bidi="ru-RU"/>
        </w:rPr>
        <w:t xml:space="preserve">дежности электроснабжения потребителей Усть-Большерецкого района завершены строительно-монтажные работы по объектам «Реконструкция КРУ-6 кВ 2-й секции Паужетской ГеоЭС (14 ячеек)», Реконструкция системы возбуждения турбогенератора ст. № 3 Паужетской ГеоЭС </w:t>
      </w:r>
      <w:r>
        <w:rPr>
          <w:rFonts w:ascii="Arial Narrow" w:hAnsi="Arial Narrow" w:cs="Calibri"/>
          <w:sz w:val="24"/>
          <w:szCs w:val="24"/>
          <w:lang w:val="ru-RU" w:eastAsia="en-US" w:bidi="ru-RU"/>
        </w:rPr>
        <w:br/>
        <w:t xml:space="preserve">(1 система).</w:t>
      </w:r>
      <w:r>
        <w:rPr>
          <w:lang w:val="ru-RU"/>
        </w:rPr>
      </w:r>
      <w:r>
        <w:rPr>
          <w:lang w:val="ru-RU"/>
        </w:rP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eastAsia="en-US" w:bidi="ru-RU"/>
        </w:rPr>
        <w:t xml:space="preserve">С целью повышения располагаемой мощности Мутновской ГеоЭС-1 и Верхне-Мутновской ГеоЭС, завершены работы по поддержанию располагаемой мощности МГеоЭС, строительство трассы ПВС </w:t>
      </w:r>
      <w:r>
        <w:rPr>
          <w:rFonts w:ascii="Arial Narrow" w:hAnsi="Arial Narrow" w:cs="Calibri"/>
          <w:sz w:val="24"/>
          <w:szCs w:val="24"/>
          <w:lang w:val="ru-RU" w:eastAsia="en-US" w:bidi="ru-RU"/>
        </w:rPr>
        <w:br/>
        <w:t xml:space="preserve">от скважины Гео-10, бурению скважины Гео-10. Объекты введены в эксплуатацию.</w:t>
      </w:r>
      <w:r>
        <w:rPr>
          <w:lang w:val="ru-RU"/>
        </w:rPr>
      </w:r>
      <w:r>
        <w:rPr>
          <w:lang w:val="ru-RU"/>
        </w:rP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eastAsia="en-US" w:bidi="ru-RU"/>
        </w:rPr>
        <w:t xml:space="preserve">В целях повышения надежности электроснабжения потребителей, снижения аварийности выполнены работы по объекту Модернизация линейных и трансформаторных высоковольтных вводов </w:t>
      </w:r>
      <w:r>
        <w:rPr>
          <w:rFonts w:ascii="Arial Narrow" w:hAnsi="Arial Narrow" w:cs="Calibri"/>
          <w:sz w:val="24"/>
          <w:szCs w:val="24"/>
          <w:lang w:val="ru-RU" w:eastAsia="en-US" w:bidi="ru-RU"/>
        </w:rPr>
        <w:br/>
        <w:t xml:space="preserve">ТЭЦ-2 с заменой на современные с твердой изоляцией. Объект введен в эксплуатацию.</w:t>
      </w:r>
      <w:r>
        <w:rPr>
          <w:lang w:val="ru-RU"/>
        </w:rPr>
      </w:r>
      <w:r>
        <w:rPr>
          <w:lang w:val="ru-RU"/>
        </w:rP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eastAsia="en-US" w:bidi="ru-RU"/>
        </w:rPr>
        <w:t xml:space="preserve">В рамках выполнения мероприятий по обеспечению антитеррорис</w:t>
      </w:r>
      <w:r>
        <w:rPr>
          <w:rFonts w:ascii="Arial Narrow" w:hAnsi="Arial Narrow" w:cs="Calibri"/>
          <w:sz w:val="24"/>
          <w:szCs w:val="24"/>
          <w:lang w:val="ru-RU" w:eastAsia="en-US" w:bidi="ru-RU"/>
        </w:rPr>
        <w:t xml:space="preserve">тической защищенности зданий и сооружений завершены работы по системе охранного телевидения и технических средств досмотра по объекту «Создание комплексной системы по обеспечению физической безопасности, антитеррористической защищенности объектов МГеоЭС.».</w:t>
      </w:r>
      <w:r>
        <w:rPr>
          <w:lang w:val="ru-RU"/>
        </w:rPr>
      </w:r>
      <w:r>
        <w:rPr>
          <w:lang w:val="ru-RU"/>
        </w:rP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val="ru-RU" w:eastAsia="en-US" w:bidi="ru-RU"/>
        </w:rPr>
        <w:t xml:space="preserve">В целях бесперебойной подачи электроэнергии завершены строительно-монтажные работы по объекту «Реконструкция ВЛ-220 кВ № Л-201 «Авача - МГеоЭС» с заменой 7 существующих опор на анкерно-угловые, лавиноустойчивые опоры». </w:t>
      </w:r>
      <w:r>
        <w:rPr>
          <w:rFonts w:ascii="Arial Narrow" w:hAnsi="Arial Narrow" w:cs="Calibri"/>
          <w:sz w:val="24"/>
          <w:szCs w:val="24"/>
          <w:lang w:eastAsia="en-US" w:bidi="ru-RU"/>
        </w:rPr>
        <w:t xml:space="preserve">Объект введен в эксплуатацию.</w:t>
      </w: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eastAsia="en-US" w:bidi="ru-RU"/>
        </w:rPr>
        <w:t xml:space="preserve">В рамках реализ</w:t>
      </w:r>
      <w:r>
        <w:rPr>
          <w:rFonts w:ascii="Arial Narrow" w:hAnsi="Arial Narrow" w:cs="Calibri"/>
          <w:sz w:val="24"/>
          <w:szCs w:val="24"/>
          <w:lang w:val="ru-RU" w:eastAsia="en-US" w:bidi="ru-RU"/>
        </w:rPr>
        <w:t xml:space="preserve">ации объекта «Установка счетчиков электрической энергии с возможностью подключения к интеллектуальным системам учета и монтаж коммуникационного оборудования (УСПД, модемы) в Центральном, Озерновском энергоузле ПАО «Камчатскэнерго» в 2024 году смонтировано </w:t>
      </w:r>
      <w:r>
        <w:rPr>
          <w:rFonts w:ascii="Arial Narrow" w:hAnsi="Arial Narrow" w:cs="Calibri"/>
          <w:sz w:val="24"/>
          <w:szCs w:val="24"/>
          <w:lang w:val="ru-RU" w:eastAsia="en-US" w:bidi="ru-RU"/>
        </w:rPr>
        <w:br/>
        <w:t xml:space="preserve">9 834 точек учета, поставлены приборы учета для реализации строительно-монтажных работ запланированных на 2025 год.</w:t>
      </w:r>
      <w:r>
        <w:rPr>
          <w:lang w:val="ru-RU"/>
        </w:rPr>
      </w:r>
      <w:r>
        <w:rPr>
          <w:lang w:val="ru-RU"/>
        </w:rPr>
      </w:r>
    </w:p>
    <w:p>
      <w:pPr>
        <w:pStyle w:val="1063"/>
        <w:ind w:firstLine="567"/>
        <w:jc w:val="both"/>
        <w:tabs>
          <w:tab w:val="left" w:pos="709" w:leader="none"/>
        </w:tabs>
      </w:pPr>
      <w:r>
        <w:rPr>
          <w:rFonts w:ascii="Arial Narrow" w:hAnsi="Arial Narrow" w:cs="Calibri"/>
        </w:rPr>
        <w:t xml:space="preserve">С целью технологического присоединения к электрическим сетям введены следующие объекты:</w:t>
      </w: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eastAsia="en-US" w:bidi="ru-RU"/>
        </w:rPr>
        <w:t xml:space="preserve">Строительство КЛ-10 кВ протяженностью 13,4 км, ВЛ-10 кВ протяженностью 34,2 км, РТП-10/0,4 к</w:t>
      </w:r>
      <w:r>
        <w:rPr>
          <w:rFonts w:ascii="Arial Narrow" w:hAnsi="Arial Narrow" w:cs="Calibri"/>
          <w:sz w:val="24"/>
          <w:szCs w:val="24"/>
          <w:lang w:val="ru-RU" w:eastAsia="en-US" w:bidi="ru-RU"/>
        </w:rPr>
        <w:t xml:space="preserve">В и ТП-10/0,4кВ мощностью 14,77 МВА (РТП-2х3150кВА-10/0,4 кВ- 1 шт., РТП-2х2500кВА-10/0,4 кВ- 1 шт. , КТПН-2х63 кВА-10/0,4 кВ - 1 шт, КТПН-2х630кВА-10/0,4 кВ - 2 шт., КТПН-2х160кВА-10/0,4 кВ - 1 шт., КТПН-2х250кВА-10/0,4 кВ - 1 шт), КЛ-0,4 кВ протяженность</w:t>
      </w:r>
      <w:r>
        <w:rPr>
          <w:rFonts w:ascii="Arial Narrow" w:hAnsi="Arial Narrow" w:cs="Calibri"/>
          <w:sz w:val="24"/>
          <w:szCs w:val="24"/>
          <w:lang w:val="ru-RU" w:eastAsia="en-US" w:bidi="ru-RU"/>
        </w:rPr>
        <w:t xml:space="preserve">ю 12 км для технологического присоединения объектов резидентов площадки «Зеленовские озерки», Елизовского муниципального района, Камчатского края. Протяженность кабельной линии – 5,472 км, воздушной линии – 42,508 км, трансформаторная мощность -  8,47 МВт;</w:t>
      </w:r>
      <w:r>
        <w:rPr>
          <w:lang w:val="ru-RU"/>
        </w:rPr>
      </w:r>
      <w:r>
        <w:rPr>
          <w:lang w:val="ru-RU"/>
        </w:rP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val="ru-RU" w:eastAsia="en-US" w:bidi="ru-RU"/>
        </w:rPr>
        <w:t xml:space="preserve">Строительство ЛЭП-10 кВ для технологического присоединения объекта: «Многоквартирные жилые дома», расположенного по адресу: г. Петропавловск-Камчатский, ул. Топоркова, д. 1. Разработка проектной и рабочей документации. Строительно-монтажные работы. </w:t>
      </w:r>
      <w:r>
        <w:rPr>
          <w:rFonts w:ascii="Arial Narrow" w:hAnsi="Arial Narrow" w:cs="Calibri"/>
          <w:sz w:val="24"/>
          <w:szCs w:val="24"/>
          <w:lang w:eastAsia="en-US" w:bidi="ru-RU"/>
        </w:rPr>
        <w:t xml:space="preserve">Протяженность кабельной линии - 2,539 км.</w:t>
      </w:r>
      <w:r/>
    </w:p>
    <w:p>
      <w:pPr>
        <w:pStyle w:val="1063"/>
        <w:ind w:firstLine="567"/>
        <w:jc w:val="both"/>
        <w:tabs>
          <w:tab w:val="left" w:pos="709" w:leader="none"/>
        </w:tabs>
      </w:pPr>
      <w:r>
        <w:rPr>
          <w:rFonts w:ascii="Arial Narrow" w:hAnsi="Arial Narrow" w:cs="Calibri"/>
        </w:rPr>
        <w:t xml:space="preserve">В рамках развития системы централизованного теплоснабжения реализованы следующие мероприятия:  </w:t>
      </w: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val="ru-RU" w:eastAsia="en-US" w:bidi="ru-RU"/>
        </w:rPr>
        <w:t xml:space="preserve">Строительство сооружения тепловых сетей 2 контура для подключения объекта с тепловой нагрузкой свыше 0,1 Гкал/ч и не превышающей 1,5 Гкал/ч «Многоквартирный жилой дом, расположенного по адресу: г. Петропавловск-Камчатский, ул. </w:t>
      </w:r>
      <w:r>
        <w:rPr>
          <w:rFonts w:ascii="Arial Narrow" w:hAnsi="Arial Narrow" w:cs="Calibri"/>
          <w:sz w:val="24"/>
          <w:szCs w:val="24"/>
          <w:lang w:eastAsia="en-US" w:bidi="ru-RU"/>
        </w:rPr>
        <w:t xml:space="preserve">Арсеньева, участок с кадастровым номером 41:01:0010112:2655. Ввод составил –</w:t>
      </w:r>
      <w:r>
        <w:rPr>
          <w:rFonts w:ascii="Arial Narrow" w:hAnsi="Arial Narrow" w:cs="Calibri"/>
          <w:sz w:val="24"/>
          <w:szCs w:val="24"/>
          <w:lang w:val="ru-RU" w:eastAsia="en-US" w:bidi="ru-RU"/>
        </w:rPr>
        <w:t xml:space="preserve"> </w:t>
      </w:r>
      <w:r>
        <w:rPr>
          <w:rFonts w:ascii="Arial Narrow" w:hAnsi="Arial Narrow" w:cs="Calibri"/>
          <w:sz w:val="24"/>
          <w:szCs w:val="24"/>
          <w:lang w:eastAsia="en-US" w:bidi="ru-RU"/>
        </w:rPr>
        <w:t xml:space="preserve">0,486 км ТС;   </w:t>
      </w: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eastAsia="en-US" w:bidi="ru-RU"/>
        </w:rPr>
        <w:t xml:space="preserve">Строительство тепловых сетей 2-ого контура от ТК-236 до границ стены: «Многоквартирный жилой дом по ул. Рябикова д. 49А, по ул. Рябикова, д. 49Б г.Елизово. Ввод составил – 0,147 км ТС;   </w:t>
      </w:r>
      <w:r>
        <w:rPr>
          <w:lang w:val="ru-RU"/>
        </w:rPr>
      </w:r>
      <w:r>
        <w:rPr>
          <w:lang w:val="ru-RU"/>
        </w:rP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val="ru-RU" w:eastAsia="en-US" w:bidi="ru-RU"/>
        </w:rPr>
        <w:t xml:space="preserve">Строительство сооружения тепловых сетей 2 контура для подключения объекта с тепловой нагрузкой свыше 0,1 Гкал/ч и не превышающей 1,5 Гкал/ч «Многоквартирный жилой дом </w:t>
      </w:r>
      <w:r>
        <w:rPr>
          <w:rFonts w:ascii="Arial Narrow" w:hAnsi="Arial Narrow" w:cs="Calibri"/>
          <w:sz w:val="24"/>
          <w:szCs w:val="24"/>
          <w:lang w:val="ru-RU" w:eastAsia="en-US" w:bidi="ru-RU"/>
        </w:rPr>
        <w:br/>
        <w:t xml:space="preserve">по ул. Геофизическая в г. Елизово Камчатского края» планируемого к строительству на земельном участке с 41:05:0101001:12242 по адресу: Камчатский край, г. Елизово, ул. </w:t>
      </w:r>
      <w:r>
        <w:rPr>
          <w:rFonts w:ascii="Arial Narrow" w:hAnsi="Arial Narrow" w:cs="Calibri"/>
          <w:sz w:val="24"/>
          <w:szCs w:val="24"/>
          <w:lang w:eastAsia="en-US" w:bidi="ru-RU"/>
        </w:rPr>
        <w:t xml:space="preserve">Геофизическая. Ввод составил –</w:t>
      </w:r>
      <w:r>
        <w:rPr>
          <w:rFonts w:ascii="Arial Narrow" w:hAnsi="Arial Narrow" w:cs="Calibri"/>
          <w:sz w:val="24"/>
          <w:szCs w:val="24"/>
          <w:lang w:val="ru-RU" w:eastAsia="en-US" w:bidi="ru-RU"/>
        </w:rPr>
        <w:t xml:space="preserve"> </w:t>
      </w:r>
      <w:r>
        <w:rPr>
          <w:rFonts w:ascii="Arial Narrow" w:hAnsi="Arial Narrow" w:cs="Calibri"/>
          <w:sz w:val="24"/>
          <w:szCs w:val="24"/>
          <w:lang w:eastAsia="en-US" w:bidi="ru-RU"/>
        </w:rPr>
        <w:t xml:space="preserve">0,072 км ТС;   </w:t>
      </w: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val="ru-RU" w:eastAsia="en-US" w:bidi="ru-RU"/>
        </w:rPr>
        <w:t xml:space="preserve">Строительство сооружения тепловых сетей 1 контура для подключения объекта с тепловой нагрузкой 0,814441 Гкал/ч «Здание. Учебный корпус МБОУ «Средняя школа № 40 по ул. Вольского микрорайона «Северо-Восток» в г. Петропавловске-Камчатском». </w:t>
      </w:r>
      <w:r>
        <w:rPr>
          <w:rFonts w:ascii="Arial Narrow" w:hAnsi="Arial Narrow" w:cs="Calibri"/>
          <w:sz w:val="24"/>
          <w:szCs w:val="24"/>
          <w:lang w:eastAsia="en-US" w:bidi="ru-RU"/>
        </w:rPr>
        <w:t xml:space="preserve">Ввод составил –</w:t>
      </w:r>
      <w:r>
        <w:rPr>
          <w:rFonts w:ascii="Arial Narrow" w:hAnsi="Arial Narrow" w:cs="Calibri"/>
          <w:sz w:val="24"/>
          <w:szCs w:val="24"/>
          <w:lang w:val="ru-RU" w:eastAsia="en-US" w:bidi="ru-RU"/>
        </w:rPr>
        <w:t xml:space="preserve"> </w:t>
      </w:r>
      <w:r>
        <w:rPr>
          <w:rFonts w:ascii="Arial Narrow" w:hAnsi="Arial Narrow" w:cs="Calibri"/>
          <w:sz w:val="24"/>
          <w:szCs w:val="24"/>
          <w:lang w:eastAsia="en-US" w:bidi="ru-RU"/>
        </w:rPr>
        <w:t xml:space="preserve">0,0092 км ТС. </w:t>
      </w:r>
      <w:r/>
    </w:p>
    <w:p>
      <w:pPr>
        <w:pStyle w:val="1063"/>
        <w:ind w:firstLine="567"/>
        <w:jc w:val="both"/>
        <w:tabs>
          <w:tab w:val="left" w:pos="709" w:leader="none"/>
        </w:tabs>
      </w:pPr>
      <w:r>
        <w:rPr>
          <w:rFonts w:ascii="Arial Narrow" w:hAnsi="Arial Narrow" w:cs="Calibri"/>
        </w:rPr>
        <w:t xml:space="preserve">Постановлением Правительства Российской Федерации от 28.08.2015 «О создании территории опережающего социально-экономического развития «Камчатка» отдельные территории Камчатского края, определенные в</w:t>
      </w:r>
      <w:r>
        <w:rPr>
          <w:rFonts w:ascii="Arial Narrow" w:hAnsi="Arial Narrow" w:cs="Calibri"/>
        </w:rPr>
        <w:t xml:space="preserve">ышеуказанным постановлением определены как территория опережающего социально-экономического развития. В рамках создания инженерной инфраструктуры для территории опережающего социально-экономического развития (далее – ТОСЭР) «Камчатка» ПАО «Камчатскэнерго» </w:t>
      </w:r>
      <w:r>
        <w:rPr>
          <w:rFonts w:ascii="Arial Narrow" w:hAnsi="Arial Narrow" w:cs="Calibri"/>
        </w:rPr>
        <w:br/>
        <w:t xml:space="preserve">на 2025 запланирована реализация следующих проектов:</w:t>
      </w: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val="ru-RU" w:eastAsia="en-US" w:bidi="ru-RU"/>
        </w:rPr>
        <w:t xml:space="preserve">Электроснабжение перспективных площадок туристическо-рекреационной зоны «Парк Три Вулкана» общей стоимостью </w:t>
      </w:r>
      <w:r>
        <w:rPr>
          <w:rFonts w:ascii="Arial Narrow" w:hAnsi="Arial Narrow" w:cs="Calibri"/>
          <w:sz w:val="24"/>
          <w:szCs w:val="24"/>
          <w:lang w:eastAsia="en-US" w:bidi="ru-RU"/>
        </w:rPr>
        <w:t xml:space="preserve">5 766,26 млн. руб</w:t>
      </w:r>
      <w:r>
        <w:rPr>
          <w:rFonts w:ascii="Arial Narrow" w:hAnsi="Arial Narrow" w:cs="Calibri"/>
          <w:sz w:val="24"/>
          <w:szCs w:val="24"/>
          <w:lang w:val="ru-RU" w:eastAsia="en-US" w:bidi="ru-RU"/>
        </w:rPr>
        <w:t xml:space="preserve">лей</w:t>
      </w:r>
      <w:r>
        <w:rPr>
          <w:rFonts w:ascii="Arial Narrow" w:hAnsi="Arial Narrow" w:cs="Calibri"/>
          <w:sz w:val="24"/>
          <w:szCs w:val="24"/>
          <w:lang w:eastAsia="en-US" w:bidi="ru-RU"/>
        </w:rPr>
        <w:t xml:space="preserve">.</w:t>
      </w:r>
      <w:r/>
    </w:p>
    <w:p>
      <w:pPr>
        <w:pStyle w:val="1063"/>
        <w:ind w:firstLine="567"/>
        <w:jc w:val="both"/>
        <w:tabs>
          <w:tab w:val="left" w:pos="709" w:leader="none"/>
        </w:tabs>
      </w:pPr>
      <w:r>
        <w:rPr>
          <w:rFonts w:ascii="Arial Narrow" w:hAnsi="Arial Narrow" w:cs="Calibri"/>
        </w:rPr>
        <w:t xml:space="preserve">В рамках данного проекта планируется:</w:t>
      </w:r>
      <w:r/>
    </w:p>
    <w:p>
      <w:pPr>
        <w:pStyle w:val="1063"/>
        <w:ind w:firstLine="567"/>
        <w:jc w:val="both"/>
        <w:tabs>
          <w:tab w:val="left" w:pos="709" w:leader="none"/>
        </w:tabs>
      </w:pPr>
      <w:r>
        <w:rPr>
          <w:rFonts w:ascii="Arial Narrow" w:hAnsi="Arial Narrow" w:cs="Calibri"/>
        </w:rPr>
        <w:t xml:space="preserve">строительство «ВЛ-110 кВ от ПС 220/110/35/10 кВ Авача до ПС 110/35/10 кВ «Горячая сопка»,</w:t>
      </w:r>
      <w:r/>
    </w:p>
    <w:p>
      <w:pPr>
        <w:pStyle w:val="1063"/>
        <w:ind w:firstLine="567"/>
        <w:jc w:val="both"/>
        <w:tabs>
          <w:tab w:val="left" w:pos="709" w:leader="none"/>
        </w:tabs>
      </w:pPr>
      <w:r>
        <w:rPr>
          <w:rFonts w:ascii="Arial Narrow" w:hAnsi="Arial Narrow" w:cs="Calibri"/>
        </w:rPr>
        <w:t xml:space="preserve">строительство ПС 110/35/10 кВ «Горячая сопка»,</w:t>
      </w:r>
      <w:r/>
    </w:p>
    <w:p>
      <w:pPr>
        <w:pStyle w:val="1063"/>
        <w:ind w:firstLine="567"/>
        <w:jc w:val="both"/>
        <w:tabs>
          <w:tab w:val="left" w:pos="709" w:leader="none"/>
        </w:tabs>
      </w:pPr>
      <w:r>
        <w:rPr>
          <w:rFonts w:ascii="Arial Narrow" w:hAnsi="Arial Narrow" w:cs="Calibri"/>
        </w:rPr>
        <w:t xml:space="preserve">строительство КЛ 35 кВ от ПС 110/35/10 кВ до ПС 35/10 кВ «Горнолыжная»,</w:t>
      </w:r>
      <w:r/>
    </w:p>
    <w:p>
      <w:pPr>
        <w:pStyle w:val="1063"/>
        <w:ind w:firstLine="567"/>
        <w:jc w:val="both"/>
        <w:tabs>
          <w:tab w:val="left" w:pos="709" w:leader="none"/>
        </w:tabs>
      </w:pPr>
      <w:r>
        <w:rPr>
          <w:rFonts w:ascii="Arial Narrow" w:hAnsi="Arial Narrow" w:cs="Calibri"/>
        </w:rPr>
        <w:t xml:space="preserve">с</w:t>
      </w:r>
      <w:r>
        <w:rPr>
          <w:rFonts w:ascii="Arial Narrow" w:hAnsi="Arial Narrow" w:cs="Calibri"/>
          <w:lang w:bidi="ru-RU"/>
        </w:rPr>
        <w:t xml:space="preserve">троительство ПС 35/10 кВ «Горнолыжная» и ЛЭП 10 кВ до электроустановок Заявителя.</w:t>
      </w: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val="ru-RU" w:eastAsia="en-US" w:bidi="ru-RU"/>
        </w:rPr>
        <w:t xml:space="preserve">Технологическое присоединение к электрическим сетям объекта «Строительство РТП 10/0,4 кВ (2х400кВА) - 1 шт., ТП-10/0,4кВ (2х40кВА) - 2 шт., ЛЭП-10 кВ (</w:t>
      </w:r>
      <w:r>
        <w:rPr>
          <w:rFonts w:ascii="Arial Narrow" w:hAnsi="Arial Narrow" w:cs="Calibri"/>
          <w:sz w:val="24"/>
          <w:szCs w:val="24"/>
          <w:lang w:eastAsia="en-US" w:bidi="ru-RU"/>
        </w:rPr>
        <w:t xml:space="preserve">L</w:t>
      </w:r>
      <w:r>
        <w:rPr>
          <w:rFonts w:ascii="Arial Narrow" w:hAnsi="Arial Narrow" w:cs="Calibri"/>
          <w:sz w:val="24"/>
          <w:szCs w:val="24"/>
          <w:lang w:val="ru-RU" w:eastAsia="en-US" w:bidi="ru-RU"/>
        </w:rPr>
        <w:t xml:space="preserve">= 6,6 км), ЛЭП-0,4 кВ (</w:t>
      </w:r>
      <w:r>
        <w:rPr>
          <w:rFonts w:ascii="Arial Narrow" w:hAnsi="Arial Narrow" w:cs="Calibri"/>
          <w:sz w:val="24"/>
          <w:szCs w:val="24"/>
          <w:lang w:eastAsia="en-US" w:bidi="ru-RU"/>
        </w:rPr>
        <w:t xml:space="preserve">L</w:t>
      </w:r>
      <w:r>
        <w:rPr>
          <w:rFonts w:ascii="Arial Narrow" w:hAnsi="Arial Narrow" w:cs="Calibri"/>
          <w:sz w:val="24"/>
          <w:szCs w:val="24"/>
          <w:lang w:val="ru-RU" w:eastAsia="en-US" w:bidi="ru-RU"/>
        </w:rPr>
        <w:t xml:space="preserve">= 1 км) для технологического присоединения объектов: «ЦНС «Верхнепаратунская-3», «КНС ГК-41», «КНС К-89», «КНС Э-5», расположенных по адресу: Российская Федерация, Камчатский край, Елизовский район» общей стоимостью </w:t>
      </w:r>
      <w:r>
        <w:rPr>
          <w:rFonts w:ascii="Arial Narrow" w:hAnsi="Arial Narrow" w:cs="Calibri"/>
          <w:sz w:val="24"/>
          <w:szCs w:val="24"/>
          <w:lang w:eastAsia="en-US" w:bidi="ru-RU"/>
        </w:rPr>
        <w:t xml:space="preserve">100,06 млн. руб</w:t>
      </w:r>
      <w:r>
        <w:rPr>
          <w:rFonts w:ascii="Arial Narrow" w:hAnsi="Arial Narrow" w:cs="Calibri"/>
          <w:sz w:val="24"/>
          <w:szCs w:val="24"/>
          <w:lang w:val="ru-RU" w:eastAsia="en-US" w:bidi="ru-RU"/>
        </w:rPr>
        <w:t xml:space="preserve">лей</w:t>
      </w:r>
      <w:r>
        <w:rPr>
          <w:rFonts w:ascii="Arial Narrow" w:hAnsi="Arial Narrow" w:cs="Calibri"/>
          <w:sz w:val="24"/>
          <w:szCs w:val="24"/>
          <w:lang w:eastAsia="en-US" w:bidi="ru-RU"/>
        </w:rPr>
        <w:t xml:space="preserve">.</w:t>
      </w:r>
      <w:r/>
    </w:p>
    <w:p>
      <w:pPr>
        <w:pStyle w:val="1063"/>
        <w:ind w:firstLine="567"/>
        <w:jc w:val="both"/>
        <w:tabs>
          <w:tab w:val="left" w:pos="709" w:leader="none"/>
        </w:tabs>
      </w:pPr>
      <w:r>
        <w:rPr>
          <w:rFonts w:ascii="Arial Narrow" w:hAnsi="Arial Narrow" w:cs="Calibri"/>
        </w:rPr>
        <w:t xml:space="preserve">В рамках данного проекта планируется:</w:t>
      </w:r>
      <w:r/>
    </w:p>
    <w:p>
      <w:pPr>
        <w:pStyle w:val="1063"/>
        <w:ind w:firstLine="567"/>
        <w:jc w:val="both"/>
        <w:tabs>
          <w:tab w:val="left" w:pos="709" w:leader="none"/>
        </w:tabs>
      </w:pPr>
      <w:r>
        <w:rPr>
          <w:rFonts w:ascii="Arial Narrow" w:hAnsi="Arial Narrow" w:cs="Calibri"/>
        </w:rPr>
        <w:t xml:space="preserve">строительство ЛЭП-10 кВ ориентировочной протяженностью 6,6 км, ЛЭП-0,4 кВ ориентировочной протяженностью 1 км,</w:t>
      </w:r>
      <w:r/>
    </w:p>
    <w:p>
      <w:pPr>
        <w:pStyle w:val="1063"/>
        <w:ind w:firstLine="567"/>
        <w:jc w:val="both"/>
        <w:tabs>
          <w:tab w:val="left" w:pos="709" w:leader="none"/>
        </w:tabs>
      </w:pPr>
      <w:r>
        <w:rPr>
          <w:rFonts w:ascii="Arial Narrow" w:hAnsi="Arial Narrow" w:cs="Calibri"/>
        </w:rPr>
        <w:t xml:space="preserve">строительство РТП-10/0,4 кВ.</w:t>
      </w: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val="ru-RU" w:eastAsia="en-US" w:bidi="ru-RU"/>
        </w:rPr>
        <w:t xml:space="preserve">Технологическое присоединение к электрическим сетям объекта «Строительство КЛ-0,4 кВ </w:t>
      </w:r>
      <w:r>
        <w:rPr>
          <w:rFonts w:ascii="Arial Narrow" w:hAnsi="Arial Narrow" w:cs="Calibri"/>
          <w:sz w:val="24"/>
          <w:szCs w:val="24"/>
          <w:lang w:eastAsia="en-US" w:bidi="ru-RU"/>
        </w:rPr>
        <w:t xml:space="preserve">L</w:t>
      </w:r>
      <w:r>
        <w:rPr>
          <w:rFonts w:ascii="Arial Narrow" w:hAnsi="Arial Narrow" w:cs="Calibri"/>
          <w:sz w:val="24"/>
          <w:szCs w:val="24"/>
          <w:lang w:val="ru-RU" w:eastAsia="en-US" w:bidi="ru-RU"/>
        </w:rPr>
        <w:t xml:space="preserve">=2х50 м, КЛ-10(6) кВ </w:t>
      </w:r>
      <w:r>
        <w:rPr>
          <w:rFonts w:ascii="Arial Narrow" w:hAnsi="Arial Narrow" w:cs="Calibri"/>
          <w:sz w:val="24"/>
          <w:szCs w:val="24"/>
          <w:lang w:eastAsia="en-US" w:bidi="ru-RU"/>
        </w:rPr>
        <w:t xml:space="preserve">L</w:t>
      </w:r>
      <w:r>
        <w:rPr>
          <w:rFonts w:ascii="Arial Narrow" w:hAnsi="Arial Narrow" w:cs="Calibri"/>
          <w:sz w:val="24"/>
          <w:szCs w:val="24"/>
          <w:lang w:val="ru-RU" w:eastAsia="en-US" w:bidi="ru-RU"/>
        </w:rPr>
        <w:t xml:space="preserve">=2х1100 м, ТП-10(6)/0,4 кВ 1 шт. для технологического присоединения объекта: КОС «Богородское озеро», расположенный по адресу: г. Петропавловск-Камчатский, ул. </w:t>
      </w:r>
      <w:r>
        <w:rPr>
          <w:rFonts w:ascii="Arial Narrow" w:hAnsi="Arial Narrow" w:cs="Calibri"/>
          <w:sz w:val="24"/>
          <w:szCs w:val="24"/>
          <w:lang w:eastAsia="en-US" w:bidi="ru-RU"/>
        </w:rPr>
        <w:t xml:space="preserve">Лермонтова» общей стоимостью 33,81 млн. руб</w:t>
      </w:r>
      <w:r>
        <w:rPr>
          <w:rFonts w:ascii="Arial Narrow" w:hAnsi="Arial Narrow" w:cs="Calibri"/>
          <w:sz w:val="24"/>
          <w:szCs w:val="24"/>
          <w:lang w:val="ru-RU" w:eastAsia="en-US" w:bidi="ru-RU"/>
        </w:rPr>
        <w:t xml:space="preserve">лей</w:t>
      </w:r>
      <w:r>
        <w:rPr>
          <w:rFonts w:ascii="Arial Narrow" w:hAnsi="Arial Narrow" w:cs="Calibri"/>
          <w:sz w:val="24"/>
          <w:szCs w:val="24"/>
          <w:lang w:eastAsia="en-US" w:bidi="ru-RU"/>
        </w:rPr>
        <w:t xml:space="preserve">.</w:t>
      </w:r>
      <w:r/>
    </w:p>
    <w:p>
      <w:pPr>
        <w:pStyle w:val="1063"/>
        <w:ind w:firstLine="567"/>
        <w:jc w:val="both"/>
        <w:tabs>
          <w:tab w:val="left" w:pos="709" w:leader="none"/>
        </w:tabs>
      </w:pPr>
      <w:r>
        <w:rPr>
          <w:rFonts w:ascii="Arial Narrow" w:hAnsi="Arial Narrow" w:cs="Calibri"/>
        </w:rPr>
        <w:t xml:space="preserve">В рамках данного проекта планируется:</w:t>
      </w:r>
      <w:r/>
    </w:p>
    <w:p>
      <w:pPr>
        <w:pStyle w:val="1063"/>
        <w:ind w:firstLine="567"/>
        <w:jc w:val="both"/>
        <w:tabs>
          <w:tab w:val="left" w:pos="709" w:leader="none"/>
        </w:tabs>
      </w:pPr>
      <w:r>
        <w:rPr>
          <w:rFonts w:ascii="Arial Narrow" w:hAnsi="Arial Narrow" w:cs="Calibri"/>
        </w:rPr>
        <w:t xml:space="preserve">строительство КЛ-0,4 кВ ориентировочной протяженностью 2х50 м, КЛ-10 (6) кВ ориентировочной протяженностью 2х1100 м,</w:t>
      </w:r>
      <w:r/>
    </w:p>
    <w:p>
      <w:pPr>
        <w:pStyle w:val="1063"/>
        <w:ind w:firstLine="567"/>
        <w:jc w:val="both"/>
        <w:tabs>
          <w:tab w:val="left" w:pos="709" w:leader="none"/>
        </w:tabs>
      </w:pPr>
      <w:r>
        <w:rPr>
          <w:rFonts w:ascii="Arial Narrow" w:hAnsi="Arial Narrow" w:cs="Calibri"/>
        </w:rPr>
        <w:t xml:space="preserve">строительство ТП-10(6)/0,4 кВ.</w:t>
      </w:r>
      <w:r/>
    </w:p>
    <w:p>
      <w:pPr>
        <w:pStyle w:val="1063"/>
        <w:ind w:firstLine="567"/>
        <w:jc w:val="both"/>
        <w:tabs>
          <w:tab w:val="left" w:pos="709" w:leader="none"/>
        </w:tabs>
      </w:pPr>
      <w:r>
        <w:rPr>
          <w:rFonts w:ascii="Arial Narrow" w:hAnsi="Arial Narrow" w:cs="Calibri"/>
        </w:rPr>
        <w:t xml:space="preserve">В рамках технологического присоединения в 2026 году планируется Строительство ВЛ-35 кВ от </w:t>
      </w:r>
      <w:r>
        <w:rPr>
          <w:rFonts w:ascii="Arial Narrow" w:hAnsi="Arial Narrow" w:cs="Calibri"/>
        </w:rPr>
        <w:br/>
        <w:t xml:space="preserve">ПС 110/35/10 «Кавалерская» до ДЭС -6. В настоящее время выполняются проектно-изыскательские работы.</w:t>
      </w: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val="ru-RU" w:eastAsia="en-US" w:bidi="ru-RU"/>
        </w:rPr>
        <w:t xml:space="preserve">С целью повышения располагаемой мощности Мутновской ГеоЭС-1 и Верхне-Мутновской ГеоЭС, реализуются объекты по поддержанию располагаемой мощности МГеоЭС, бурению скважин Гео-11, Гео-12, Гео-13, Гео-14 общей стоимостью </w:t>
      </w:r>
      <w:r>
        <w:rPr>
          <w:rFonts w:ascii="Arial Narrow" w:hAnsi="Arial Narrow" w:cs="Calibri"/>
          <w:sz w:val="24"/>
          <w:szCs w:val="24"/>
          <w:lang w:eastAsia="en-US" w:bidi="ru-RU"/>
        </w:rPr>
        <w:t xml:space="preserve">1 406,43 млн. руб.</w:t>
      </w:r>
      <w:r/>
    </w:p>
    <w:p>
      <w:pPr>
        <w:pStyle w:val="1063"/>
        <w:ind w:firstLine="567"/>
        <w:jc w:val="both"/>
        <w:tabs>
          <w:tab w:val="left" w:pos="709" w:leader="none"/>
        </w:tabs>
      </w:pPr>
      <w:r>
        <w:rPr>
          <w:rFonts w:ascii="Arial Narrow" w:hAnsi="Arial Narrow" w:cs="Calibri"/>
        </w:rPr>
        <w:t xml:space="preserve">В рамках данных проектов планируется:</w:t>
      </w:r>
      <w:r/>
    </w:p>
    <w:p>
      <w:pPr>
        <w:pStyle w:val="1063"/>
        <w:ind w:firstLine="567"/>
        <w:jc w:val="both"/>
        <w:tabs>
          <w:tab w:val="left" w:pos="709" w:leader="none"/>
        </w:tabs>
      </w:pPr>
      <w:r>
        <w:rPr>
          <w:rFonts w:ascii="Arial Narrow" w:hAnsi="Arial Narrow" w:cs="Calibri"/>
        </w:rPr>
        <w:t xml:space="preserve">поэтапное бурение новых геотермальных скважин;</w:t>
      </w:r>
      <w:r/>
    </w:p>
    <w:p>
      <w:pPr>
        <w:pStyle w:val="1063"/>
        <w:ind w:firstLine="567"/>
        <w:jc w:val="both"/>
        <w:tabs>
          <w:tab w:val="left" w:pos="709" w:leader="none"/>
        </w:tabs>
      </w:pPr>
      <w:r>
        <w:rPr>
          <w:rFonts w:ascii="Arial Narrow" w:hAnsi="Arial Narrow" w:cs="Calibri"/>
        </w:rPr>
        <w:t xml:space="preserve">строительство паропроводов для обеспечения теплоносителем геотермальных станций</w:t>
      </w: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eastAsia="en-US" w:bidi="ru-RU"/>
        </w:rPr>
        <w:t xml:space="preserve">С целю увеличения мощности Мутновской ГеоЭС-1 реализуется проект по титулу «Разработка проектно-сметной документации Комплекс электроснабжения. Строительство бинарного энергоблока на площадке Мутновской ГеоЭС-1» общей стоимостью 464,464 млн. рублей.  </w:t>
      </w:r>
      <w:r>
        <w:rPr>
          <w:lang w:val="ru-RU"/>
        </w:rPr>
      </w:r>
      <w:r>
        <w:rPr>
          <w:lang w:val="ru-RU"/>
        </w:rPr>
      </w:r>
    </w:p>
    <w:p>
      <w:pPr>
        <w:pStyle w:val="1063"/>
        <w:ind w:firstLine="567"/>
        <w:jc w:val="both"/>
        <w:tabs>
          <w:tab w:val="left" w:pos="709" w:leader="none"/>
        </w:tabs>
      </w:pPr>
      <w:r>
        <w:rPr>
          <w:rFonts w:ascii="Arial Narrow" w:hAnsi="Arial Narrow" w:cs="Calibri"/>
        </w:rPr>
        <w:t xml:space="preserve">В рамках данного проекта планируется выполнить проектно-изыскательские работы. Срок выполнения работ – 2025 год.</w:t>
      </w: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val="ru-RU" w:eastAsia="en-US" w:bidi="ru-RU"/>
        </w:rPr>
        <w:t xml:space="preserve">С целью увеличения мощности Каскада Толма</w:t>
      </w:r>
      <w:r>
        <w:rPr>
          <w:rFonts w:ascii="Arial Narrow" w:hAnsi="Arial Narrow" w:cs="Calibri"/>
          <w:sz w:val="24"/>
          <w:szCs w:val="24"/>
          <w:lang w:val="ru-RU" w:eastAsia="en-US" w:bidi="ru-RU"/>
        </w:rPr>
        <w:t xml:space="preserve">чевских ГЭС выполняются работы в рамках титула «Разработка проектно-сметной документации на «Строительство ГЭС-4 Каскада Толмачевских ГЭС» общей стоимостью 296,03 млн. рублей.  В рамках данного проекта планируется выполнить проектно-изыскательские работы. </w:t>
      </w:r>
      <w:r>
        <w:rPr>
          <w:rFonts w:ascii="Arial Narrow" w:hAnsi="Arial Narrow" w:cs="Calibri"/>
          <w:sz w:val="24"/>
          <w:szCs w:val="24"/>
          <w:lang w:eastAsia="en-US" w:bidi="ru-RU"/>
        </w:rPr>
        <w:t xml:space="preserve">Срок выполнения работ – 2025 год.</w:t>
      </w: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val="ru-RU" w:eastAsia="en-US" w:bidi="ru-RU"/>
        </w:rPr>
        <w:t xml:space="preserve">В целях повышения надежности электроснабжения потребителей, снижения </w:t>
      </w:r>
      <w:r>
        <w:rPr>
          <w:rFonts w:ascii="Arial Narrow" w:hAnsi="Arial Narrow" w:cs="Calibri"/>
          <w:sz w:val="24"/>
          <w:szCs w:val="24"/>
          <w:lang w:val="ru-RU" w:eastAsia="en-US" w:bidi="ru-RU"/>
        </w:rPr>
        <w:t xml:space="preserve">аварийности запланирована реконструкция релейной защиты и высокочастотных каналов противоаварийной автоматики сети 110 кВ по ускорению резервных защит ВЛ-110 кВ по высокочастотным каналам противоаварийной автоматики ЦЭС (2 этап 4 очередь) общей стоимостью </w:t>
      </w:r>
      <w:r>
        <w:rPr>
          <w:rFonts w:ascii="Arial Narrow" w:hAnsi="Arial Narrow" w:cs="Calibri"/>
          <w:sz w:val="24"/>
          <w:szCs w:val="24"/>
          <w:lang w:eastAsia="en-US" w:bidi="ru-RU"/>
        </w:rPr>
        <w:t xml:space="preserve">37,17 млн. руб</w:t>
      </w:r>
      <w:r>
        <w:rPr>
          <w:rFonts w:ascii="Arial Narrow" w:hAnsi="Arial Narrow" w:cs="Calibri"/>
          <w:sz w:val="24"/>
          <w:szCs w:val="24"/>
          <w:lang w:val="ru-RU" w:eastAsia="en-US" w:bidi="ru-RU"/>
        </w:rPr>
        <w:t xml:space="preserve">лей</w:t>
      </w:r>
      <w:r>
        <w:rPr>
          <w:rFonts w:ascii="Arial Narrow" w:hAnsi="Arial Narrow" w:cs="Calibri"/>
          <w:sz w:val="24"/>
          <w:szCs w:val="24"/>
          <w:lang w:eastAsia="en-US" w:bidi="ru-RU"/>
        </w:rPr>
        <w:t xml:space="preserve">.</w:t>
      </w:r>
      <w:r/>
    </w:p>
    <w:p>
      <w:pPr>
        <w:pStyle w:val="1091"/>
        <w:numPr>
          <w:ilvl w:val="0"/>
          <w:numId w:val="2"/>
        </w:numPr>
        <w:ind w:left="0" w:firstLine="567"/>
        <w:jc w:val="both"/>
        <w:spacing w:line="276" w:lineRule="auto"/>
        <w:tabs>
          <w:tab w:val="left" w:pos="992" w:leader="none"/>
        </w:tabs>
        <w:rPr>
          <w:rFonts w:ascii="Arial Narrow" w:hAnsi="Arial Narrow" w:cs="Calibri"/>
          <w:sz w:val="24"/>
          <w:szCs w:val="24"/>
          <w:lang w:val="ru-RU" w:eastAsia="en-US" w:bidi="ru-RU"/>
        </w:rPr>
      </w:pPr>
      <w:r>
        <w:rPr>
          <w:rFonts w:ascii="Arial Narrow" w:hAnsi="Arial Narrow" w:cs="Calibri"/>
          <w:sz w:val="24"/>
          <w:szCs w:val="24"/>
          <w:lang w:val="ru-RU" w:eastAsia="en-US" w:bidi="ru-RU"/>
        </w:rPr>
        <w:t xml:space="preserve">В рамках выполнения мероприятий по обеспечению антитеррористической защищенности зданий и сооруже</w:t>
      </w:r>
      <w:r>
        <w:rPr>
          <w:rFonts w:ascii="Arial Narrow" w:hAnsi="Arial Narrow" w:cs="Calibri"/>
          <w:sz w:val="24"/>
          <w:szCs w:val="24"/>
          <w:lang w:val="ru-RU" w:eastAsia="en-US" w:bidi="ru-RU"/>
        </w:rPr>
        <w:t xml:space="preserve">ний планируется создание инженерно-технических средств охраны (ИТСО) Каскада ГЭС на р. Толмачева и создание комплексной системы по обеспечению физической безопасности, антитеррористической защищенности объектов МГеоЭС общей стоимостью – 448,02 млн. рублей.</w:t>
      </w:r>
      <w:r>
        <w:rPr>
          <w:rFonts w:ascii="Arial Narrow" w:hAnsi="Arial Narrow" w:cs="Calibri"/>
          <w:sz w:val="24"/>
          <w:szCs w:val="24"/>
          <w:lang w:val="ru-RU" w:eastAsia="en-US" w:bidi="ru-RU"/>
        </w:rPr>
      </w:r>
      <w:r>
        <w:rPr>
          <w:rFonts w:ascii="Arial Narrow" w:hAnsi="Arial Narrow" w:cs="Calibri"/>
          <w:sz w:val="24"/>
          <w:szCs w:val="24"/>
          <w:lang w:val="ru-RU" w:eastAsia="en-US" w:bidi="ru-RU"/>
        </w:rPr>
      </w:r>
    </w:p>
    <w:p>
      <w:pPr>
        <w:rPr>
          <w:rFonts w:ascii="Arial Narrow" w:hAnsi="Arial Narrow" w:eastAsia="Calibri" w:cs="Calibri"/>
          <w:sz w:val="24"/>
          <w:szCs w:val="24"/>
          <w:lang w:eastAsia="en-US" w:bidi="ru-RU"/>
        </w:rPr>
      </w:pPr>
      <w:r>
        <w:br w:type="page" w:clear="all"/>
      </w:r>
      <w:r>
        <w:rPr>
          <w:rFonts w:ascii="Arial Narrow" w:hAnsi="Arial Narrow" w:eastAsia="Calibri" w:cs="Calibri"/>
          <w:sz w:val="24"/>
          <w:szCs w:val="24"/>
          <w:lang w:eastAsia="en-US" w:bidi="ru-RU"/>
        </w:rPr>
      </w:r>
      <w:r>
        <w:rPr>
          <w:rFonts w:ascii="Arial Narrow" w:hAnsi="Arial Narrow" w:eastAsia="Calibri" w:cs="Calibri"/>
          <w:sz w:val="24"/>
          <w:szCs w:val="24"/>
          <w:lang w:eastAsia="en-US" w:bidi="ru-RU"/>
        </w:rPr>
      </w:r>
    </w:p>
    <w:p>
      <w:pPr>
        <w:pStyle w:val="762"/>
        <w:jc w:val="center"/>
        <w:keepLines w:val="0"/>
        <w:spacing w:before="0" w:after="0" w:line="276" w:lineRule="auto"/>
        <w:rPr>
          <w:rFonts w:ascii="Arial Narrow" w:hAnsi="Arial Narrow" w:eastAsiaTheme="majorEastAsia" w:cstheme="minorHAnsi"/>
          <w:color w:val="314e87"/>
          <w:lang w:eastAsia="en-US"/>
        </w:rPr>
      </w:pPr>
      <w:r/>
      <w:bookmarkStart w:id="31" w:name="_Toc69121019"/>
      <w:r/>
      <w:bookmarkStart w:id="32" w:name="_Toc68861852"/>
      <w:r/>
      <w:bookmarkStart w:id="33" w:name="_Toc193883483"/>
      <w:r/>
      <w:bookmarkStart w:id="34" w:name="_Toc196126983"/>
      <w:r>
        <w:rPr>
          <w:rFonts w:ascii="Arial Narrow" w:hAnsi="Arial Narrow" w:eastAsiaTheme="majorEastAsia" w:cstheme="minorHAnsi"/>
          <w:b/>
          <w:color w:val="314e87"/>
          <w:sz w:val="28"/>
          <w:szCs w:val="28"/>
          <w:lang w:eastAsia="en-US"/>
        </w:rPr>
        <w:t xml:space="preserve">Раздел 2. П</w:t>
      </w:r>
      <w:bookmarkEnd w:id="31"/>
      <w:r/>
      <w:bookmarkEnd w:id="32"/>
      <w:r>
        <w:rPr>
          <w:rFonts w:ascii="Arial Narrow" w:hAnsi="Arial Narrow" w:eastAsiaTheme="majorEastAsia" w:cstheme="minorHAnsi"/>
          <w:b/>
          <w:color w:val="314e87"/>
          <w:sz w:val="28"/>
          <w:szCs w:val="28"/>
          <w:lang w:eastAsia="en-US"/>
        </w:rPr>
        <w:t xml:space="preserve">РОИЗВОДСТВО</w:t>
      </w:r>
      <w:bookmarkEnd w:id="33"/>
      <w:r/>
      <w:bookmarkEnd w:id="34"/>
      <w:r>
        <w:rPr>
          <w:rFonts w:ascii="Arial Narrow" w:hAnsi="Arial Narrow" w:eastAsiaTheme="majorEastAsia" w:cstheme="minorHAnsi"/>
          <w:color w:val="314e87"/>
          <w:lang w:eastAsia="en-US"/>
        </w:rPr>
      </w:r>
      <w:r>
        <w:rPr>
          <w:rFonts w:ascii="Arial Narrow" w:hAnsi="Arial Narrow" w:eastAsiaTheme="majorEastAsia" w:cstheme="minorHAnsi"/>
          <w:color w:val="314e87"/>
          <w:lang w:eastAsia="en-US"/>
        </w:rPr>
      </w:r>
    </w:p>
    <w:p>
      <w:pPr>
        <w:pStyle w:val="763"/>
        <w:jc w:val="both"/>
        <w:keepLines/>
        <w:spacing w:after="0" w:line="276" w:lineRule="auto"/>
        <w:rPr>
          <w:rFonts w:ascii="Arial Narrow" w:hAnsi="Arial Narrow" w:eastAsiaTheme="majorEastAsia" w:cstheme="minorHAnsi"/>
          <w:color w:val="314e87"/>
          <w:lang w:eastAsia="en-US" w:bidi="ru-RU"/>
        </w:rPr>
      </w:pPr>
      <w:r/>
      <w:bookmarkStart w:id="35" w:name="_Toc193883484"/>
      <w:r/>
      <w:bookmarkStart w:id="36" w:name="_Toc196126984"/>
      <w:r>
        <w:rPr>
          <w:rFonts w:ascii="Arial Narrow" w:hAnsi="Arial Narrow" w:eastAsiaTheme="majorEastAsia" w:cstheme="minorHAnsi"/>
          <w:b/>
          <w:color w:val="314e87"/>
          <w:sz w:val="24"/>
          <w:szCs w:val="24"/>
          <w:lang w:eastAsia="en-US" w:bidi="ru-RU"/>
        </w:rPr>
        <w:t xml:space="preserve">2.1. </w:t>
      </w:r>
      <w:bookmarkStart w:id="37" w:name="_Toc69121020"/>
      <w:r/>
      <w:bookmarkStart w:id="38" w:name="_Toc68861853"/>
      <w:r>
        <w:rPr>
          <w:rFonts w:ascii="Arial Narrow" w:hAnsi="Arial Narrow" w:eastAsiaTheme="majorEastAsia" w:cstheme="minorHAnsi"/>
          <w:b/>
          <w:color w:val="314e87"/>
          <w:sz w:val="24"/>
          <w:szCs w:val="24"/>
          <w:lang w:eastAsia="en-US" w:bidi="ru-RU"/>
        </w:rPr>
        <w:t xml:space="preserve">Основные производственные показатели</w:t>
      </w:r>
      <w:bookmarkEnd w:id="35"/>
      <w:r/>
      <w:bookmarkEnd w:id="37"/>
      <w:r/>
      <w:bookmarkEnd w:id="38"/>
      <w:r/>
      <w:bookmarkEnd w:id="36"/>
      <w:r>
        <w:rPr>
          <w:rFonts w:ascii="Arial Narrow" w:hAnsi="Arial Narrow" w:eastAsiaTheme="majorEastAsia" w:cstheme="minorHAnsi"/>
          <w:color w:val="314e87"/>
          <w:lang w:eastAsia="en-US" w:bidi="ru-RU"/>
        </w:rPr>
      </w:r>
      <w:r>
        <w:rPr>
          <w:rFonts w:ascii="Arial Narrow" w:hAnsi="Arial Narrow" w:eastAsiaTheme="majorEastAsia" w:cstheme="minorHAnsi"/>
          <w:color w:val="314e87"/>
          <w:lang w:eastAsia="en-US" w:bidi="ru-RU"/>
        </w:rPr>
      </w:r>
    </w:p>
    <w:p>
      <w:pPr>
        <w:pStyle w:val="1096"/>
        <w:ind w:left="0" w:right="-5"/>
        <w:jc w:val="both"/>
        <w:spacing w:after="0" w:line="276" w:lineRule="auto"/>
      </w:pPr>
      <w:r>
        <w:rPr>
          <w:rFonts w:ascii="Arial Narrow" w:hAnsi="Arial Narrow" w:cs="Calibri"/>
          <w:b/>
          <w:color w:val="314e87"/>
          <w:sz w:val="24"/>
          <w:szCs w:val="24"/>
        </w:rPr>
        <w:t xml:space="preserve">Производство электроэнергии</w:t>
      </w:r>
      <w:r/>
    </w:p>
    <w:p>
      <w:pPr>
        <w:pStyle w:val="1096"/>
        <w:ind w:left="0" w:right="-5"/>
        <w:jc w:val="both"/>
        <w:spacing w:after="0" w:line="276" w:lineRule="auto"/>
      </w:pPr>
      <w:r>
        <w:rPr>
          <w:rFonts w:ascii="Arial Narrow" w:hAnsi="Arial Narrow" w:cs="Calibri"/>
          <w:b/>
          <w:bCs/>
          <w:color w:val="314e87"/>
          <w:sz w:val="24"/>
          <w:szCs w:val="24"/>
        </w:rPr>
        <w:t xml:space="preserve">Изменение установленной электрической мощности электростанций Общества</w:t>
      </w:r>
      <w:r/>
    </w:p>
    <w:p>
      <w:pPr>
        <w:pStyle w:val="1063"/>
        <w:jc w:val="right"/>
        <w:rPr>
          <w:lang w:val="en-US"/>
        </w:rPr>
      </w:pPr>
      <w:r>
        <w:rPr>
          <w:rFonts w:ascii="Arial Narrow" w:hAnsi="Arial Narrow" w:eastAsia="Calibri" w:cs="Calibri"/>
          <w:i/>
          <w:lang w:eastAsia="ja-JP"/>
        </w:rPr>
        <w:t xml:space="preserve">Таблица № </w:t>
      </w:r>
      <w:r>
        <w:rPr>
          <w:rFonts w:ascii="Arial Narrow" w:hAnsi="Arial Narrow" w:eastAsia="Calibri" w:cs="Calibri"/>
          <w:i/>
          <w:lang w:val="en-US" w:eastAsia="ja-JP"/>
        </w:rPr>
        <w:t xml:space="preserve">5</w:t>
      </w:r>
      <w:r>
        <w:rPr>
          <w:lang w:val="en-US"/>
        </w:rPr>
      </w:r>
      <w:r>
        <w:rPr>
          <w:lang w:val="en-US"/>
        </w:rPr>
      </w:r>
    </w:p>
    <w:tbl>
      <w:tblPr>
        <w:tblW w:w="4891" w:type="pct"/>
        <w:jc w:val="center"/>
        <w:tblLayout w:type="fixed"/>
        <w:tblLook w:val="04A0" w:firstRow="1" w:lastRow="0" w:firstColumn="1" w:lastColumn="0" w:noHBand="0" w:noVBand="1"/>
      </w:tblPr>
      <w:tblGrid>
        <w:gridCol w:w="522"/>
        <w:gridCol w:w="2659"/>
        <w:gridCol w:w="1191"/>
        <w:gridCol w:w="1186"/>
        <w:gridCol w:w="1598"/>
        <w:gridCol w:w="1356"/>
        <w:gridCol w:w="1543"/>
      </w:tblGrid>
      <w:tr>
        <w:trPr>
          <w:cantSplit/>
          <w:jc w:val="center"/>
          <w:trHeight w:val="300"/>
          <w:tblHeader/>
        </w:trPr>
        <w:tc>
          <w:tcPr>
            <w:tcBorders>
              <w:top w:val="single" w:color="000000" w:sz="4" w:space="0"/>
              <w:left w:val="single" w:color="000000" w:sz="4" w:space="0"/>
              <w:bottom w:val="single" w:color="000000" w:sz="4" w:space="0"/>
              <w:right w:val="single" w:color="000000" w:sz="4" w:space="0"/>
            </w:tcBorders>
            <w:tcW w:w="521" w:type="dxa"/>
            <w:vAlign w:val="center"/>
            <w:vMerge w:val="restart"/>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 п/п</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2659" w:type="dxa"/>
            <w:vAlign w:val="center"/>
            <w:vMerge w:val="restart"/>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Наименование электростанции</w:t>
            </w:r>
            <w:r>
              <w:rPr>
                <w:rFonts w:ascii="Arial Narrow" w:hAnsi="Arial Narrow"/>
                <w:sz w:val="20"/>
                <w:szCs w:val="20"/>
              </w:rPr>
            </w:r>
            <w:r>
              <w:rPr>
                <w:rFonts w:ascii="Arial Narrow" w:hAnsi="Arial Narrow"/>
                <w:sz w:val="20"/>
                <w:szCs w:val="20"/>
              </w:rPr>
            </w:r>
          </w:p>
        </w:tc>
        <w:tc>
          <w:tcPr>
            <w:gridSpan w:val="2"/>
            <w:tcBorders>
              <w:top w:val="single" w:color="000000" w:sz="4" w:space="0"/>
              <w:bottom w:val="single" w:color="000000" w:sz="4" w:space="0"/>
              <w:right w:val="single" w:color="000000" w:sz="4" w:space="0"/>
            </w:tcBorders>
            <w:tcW w:w="2377"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Nуст (МВт)</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598"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Изменение</w:t>
            </w:r>
            <w:r>
              <w:rPr>
                <w:rFonts w:ascii="Arial Narrow" w:hAnsi="Arial Narrow"/>
                <w:sz w:val="20"/>
                <w:szCs w:val="20"/>
              </w:rPr>
            </w:r>
            <w:r>
              <w:rPr>
                <w:rFonts w:ascii="Arial Narrow" w:hAnsi="Arial Narrow"/>
                <w:sz w:val="20"/>
                <w:szCs w:val="20"/>
              </w:rPr>
            </w:r>
          </w:p>
          <w:p>
            <w:pPr>
              <w:pStyle w:val="1063"/>
              <w:jc w:val="center"/>
              <w:widowControl w:val="off"/>
              <w:rPr>
                <w:rFonts w:ascii="Arial Narrow" w:hAnsi="Arial Narrow"/>
                <w:sz w:val="20"/>
                <w:szCs w:val="20"/>
              </w:rPr>
            </w:pPr>
            <w:r>
              <w:rPr>
                <w:rFonts w:ascii="Arial Narrow" w:hAnsi="Arial Narrow" w:cs="Calibri"/>
                <w:sz w:val="20"/>
                <w:szCs w:val="20"/>
              </w:rPr>
              <w:t xml:space="preserve">за 2023 год, МВт</w:t>
            </w:r>
            <w:r>
              <w:rPr>
                <w:rFonts w:ascii="Arial Narrow" w:hAnsi="Arial Narrow"/>
                <w:sz w:val="20"/>
                <w:szCs w:val="20"/>
              </w:rPr>
            </w:r>
            <w:r>
              <w:rPr>
                <w:rFonts w:ascii="Arial Narrow" w:hAnsi="Arial Narrow"/>
                <w:sz w:val="20"/>
                <w:szCs w:val="20"/>
              </w:rPr>
            </w:r>
          </w:p>
        </w:tc>
        <w:tc>
          <w:tcPr>
            <w:tcBorders>
              <w:top w:val="single" w:color="000000" w:sz="4" w:space="0"/>
              <w:bottom w:val="single" w:color="000000" w:sz="4" w:space="0"/>
              <w:right w:val="single" w:color="000000" w:sz="4" w:space="0"/>
            </w:tcBorders>
            <w:tcW w:w="1356"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Nуст (МВт)</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543"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Изменение</w:t>
            </w:r>
            <w:r>
              <w:rPr>
                <w:rFonts w:ascii="Arial Narrow" w:hAnsi="Arial Narrow"/>
                <w:sz w:val="20"/>
                <w:szCs w:val="20"/>
              </w:rPr>
            </w:r>
            <w:r>
              <w:rPr>
                <w:rFonts w:ascii="Arial Narrow" w:hAnsi="Arial Narrow"/>
                <w:sz w:val="20"/>
                <w:szCs w:val="20"/>
              </w:rPr>
            </w:r>
          </w:p>
          <w:p>
            <w:pPr>
              <w:pStyle w:val="1063"/>
              <w:jc w:val="center"/>
              <w:widowControl w:val="off"/>
              <w:rPr>
                <w:rFonts w:ascii="Arial Narrow" w:hAnsi="Arial Narrow"/>
                <w:sz w:val="20"/>
                <w:szCs w:val="20"/>
              </w:rPr>
            </w:pPr>
            <w:r>
              <w:rPr>
                <w:rFonts w:ascii="Arial Narrow" w:hAnsi="Arial Narrow" w:cs="Calibri"/>
                <w:sz w:val="20"/>
                <w:szCs w:val="20"/>
              </w:rPr>
              <w:t xml:space="preserve">за 2024 год, МВт</w:t>
            </w:r>
            <w:r>
              <w:rPr>
                <w:rFonts w:ascii="Arial Narrow" w:hAnsi="Arial Narrow"/>
                <w:sz w:val="20"/>
                <w:szCs w:val="20"/>
              </w:rPr>
            </w:r>
            <w:r>
              <w:rPr>
                <w:rFonts w:ascii="Arial Narrow" w:hAnsi="Arial Narrow"/>
                <w:sz w:val="20"/>
                <w:szCs w:val="20"/>
              </w:rPr>
            </w:r>
          </w:p>
        </w:tc>
      </w:tr>
      <w:tr>
        <w:trPr>
          <w:cantSplit/>
          <w:jc w:val="center"/>
          <w:trHeight w:val="41"/>
          <w:tblHeader/>
        </w:trPr>
        <w:tc>
          <w:tcPr>
            <w:tcBorders>
              <w:top w:val="single" w:color="000000" w:sz="4" w:space="0"/>
              <w:left w:val="single" w:color="000000" w:sz="4" w:space="0"/>
              <w:bottom w:val="single" w:color="000000" w:sz="4" w:space="0"/>
              <w:right w:val="single" w:color="000000" w:sz="4" w:space="0"/>
            </w:tcBorders>
            <w:tcW w:w="521" w:type="dxa"/>
            <w:vAlign w:val="center"/>
            <w:vMerge w:val="continue"/>
            <w:textDirection w:val="lrTb"/>
            <w:noWrap w:val="false"/>
          </w:tcPr>
          <w:p>
            <w:pPr>
              <w:pStyle w:val="1062"/>
              <w:rPr>
                <w:rFonts w:ascii="Arial Narrow" w:hAnsi="Arial Narrow"/>
                <w:sz w:val="20"/>
                <w:szCs w:val="20"/>
              </w:rPr>
            </w:pPr>
            <w:r>
              <w:rPr>
                <w:rFonts w:ascii="Arial Narrow" w:hAnsi="Arial Narrow"/>
                <w:sz w:val="20"/>
                <w:szCs w:val="20"/>
              </w:rPr>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2659" w:type="dxa"/>
            <w:vAlign w:val="center"/>
            <w:vMerge w:val="continue"/>
            <w:textDirection w:val="lrTb"/>
            <w:noWrap w:val="false"/>
          </w:tcPr>
          <w:p>
            <w:pPr>
              <w:pStyle w:val="1062"/>
              <w:rPr>
                <w:rFonts w:ascii="Arial Narrow" w:hAnsi="Arial Narrow"/>
                <w:sz w:val="20"/>
                <w:szCs w:val="20"/>
              </w:rPr>
            </w:pPr>
            <w:r>
              <w:rPr>
                <w:rFonts w:ascii="Arial Narrow" w:hAnsi="Arial Narrow"/>
                <w:sz w:val="20"/>
                <w:szCs w:val="20"/>
              </w:rPr>
            </w:r>
            <w:r>
              <w:rPr>
                <w:rFonts w:ascii="Arial Narrow" w:hAnsi="Arial Narrow"/>
                <w:sz w:val="20"/>
                <w:szCs w:val="20"/>
              </w:rPr>
            </w:r>
            <w:r>
              <w:rPr>
                <w:rFonts w:ascii="Arial Narrow" w:hAnsi="Arial Narrow"/>
                <w:sz w:val="20"/>
                <w:szCs w:val="20"/>
              </w:rPr>
            </w:r>
          </w:p>
        </w:tc>
        <w:tc>
          <w:tcPr>
            <w:tcBorders>
              <w:bottom w:val="single" w:color="000000" w:sz="4" w:space="0"/>
              <w:right w:val="single" w:color="000000" w:sz="4" w:space="0"/>
            </w:tcBorders>
            <w:tcW w:w="1191" w:type="dxa"/>
            <w:vAlign w:val="center"/>
            <w:textDirection w:val="lrTb"/>
            <w:noWrap w:val="false"/>
          </w:tcPr>
          <w:p>
            <w:pPr>
              <w:pStyle w:val="1063"/>
              <w:ind w:left="-152" w:right="-96"/>
              <w:jc w:val="center"/>
              <w:widowControl w:val="off"/>
              <w:rPr>
                <w:rFonts w:ascii="Arial Narrow" w:hAnsi="Arial Narrow"/>
                <w:sz w:val="20"/>
                <w:szCs w:val="20"/>
              </w:rPr>
            </w:pPr>
            <w:r>
              <w:rPr>
                <w:rFonts w:ascii="Arial Narrow" w:hAnsi="Arial Narrow" w:cs="Calibri"/>
                <w:sz w:val="20"/>
                <w:szCs w:val="20"/>
              </w:rPr>
              <w:t xml:space="preserve">31.12.2022</w:t>
            </w:r>
            <w:r>
              <w:rPr>
                <w:rFonts w:ascii="Arial Narrow" w:hAnsi="Arial Narrow"/>
                <w:sz w:val="20"/>
                <w:szCs w:val="20"/>
              </w:rPr>
            </w:r>
            <w:r>
              <w:rPr>
                <w:rFonts w:ascii="Arial Narrow" w:hAnsi="Arial Narrow"/>
                <w:sz w:val="20"/>
                <w:szCs w:val="20"/>
              </w:rPr>
            </w:r>
          </w:p>
        </w:tc>
        <w:tc>
          <w:tcPr>
            <w:tcBorders>
              <w:bottom w:val="single" w:color="000000" w:sz="4" w:space="0"/>
              <w:right w:val="single" w:color="000000" w:sz="4" w:space="0"/>
            </w:tcBorders>
            <w:tcW w:w="1186" w:type="dxa"/>
            <w:vAlign w:val="center"/>
            <w:textDirection w:val="lrTb"/>
            <w:noWrap w:val="false"/>
          </w:tcPr>
          <w:p>
            <w:pPr>
              <w:pStyle w:val="1063"/>
              <w:ind w:left="-152" w:right="-108"/>
              <w:jc w:val="center"/>
              <w:widowControl w:val="off"/>
              <w:rPr>
                <w:rFonts w:ascii="Arial Narrow" w:hAnsi="Arial Narrow"/>
                <w:sz w:val="20"/>
                <w:szCs w:val="20"/>
              </w:rPr>
            </w:pPr>
            <w:r>
              <w:rPr>
                <w:rFonts w:ascii="Arial Narrow" w:hAnsi="Arial Narrow" w:cs="Calibri"/>
                <w:sz w:val="20"/>
                <w:szCs w:val="20"/>
              </w:rPr>
              <w:t xml:space="preserve">31.12.2023</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598" w:type="dxa"/>
            <w:vAlign w:val="center"/>
            <w:textDirection w:val="lrTb"/>
            <w:noWrap w:val="false"/>
          </w:tcPr>
          <w:p>
            <w:pPr>
              <w:pStyle w:val="1062"/>
              <w:rPr>
                <w:rFonts w:ascii="Arial Narrow" w:hAnsi="Arial Narrow"/>
                <w:sz w:val="20"/>
                <w:szCs w:val="20"/>
              </w:rPr>
            </w:pPr>
            <w:r>
              <w:rPr>
                <w:rFonts w:ascii="Arial Narrow" w:hAnsi="Arial Narrow"/>
                <w:sz w:val="20"/>
                <w:szCs w:val="20"/>
              </w:rPr>
            </w:r>
            <w:r>
              <w:rPr>
                <w:rFonts w:ascii="Arial Narrow" w:hAnsi="Arial Narrow"/>
                <w:sz w:val="20"/>
                <w:szCs w:val="20"/>
              </w:rPr>
            </w:r>
            <w:r>
              <w:rPr>
                <w:rFonts w:ascii="Arial Narrow" w:hAnsi="Arial Narrow"/>
                <w:sz w:val="20"/>
                <w:szCs w:val="20"/>
              </w:rPr>
            </w:r>
          </w:p>
        </w:tc>
        <w:tc>
          <w:tcPr>
            <w:tcBorders>
              <w:bottom w:val="single" w:color="000000" w:sz="4" w:space="0"/>
              <w:right w:val="single" w:color="000000" w:sz="4" w:space="0"/>
            </w:tcBorders>
            <w:tcW w:w="1356" w:type="dxa"/>
            <w:vAlign w:val="center"/>
            <w:textDirection w:val="lrTb"/>
            <w:noWrap w:val="false"/>
          </w:tcPr>
          <w:p>
            <w:pPr>
              <w:pStyle w:val="1063"/>
              <w:ind w:left="-94" w:right="-58"/>
              <w:jc w:val="center"/>
              <w:widowControl w:val="off"/>
              <w:rPr>
                <w:rFonts w:ascii="Arial Narrow" w:hAnsi="Arial Narrow"/>
                <w:sz w:val="20"/>
                <w:szCs w:val="20"/>
              </w:rPr>
            </w:pPr>
            <w:r>
              <w:rPr>
                <w:rFonts w:ascii="Arial Narrow" w:hAnsi="Arial Narrow" w:cs="Calibri"/>
                <w:sz w:val="20"/>
                <w:szCs w:val="20"/>
              </w:rPr>
              <w:t xml:space="preserve">31.12.2024</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543" w:type="dxa"/>
            <w:vAlign w:val="center"/>
            <w:textDirection w:val="lrTb"/>
            <w:noWrap w:val="false"/>
          </w:tcPr>
          <w:p>
            <w:pPr>
              <w:pStyle w:val="1062"/>
              <w:rPr>
                <w:rFonts w:ascii="Arial Narrow" w:hAnsi="Arial Narrow"/>
                <w:sz w:val="20"/>
                <w:szCs w:val="20"/>
              </w:rPr>
            </w:pPr>
            <w:r>
              <w:rPr>
                <w:rFonts w:ascii="Arial Narrow" w:hAnsi="Arial Narrow"/>
                <w:sz w:val="20"/>
                <w:szCs w:val="20"/>
              </w:rPr>
            </w:r>
            <w:r>
              <w:rPr>
                <w:rFonts w:ascii="Arial Narrow" w:hAnsi="Arial Narrow"/>
                <w:sz w:val="20"/>
                <w:szCs w:val="20"/>
              </w:rPr>
            </w:r>
            <w:r>
              <w:rPr>
                <w:rFonts w:ascii="Arial Narrow" w:hAnsi="Arial Narrow"/>
                <w:sz w:val="20"/>
                <w:szCs w:val="20"/>
              </w:rPr>
            </w:r>
          </w:p>
        </w:tc>
      </w:tr>
      <w:tr>
        <w:trPr>
          <w:cantSplit/>
          <w:jc w:val="center"/>
          <w:trHeight w:val="94"/>
        </w:trPr>
        <w:tc>
          <w:tcPr>
            <w:tcBorders>
              <w:top w:val="single" w:color="000000" w:sz="4" w:space="0"/>
              <w:left w:val="single" w:color="000000" w:sz="4" w:space="0"/>
              <w:bottom w:val="single" w:color="000000" w:sz="4" w:space="0"/>
              <w:right w:val="single" w:color="000000" w:sz="4" w:space="0"/>
            </w:tcBorders>
            <w:tcW w:w="521"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1</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2659" w:type="dxa"/>
            <w:textDirection w:val="lrTb"/>
            <w:noWrap w:val="false"/>
          </w:tcPr>
          <w:p>
            <w:pPr>
              <w:pStyle w:val="1063"/>
              <w:widowControl w:val="off"/>
              <w:rPr>
                <w:rFonts w:ascii="Arial Narrow" w:hAnsi="Arial Narrow"/>
                <w:sz w:val="20"/>
                <w:szCs w:val="20"/>
              </w:rPr>
            </w:pPr>
            <w:r>
              <w:rPr>
                <w:rFonts w:ascii="Arial Narrow" w:hAnsi="Arial Narrow" w:cs="Calibri"/>
                <w:sz w:val="20"/>
                <w:szCs w:val="20"/>
              </w:rPr>
              <w:t xml:space="preserve">КТЭЦ-1</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191"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204,000</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186"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204,000</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598"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0,000</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356"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204,000</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543"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0,000</w:t>
            </w:r>
            <w:r>
              <w:rPr>
                <w:rFonts w:ascii="Arial Narrow" w:hAnsi="Arial Narrow"/>
                <w:sz w:val="20"/>
                <w:szCs w:val="20"/>
              </w:rPr>
            </w:r>
            <w:r>
              <w:rPr>
                <w:rFonts w:ascii="Arial Narrow" w:hAnsi="Arial Narrow"/>
                <w:sz w:val="20"/>
                <w:szCs w:val="20"/>
              </w:rPr>
            </w:r>
          </w:p>
        </w:tc>
      </w:tr>
      <w:tr>
        <w:trPr>
          <w:cantSplit/>
          <w:jc w:val="center"/>
          <w:trHeight w:val="43"/>
        </w:trPr>
        <w:tc>
          <w:tcPr>
            <w:tcBorders>
              <w:top w:val="single" w:color="000000" w:sz="4" w:space="0"/>
              <w:left w:val="single" w:color="000000" w:sz="4" w:space="0"/>
              <w:bottom w:val="single" w:color="000000" w:sz="4" w:space="0"/>
              <w:right w:val="single" w:color="000000" w:sz="4" w:space="0"/>
            </w:tcBorders>
            <w:tcW w:w="521"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2</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2659" w:type="dxa"/>
            <w:textDirection w:val="lrTb"/>
            <w:noWrap w:val="false"/>
          </w:tcPr>
          <w:p>
            <w:pPr>
              <w:pStyle w:val="1063"/>
              <w:widowControl w:val="off"/>
              <w:rPr>
                <w:rFonts w:ascii="Arial Narrow" w:hAnsi="Arial Narrow"/>
                <w:sz w:val="20"/>
                <w:szCs w:val="20"/>
              </w:rPr>
            </w:pPr>
            <w:r>
              <w:rPr>
                <w:rFonts w:ascii="Arial Narrow" w:hAnsi="Arial Narrow" w:cs="Calibri"/>
                <w:sz w:val="20"/>
                <w:szCs w:val="20"/>
              </w:rPr>
              <w:t xml:space="preserve">КТЭЦ-2</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191"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160,000</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186"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160,000</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598"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0,000</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356"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160,000</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543"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0,000</w:t>
            </w:r>
            <w:r>
              <w:rPr>
                <w:rFonts w:ascii="Arial Narrow" w:hAnsi="Arial Narrow"/>
                <w:sz w:val="20"/>
                <w:szCs w:val="20"/>
              </w:rPr>
            </w:r>
            <w:r>
              <w:rPr>
                <w:rFonts w:ascii="Arial Narrow" w:hAnsi="Arial Narrow"/>
                <w:sz w:val="20"/>
                <w:szCs w:val="20"/>
              </w:rPr>
            </w:r>
          </w:p>
        </w:tc>
      </w:tr>
      <w:tr>
        <w:trPr>
          <w:cantSplit/>
          <w:jc w:val="center"/>
          <w:trHeight w:val="43"/>
        </w:trPr>
        <w:tc>
          <w:tcPr>
            <w:tcBorders>
              <w:top w:val="single" w:color="000000" w:sz="4" w:space="0"/>
              <w:left w:val="single" w:color="000000" w:sz="4" w:space="0"/>
              <w:bottom w:val="single" w:color="000000" w:sz="4" w:space="0"/>
              <w:right w:val="single" w:color="000000" w:sz="4" w:space="0"/>
            </w:tcBorders>
            <w:tcW w:w="521"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3</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2659" w:type="dxa"/>
            <w:textDirection w:val="lrTb"/>
            <w:noWrap w:val="false"/>
          </w:tcPr>
          <w:p>
            <w:pPr>
              <w:pStyle w:val="1063"/>
              <w:widowControl w:val="off"/>
              <w:rPr>
                <w:rFonts w:ascii="Arial Narrow" w:hAnsi="Arial Narrow"/>
                <w:sz w:val="20"/>
                <w:szCs w:val="20"/>
              </w:rPr>
            </w:pPr>
            <w:r>
              <w:rPr>
                <w:rFonts w:ascii="Arial Narrow" w:hAnsi="Arial Narrow" w:cs="Calibri"/>
                <w:sz w:val="20"/>
                <w:szCs w:val="20"/>
              </w:rPr>
              <w:t xml:space="preserve">Резервные ДЭС</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191"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11,750</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186"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11,750</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598"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0,000</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356"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13,750</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543"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2,000</w:t>
            </w:r>
            <w:r>
              <w:rPr>
                <w:rFonts w:ascii="Arial Narrow" w:hAnsi="Arial Narrow"/>
                <w:sz w:val="20"/>
                <w:szCs w:val="20"/>
              </w:rPr>
            </w:r>
            <w:r>
              <w:rPr>
                <w:rFonts w:ascii="Arial Narrow" w:hAnsi="Arial Narrow"/>
                <w:sz w:val="20"/>
                <w:szCs w:val="20"/>
              </w:rPr>
            </w:r>
          </w:p>
        </w:tc>
      </w:tr>
      <w:tr>
        <w:trPr>
          <w:cantSplit/>
          <w:jc w:val="center"/>
          <w:trHeight w:val="50"/>
        </w:trPr>
        <w:tc>
          <w:tcPr>
            <w:tcBorders>
              <w:top w:val="single" w:color="000000" w:sz="4" w:space="0"/>
              <w:left w:val="single" w:color="000000" w:sz="4" w:space="0"/>
              <w:bottom w:val="single" w:color="000000" w:sz="4" w:space="0"/>
              <w:right w:val="single" w:color="000000" w:sz="4" w:space="0"/>
            </w:tcBorders>
            <w:tcW w:w="521"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4</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2659" w:type="dxa"/>
            <w:textDirection w:val="lrTb"/>
            <w:noWrap w:val="false"/>
          </w:tcPr>
          <w:p>
            <w:pPr>
              <w:pStyle w:val="1063"/>
              <w:widowControl w:val="off"/>
              <w:rPr>
                <w:rFonts w:ascii="Arial Narrow" w:hAnsi="Arial Narrow"/>
                <w:sz w:val="20"/>
                <w:szCs w:val="20"/>
              </w:rPr>
            </w:pPr>
            <w:r>
              <w:rPr>
                <w:rFonts w:ascii="Arial Narrow" w:hAnsi="Arial Narrow" w:cs="Calibri"/>
                <w:sz w:val="20"/>
                <w:szCs w:val="20"/>
              </w:rPr>
              <w:t xml:space="preserve">Мутновская ГеоЭС</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191"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50,000</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186"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50,000</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598"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0,000</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356"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50,000</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543"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0,000</w:t>
            </w:r>
            <w:r>
              <w:rPr>
                <w:rFonts w:ascii="Arial Narrow" w:hAnsi="Arial Narrow"/>
                <w:sz w:val="20"/>
                <w:szCs w:val="20"/>
              </w:rPr>
            </w:r>
            <w:r>
              <w:rPr>
                <w:rFonts w:ascii="Arial Narrow" w:hAnsi="Arial Narrow"/>
                <w:sz w:val="20"/>
                <w:szCs w:val="20"/>
              </w:rPr>
            </w:r>
          </w:p>
        </w:tc>
      </w:tr>
      <w:tr>
        <w:trPr>
          <w:jc w:val="center"/>
          <w:trHeight w:val="41"/>
        </w:trPr>
        <w:tc>
          <w:tcPr>
            <w:tcBorders>
              <w:top w:val="single" w:color="000000" w:sz="4" w:space="0"/>
              <w:left w:val="single" w:color="000000" w:sz="4" w:space="0"/>
              <w:bottom w:val="single" w:color="000000" w:sz="4" w:space="0"/>
              <w:right w:val="single" w:color="000000" w:sz="4" w:space="0"/>
            </w:tcBorders>
            <w:tcW w:w="521"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5</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2659" w:type="dxa"/>
            <w:textDirection w:val="lrTb"/>
            <w:noWrap w:val="false"/>
          </w:tcPr>
          <w:p>
            <w:pPr>
              <w:pStyle w:val="1063"/>
              <w:widowControl w:val="off"/>
              <w:rPr>
                <w:rFonts w:ascii="Arial Narrow" w:hAnsi="Arial Narrow"/>
                <w:sz w:val="20"/>
                <w:szCs w:val="20"/>
              </w:rPr>
            </w:pPr>
            <w:r>
              <w:rPr>
                <w:rFonts w:ascii="Arial Narrow" w:hAnsi="Arial Narrow" w:cs="Calibri"/>
                <w:sz w:val="20"/>
                <w:szCs w:val="20"/>
              </w:rPr>
              <w:t xml:space="preserve">Верхне-Мутновская ГеоЭС</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191"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12,000</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186"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12,000</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598"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0,000</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356"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12,000</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543"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0,000</w:t>
            </w:r>
            <w:r>
              <w:rPr>
                <w:rFonts w:ascii="Arial Narrow" w:hAnsi="Arial Narrow"/>
                <w:sz w:val="20"/>
                <w:szCs w:val="20"/>
              </w:rPr>
            </w:r>
            <w:r>
              <w:rPr>
                <w:rFonts w:ascii="Arial Narrow" w:hAnsi="Arial Narrow"/>
                <w:sz w:val="20"/>
                <w:szCs w:val="20"/>
              </w:rPr>
            </w:r>
          </w:p>
        </w:tc>
      </w:tr>
      <w:tr>
        <w:trPr>
          <w:jc w:val="center"/>
          <w:trHeight w:val="41"/>
        </w:trPr>
        <w:tc>
          <w:tcPr>
            <w:tcBorders>
              <w:top w:val="single" w:color="000000" w:sz="4" w:space="0"/>
              <w:left w:val="single" w:color="000000" w:sz="4" w:space="0"/>
              <w:bottom w:val="single" w:color="000000" w:sz="4" w:space="0"/>
              <w:right w:val="single" w:color="000000" w:sz="4" w:space="0"/>
            </w:tcBorders>
            <w:tcW w:w="521"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6</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2659" w:type="dxa"/>
            <w:textDirection w:val="lrTb"/>
            <w:noWrap w:val="false"/>
          </w:tcPr>
          <w:p>
            <w:pPr>
              <w:pStyle w:val="1063"/>
              <w:widowControl w:val="off"/>
              <w:rPr>
                <w:rFonts w:ascii="Arial Narrow" w:hAnsi="Arial Narrow"/>
                <w:sz w:val="20"/>
                <w:szCs w:val="20"/>
              </w:rPr>
            </w:pPr>
            <w:r>
              <w:rPr>
                <w:rFonts w:ascii="Arial Narrow" w:hAnsi="Arial Narrow" w:cs="Calibri"/>
                <w:sz w:val="20"/>
                <w:szCs w:val="20"/>
              </w:rPr>
              <w:t xml:space="preserve">Паужетская ГеоЭС</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191"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12,000</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186"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12,000</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598"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0,000</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356"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12,000</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543"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0,000</w:t>
            </w:r>
            <w:r>
              <w:rPr>
                <w:rFonts w:ascii="Arial Narrow" w:hAnsi="Arial Narrow"/>
                <w:sz w:val="20"/>
                <w:szCs w:val="20"/>
              </w:rPr>
            </w:r>
            <w:r>
              <w:rPr>
                <w:rFonts w:ascii="Arial Narrow" w:hAnsi="Arial Narrow"/>
                <w:sz w:val="20"/>
                <w:szCs w:val="20"/>
              </w:rPr>
            </w:r>
          </w:p>
        </w:tc>
      </w:tr>
      <w:tr>
        <w:trPr>
          <w:jc w:val="center"/>
          <w:trHeight w:val="41"/>
        </w:trPr>
        <w:tc>
          <w:tcPr>
            <w:tcBorders>
              <w:top w:val="single" w:color="000000" w:sz="4" w:space="0"/>
              <w:left w:val="single" w:color="000000" w:sz="4" w:space="0"/>
              <w:bottom w:val="single" w:color="000000" w:sz="4" w:space="0"/>
              <w:right w:val="single" w:color="000000" w:sz="4" w:space="0"/>
            </w:tcBorders>
            <w:tcW w:w="521"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7</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2659" w:type="dxa"/>
            <w:textDirection w:val="lrTb"/>
            <w:noWrap w:val="false"/>
          </w:tcPr>
          <w:p>
            <w:pPr>
              <w:pStyle w:val="1063"/>
              <w:widowControl w:val="off"/>
              <w:rPr>
                <w:rFonts w:ascii="Arial Narrow" w:hAnsi="Arial Narrow"/>
                <w:sz w:val="20"/>
                <w:szCs w:val="20"/>
              </w:rPr>
            </w:pPr>
            <w:r>
              <w:rPr>
                <w:rFonts w:ascii="Arial Narrow" w:hAnsi="Arial Narrow" w:cs="Calibri"/>
                <w:sz w:val="20"/>
                <w:szCs w:val="20"/>
              </w:rPr>
              <w:t xml:space="preserve">Озерновские ДЭС</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191"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5,570</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186"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5,570</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598"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0,000</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356"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5,570</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543"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0,000</w:t>
            </w:r>
            <w:r>
              <w:rPr>
                <w:rFonts w:ascii="Arial Narrow" w:hAnsi="Arial Narrow"/>
                <w:sz w:val="20"/>
                <w:szCs w:val="20"/>
              </w:rPr>
            </w:r>
            <w:r>
              <w:rPr>
                <w:rFonts w:ascii="Arial Narrow" w:hAnsi="Arial Narrow"/>
                <w:sz w:val="20"/>
                <w:szCs w:val="20"/>
              </w:rPr>
            </w:r>
          </w:p>
        </w:tc>
      </w:tr>
      <w:tr>
        <w:trPr>
          <w:cantSplit/>
          <w:jc w:val="center"/>
          <w:trHeight w:val="50"/>
        </w:trPr>
        <w:tc>
          <w:tcPr>
            <w:tcBorders>
              <w:top w:val="single" w:color="000000" w:sz="4" w:space="0"/>
              <w:left w:val="single" w:color="000000" w:sz="4" w:space="0"/>
              <w:bottom w:val="single" w:color="000000" w:sz="4" w:space="0"/>
              <w:right w:val="single" w:color="000000" w:sz="4" w:space="0"/>
            </w:tcBorders>
            <w:tcW w:w="521"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r>
            <w:r>
              <w:rPr>
                <w:rFonts w:ascii="Arial Narrow" w:hAnsi="Arial Narrow" w:cs="Calibri"/>
                <w:sz w:val="20"/>
                <w:szCs w:val="20"/>
              </w:rPr>
            </w:r>
            <w:r>
              <w:rPr>
                <w:rFonts w:ascii="Arial Narrow" w:hAnsi="Arial Narrow" w:cs="Calibri"/>
                <w:sz w:val="20"/>
                <w:szCs w:val="20"/>
              </w:rPr>
            </w:r>
          </w:p>
        </w:tc>
        <w:tc>
          <w:tcPr>
            <w:tcBorders>
              <w:top w:val="single" w:color="000000" w:sz="4" w:space="0"/>
              <w:left w:val="single" w:color="000000" w:sz="4" w:space="0"/>
              <w:bottom w:val="single" w:color="000000" w:sz="4" w:space="0"/>
              <w:right w:val="single" w:color="000000" w:sz="4" w:space="0"/>
            </w:tcBorders>
            <w:tcW w:w="2659" w:type="dxa"/>
            <w:vAlign w:val="center"/>
            <w:textDirection w:val="lrTb"/>
            <w:noWrap w:val="false"/>
          </w:tcPr>
          <w:p>
            <w:pPr>
              <w:pStyle w:val="1063"/>
              <w:widowControl w:val="off"/>
              <w:rPr>
                <w:rFonts w:ascii="Arial Narrow" w:hAnsi="Arial Narrow"/>
                <w:sz w:val="20"/>
                <w:szCs w:val="20"/>
              </w:rPr>
            </w:pPr>
            <w:r>
              <w:rPr>
                <w:rFonts w:ascii="Arial Narrow" w:hAnsi="Arial Narrow" w:cs="Calibri"/>
                <w:sz w:val="20"/>
                <w:szCs w:val="20"/>
              </w:rPr>
              <w:t xml:space="preserve">ИТОГО:</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191" w:type="dxa"/>
            <w:textDirection w:val="lrTb"/>
            <w:noWrap w:val="false"/>
          </w:tcPr>
          <w:p>
            <w:pPr>
              <w:pStyle w:val="1063"/>
              <w:jc w:val="center"/>
              <w:widowControl w:val="off"/>
              <w:rPr>
                <w:rFonts w:ascii="Arial Narrow" w:hAnsi="Arial Narrow"/>
                <w:sz w:val="20"/>
                <w:szCs w:val="20"/>
              </w:rPr>
            </w:pPr>
            <w:r>
              <w:rPr>
                <w:rFonts w:ascii="Arial Narrow" w:hAnsi="Arial Narrow" w:cs="Calibri"/>
                <w:bCs/>
                <w:sz w:val="20"/>
                <w:szCs w:val="20"/>
              </w:rPr>
              <w:t xml:space="preserve">455,320</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186" w:type="dxa"/>
            <w:textDirection w:val="lrTb"/>
            <w:noWrap w:val="false"/>
          </w:tcPr>
          <w:p>
            <w:pPr>
              <w:pStyle w:val="1063"/>
              <w:jc w:val="center"/>
              <w:widowControl w:val="off"/>
              <w:rPr>
                <w:rFonts w:ascii="Arial Narrow" w:hAnsi="Arial Narrow"/>
                <w:sz w:val="20"/>
                <w:szCs w:val="20"/>
              </w:rPr>
            </w:pPr>
            <w:r>
              <w:rPr>
                <w:rFonts w:ascii="Arial Narrow" w:hAnsi="Arial Narrow" w:cs="Calibri"/>
                <w:bCs/>
                <w:sz w:val="20"/>
                <w:szCs w:val="20"/>
              </w:rPr>
              <w:t xml:space="preserve">455,320</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598"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0,000</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356" w:type="dxa"/>
            <w:textDirection w:val="lrTb"/>
            <w:noWrap w:val="false"/>
          </w:tcPr>
          <w:p>
            <w:pPr>
              <w:pStyle w:val="1063"/>
              <w:jc w:val="center"/>
              <w:widowControl w:val="off"/>
              <w:rPr>
                <w:rFonts w:ascii="Arial Narrow" w:hAnsi="Arial Narrow"/>
                <w:sz w:val="20"/>
                <w:szCs w:val="20"/>
              </w:rPr>
            </w:pPr>
            <w:r>
              <w:rPr>
                <w:rFonts w:ascii="Arial Narrow" w:hAnsi="Arial Narrow" w:cs="Calibri"/>
                <w:bCs/>
                <w:sz w:val="20"/>
                <w:szCs w:val="20"/>
              </w:rPr>
              <w:t xml:space="preserve">457,320</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543"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2,000</w:t>
            </w:r>
            <w:r>
              <w:rPr>
                <w:rFonts w:ascii="Arial Narrow" w:hAnsi="Arial Narrow"/>
                <w:sz w:val="20"/>
                <w:szCs w:val="20"/>
              </w:rPr>
            </w:r>
            <w:r>
              <w:rPr>
                <w:rFonts w:ascii="Arial Narrow" w:hAnsi="Arial Narrow"/>
                <w:sz w:val="20"/>
                <w:szCs w:val="20"/>
              </w:rPr>
            </w:r>
          </w:p>
        </w:tc>
      </w:tr>
    </w:tbl>
    <w:p>
      <w:pPr>
        <w:pStyle w:val="1063"/>
        <w:ind w:firstLine="567"/>
        <w:jc w:val="both"/>
        <w:rPr>
          <w:rFonts w:ascii="Arial Narrow" w:hAnsi="Arial Narrow"/>
          <w:color w:val="0f0d29"/>
          <w:lang w:eastAsia="ru-RU"/>
        </w:rPr>
      </w:pPr>
      <w:r>
        <w:rPr>
          <w:rFonts w:ascii="Arial Narrow" w:hAnsi="Arial Narrow"/>
          <w:color w:val="0f0d29"/>
          <w:lang w:eastAsia="ru-RU"/>
        </w:rPr>
      </w:r>
      <w:r>
        <w:rPr>
          <w:rFonts w:ascii="Arial Narrow" w:hAnsi="Arial Narrow"/>
          <w:color w:val="0f0d29"/>
          <w:lang w:eastAsia="ru-RU"/>
        </w:rPr>
      </w:r>
      <w:r>
        <w:rPr>
          <w:rFonts w:ascii="Arial Narrow" w:hAnsi="Arial Narrow"/>
          <w:color w:val="0f0d29"/>
          <w:lang w:eastAsia="ru-RU"/>
        </w:rPr>
      </w:r>
    </w:p>
    <w:p>
      <w:pPr>
        <w:pStyle w:val="1063"/>
        <w:ind w:firstLine="567"/>
        <w:jc w:val="both"/>
      </w:pPr>
      <w:r>
        <w:rPr>
          <w:rFonts w:ascii="Arial Narrow" w:hAnsi="Arial Narrow"/>
          <w:color w:val="0f0d29"/>
          <w:lang w:eastAsia="ru-RU"/>
        </w:rPr>
        <w:t xml:space="preserve">Увеличение   установленной мощности на 2,000 МВт. и  составляет 457,320 МВт.</w:t>
      </w:r>
      <w:r/>
    </w:p>
    <w:p>
      <w:pPr>
        <w:pStyle w:val="1063"/>
        <w:ind w:firstLine="567"/>
        <w:jc w:val="both"/>
      </w:pPr>
      <w:r>
        <w:rPr>
          <w:rFonts w:ascii="Arial Narrow" w:hAnsi="Arial Narrow"/>
          <w:color w:val="0f0d29"/>
          <w:lang w:eastAsia="ru-RU"/>
        </w:rPr>
        <w:t xml:space="preserve">С 01.01.2024 года на ДЭС-5 введены два дизель-генератора установленной мощностью 1,000 МВт, на основании Приказ</w:t>
      </w:r>
      <w:r>
        <w:rPr>
          <w:rFonts w:ascii="Arial Narrow" w:hAnsi="Arial Narrow"/>
          <w:color w:val="0f0d29"/>
          <w:lang w:eastAsia="ru-RU"/>
        </w:rPr>
        <w:t xml:space="preserve">а филиала ПАО «Камчатскэнерго» от 29.12.2023 № 1313А. «О вводе в эксплуатацию законченного реконструкцией объекта, реализованного в рамках инвестиционной программы под титулом «Техперевооружение ДЭС-5 (установка дополнительного дизель-генератора - 2 шт.)».</w:t>
      </w:r>
      <w:r/>
    </w:p>
    <w:p>
      <w:pPr>
        <w:pStyle w:val="1096"/>
        <w:ind w:left="0" w:right="-5"/>
        <w:jc w:val="both"/>
        <w:spacing w:after="0" w:line="276" w:lineRule="auto"/>
        <w:rPr>
          <w:rFonts w:ascii="Arial Narrow" w:hAnsi="Arial Narrow" w:cs="Calibri"/>
          <w:b/>
          <w:color w:val="314e87"/>
          <w:sz w:val="24"/>
          <w:szCs w:val="24"/>
        </w:rPr>
      </w:pPr>
      <w:r>
        <w:rPr>
          <w:rFonts w:ascii="Arial Narrow" w:hAnsi="Arial Narrow" w:cs="Calibri"/>
          <w:b/>
          <w:color w:val="314e87"/>
          <w:sz w:val="24"/>
          <w:szCs w:val="24"/>
        </w:rPr>
      </w:r>
      <w:r>
        <w:rPr>
          <w:rFonts w:ascii="Arial Narrow" w:hAnsi="Arial Narrow" w:cs="Calibri"/>
          <w:b/>
          <w:color w:val="314e87"/>
          <w:sz w:val="24"/>
          <w:szCs w:val="24"/>
        </w:rPr>
      </w:r>
      <w:r>
        <w:rPr>
          <w:rFonts w:ascii="Arial Narrow" w:hAnsi="Arial Narrow" w:cs="Calibri"/>
          <w:b/>
          <w:color w:val="314e87"/>
          <w:sz w:val="24"/>
          <w:szCs w:val="24"/>
        </w:rPr>
      </w:r>
    </w:p>
    <w:p>
      <w:pPr>
        <w:pStyle w:val="1096"/>
        <w:ind w:left="0" w:right="-5"/>
        <w:jc w:val="both"/>
        <w:spacing w:after="0" w:line="276" w:lineRule="auto"/>
      </w:pPr>
      <w:r>
        <w:rPr>
          <w:rFonts w:ascii="Arial Narrow" w:hAnsi="Arial Narrow" w:cs="Calibri"/>
          <w:b/>
          <w:color w:val="314e87"/>
          <w:sz w:val="24"/>
          <w:szCs w:val="24"/>
        </w:rPr>
        <w:t xml:space="preserve">Выработка электроэнергии станциями</w:t>
      </w:r>
      <w:r/>
    </w:p>
    <w:p>
      <w:pPr>
        <w:pStyle w:val="1063"/>
        <w:jc w:val="right"/>
      </w:pPr>
      <w:r>
        <w:rPr>
          <w:rFonts w:ascii="Arial Narrow" w:hAnsi="Arial Narrow" w:eastAsia="Calibri" w:cs="Calibri"/>
          <w:i/>
          <w:lang w:eastAsia="ja-JP"/>
        </w:rPr>
        <w:t xml:space="preserve">Таблица № 6, млн. кВтч</w:t>
      </w:r>
      <w:r/>
    </w:p>
    <w:tbl>
      <w:tblPr>
        <w:tblW w:w="5000" w:type="pct"/>
        <w:jc w:val="center"/>
        <w:tblLayout w:type="fixed"/>
        <w:tblLook w:val="04A0" w:firstRow="1" w:lastRow="0" w:firstColumn="1" w:lastColumn="0" w:noHBand="0" w:noVBand="1"/>
      </w:tblPr>
      <w:tblGrid>
        <w:gridCol w:w="543"/>
        <w:gridCol w:w="2991"/>
        <w:gridCol w:w="1023"/>
        <w:gridCol w:w="1110"/>
        <w:gridCol w:w="1558"/>
        <w:gridCol w:w="1299"/>
        <w:gridCol w:w="1755"/>
      </w:tblGrid>
      <w:tr>
        <w:trPr>
          <w:jc w:val="center"/>
          <w:trHeight w:val="50"/>
        </w:trPr>
        <w:tc>
          <w:tcPr>
            <w:tcBorders>
              <w:top w:val="single" w:color="000000" w:sz="4" w:space="0"/>
              <w:left w:val="single" w:color="000000" w:sz="4" w:space="0"/>
              <w:bottom w:val="single" w:color="000000" w:sz="4" w:space="0"/>
              <w:right w:val="single" w:color="000000" w:sz="4" w:space="0"/>
            </w:tcBorders>
            <w:tcW w:w="531" w:type="dxa"/>
            <w:textDirection w:val="lrTb"/>
            <w:noWrap w:val="false"/>
          </w:tcPr>
          <w:p>
            <w:pPr>
              <w:pStyle w:val="1063"/>
              <w:jc w:val="center"/>
              <w:widowControl w:val="off"/>
              <w:rPr>
                <w:sz w:val="20"/>
                <w:szCs w:val="20"/>
              </w:rPr>
            </w:pPr>
            <w:r>
              <w:rPr>
                <w:rFonts w:ascii="Arial Narrow" w:hAnsi="Arial Narrow" w:cs="Calibri"/>
                <w:sz w:val="20"/>
                <w:szCs w:val="20"/>
              </w:rPr>
              <w:t xml:space="preserve">№ п/п</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292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Наименование станции</w:t>
            </w:r>
            <w:r>
              <w:rPr>
                <w:sz w:val="20"/>
                <w:szCs w:val="20"/>
              </w:rPr>
            </w:r>
            <w:r>
              <w:rPr>
                <w:sz w:val="20"/>
                <w:szCs w:val="20"/>
              </w:rPr>
            </w:r>
          </w:p>
        </w:tc>
        <w:tc>
          <w:tcPr>
            <w:tcBorders>
              <w:top w:val="single" w:color="000000" w:sz="4" w:space="0"/>
              <w:bottom w:val="single" w:color="000000" w:sz="4" w:space="0"/>
              <w:right w:val="single" w:color="000000" w:sz="4" w:space="0"/>
            </w:tcBorders>
            <w:tcW w:w="1001"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2022 г.</w:t>
            </w:r>
            <w:r>
              <w:rPr>
                <w:sz w:val="20"/>
                <w:szCs w:val="20"/>
              </w:rPr>
            </w:r>
            <w:r>
              <w:rPr>
                <w:sz w:val="20"/>
                <w:szCs w:val="20"/>
              </w:rPr>
            </w:r>
          </w:p>
        </w:tc>
        <w:tc>
          <w:tcPr>
            <w:tcBorders>
              <w:top w:val="single" w:color="000000" w:sz="4" w:space="0"/>
              <w:bottom w:val="single" w:color="000000" w:sz="4" w:space="0"/>
              <w:right w:val="single" w:color="000000" w:sz="4" w:space="0"/>
            </w:tcBorders>
            <w:tcW w:w="108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2023 г.</w:t>
            </w:r>
            <w:r>
              <w:rPr>
                <w:sz w:val="20"/>
                <w:szCs w:val="20"/>
              </w:rPr>
            </w:r>
            <w:r>
              <w:rPr>
                <w:sz w:val="20"/>
                <w:szCs w:val="20"/>
              </w:rPr>
            </w:r>
          </w:p>
        </w:tc>
        <w:tc>
          <w:tcPr>
            <w:tcBorders>
              <w:top w:val="single" w:color="000000" w:sz="4" w:space="0"/>
              <w:bottom w:val="single" w:color="000000" w:sz="4" w:space="0"/>
              <w:right w:val="single" w:color="000000" w:sz="4" w:space="0"/>
            </w:tcBorders>
            <w:tcW w:w="152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Изменение</w:t>
            </w:r>
            <w:r>
              <w:rPr>
                <w:sz w:val="20"/>
                <w:szCs w:val="20"/>
              </w:rPr>
            </w:r>
            <w:r>
              <w:rPr>
                <w:sz w:val="20"/>
                <w:szCs w:val="20"/>
              </w:rPr>
            </w:r>
          </w:p>
          <w:p>
            <w:pPr>
              <w:pStyle w:val="1063"/>
              <w:jc w:val="center"/>
              <w:widowControl w:val="off"/>
              <w:rPr>
                <w:sz w:val="20"/>
                <w:szCs w:val="20"/>
              </w:rPr>
            </w:pPr>
            <w:r>
              <w:rPr>
                <w:rFonts w:ascii="Arial Narrow" w:hAnsi="Arial Narrow" w:cs="Calibri"/>
                <w:sz w:val="20"/>
                <w:szCs w:val="20"/>
              </w:rPr>
              <w:t xml:space="preserve">2023 г./2022 г.</w:t>
            </w:r>
            <w:r>
              <w:rPr>
                <w:sz w:val="20"/>
                <w:szCs w:val="20"/>
              </w:rPr>
            </w:r>
            <w:r>
              <w:rPr>
                <w:sz w:val="20"/>
                <w:szCs w:val="20"/>
              </w:rPr>
            </w:r>
          </w:p>
        </w:tc>
        <w:tc>
          <w:tcPr>
            <w:tcBorders>
              <w:top w:val="single" w:color="000000" w:sz="4" w:space="0"/>
              <w:bottom w:val="single" w:color="000000" w:sz="4" w:space="0"/>
              <w:right w:val="single" w:color="000000" w:sz="4" w:space="0"/>
            </w:tcBorders>
            <w:tcW w:w="127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2024 г.</w:t>
            </w:r>
            <w:r>
              <w:rPr>
                <w:sz w:val="20"/>
                <w:szCs w:val="20"/>
              </w:rPr>
            </w:r>
            <w:r>
              <w:rPr>
                <w:sz w:val="20"/>
                <w:szCs w:val="20"/>
              </w:rPr>
            </w:r>
          </w:p>
        </w:tc>
        <w:tc>
          <w:tcPr>
            <w:tcBorders>
              <w:top w:val="single" w:color="000000" w:sz="4" w:space="0"/>
              <w:bottom w:val="single" w:color="000000" w:sz="4" w:space="0"/>
              <w:right w:val="single" w:color="000000" w:sz="4" w:space="0"/>
            </w:tcBorders>
            <w:tcW w:w="171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Изменение</w:t>
            </w:r>
            <w:r>
              <w:rPr>
                <w:sz w:val="20"/>
                <w:szCs w:val="20"/>
              </w:rPr>
            </w:r>
            <w:r>
              <w:rPr>
                <w:sz w:val="20"/>
                <w:szCs w:val="20"/>
              </w:rPr>
            </w:r>
          </w:p>
          <w:p>
            <w:pPr>
              <w:pStyle w:val="1063"/>
              <w:jc w:val="center"/>
              <w:widowControl w:val="off"/>
              <w:rPr>
                <w:sz w:val="20"/>
                <w:szCs w:val="20"/>
              </w:rPr>
            </w:pPr>
            <w:r>
              <w:rPr>
                <w:rFonts w:ascii="Arial Narrow" w:hAnsi="Arial Narrow" w:cs="Calibri"/>
                <w:sz w:val="20"/>
                <w:szCs w:val="20"/>
              </w:rPr>
              <w:t xml:space="preserve">2024 г./2023 г.</w:t>
            </w:r>
            <w:r>
              <w:rPr>
                <w:sz w:val="20"/>
                <w:szCs w:val="20"/>
              </w:rPr>
            </w:r>
            <w:r>
              <w:rPr>
                <w:sz w:val="20"/>
                <w:szCs w:val="20"/>
              </w:rPr>
            </w:r>
          </w:p>
        </w:tc>
      </w:tr>
      <w:tr>
        <w:trPr>
          <w:jc w:val="center"/>
          <w:trHeight w:val="41"/>
        </w:trPr>
        <w:tc>
          <w:tcPr>
            <w:tcBorders>
              <w:left w:val="single" w:color="000000" w:sz="4" w:space="0"/>
              <w:bottom w:val="single" w:color="000000" w:sz="4" w:space="0"/>
              <w:right w:val="single" w:color="000000" w:sz="4" w:space="0"/>
            </w:tcBorders>
            <w:tcW w:w="531" w:type="dxa"/>
            <w:textDirection w:val="lrTb"/>
            <w:noWrap w:val="false"/>
          </w:tcPr>
          <w:p>
            <w:pPr>
              <w:pStyle w:val="1063"/>
              <w:jc w:val="center"/>
              <w:widowControl w:val="off"/>
              <w:rPr>
                <w:sz w:val="20"/>
                <w:szCs w:val="20"/>
              </w:rPr>
            </w:pPr>
            <w:r>
              <w:rPr>
                <w:rFonts w:ascii="Arial Narrow" w:hAnsi="Arial Narrow" w:cs="Calibri"/>
                <w:sz w:val="20"/>
                <w:szCs w:val="20"/>
              </w:rPr>
              <w:t xml:space="preserve">1</w:t>
            </w:r>
            <w:r>
              <w:rPr>
                <w:sz w:val="20"/>
                <w:szCs w:val="20"/>
              </w:rPr>
            </w:r>
            <w:r>
              <w:rPr>
                <w:sz w:val="20"/>
                <w:szCs w:val="20"/>
              </w:rPr>
            </w:r>
          </w:p>
        </w:tc>
        <w:tc>
          <w:tcPr>
            <w:tcBorders>
              <w:left w:val="single" w:color="000000" w:sz="4" w:space="0"/>
              <w:bottom w:val="single" w:color="000000" w:sz="4" w:space="0"/>
              <w:right w:val="single" w:color="000000" w:sz="4" w:space="0"/>
            </w:tcBorders>
            <w:tcW w:w="2928" w:type="dxa"/>
            <w:vAlign w:val="center"/>
            <w:textDirection w:val="lrTb"/>
            <w:noWrap w:val="false"/>
          </w:tcPr>
          <w:p>
            <w:pPr>
              <w:pStyle w:val="1063"/>
              <w:ind w:right="-107"/>
              <w:widowControl w:val="off"/>
              <w:rPr>
                <w:sz w:val="20"/>
                <w:szCs w:val="20"/>
              </w:rPr>
            </w:pPr>
            <w:r>
              <w:rPr>
                <w:rFonts w:ascii="Arial Narrow" w:hAnsi="Arial Narrow" w:cs="Calibri"/>
                <w:sz w:val="20"/>
                <w:szCs w:val="20"/>
              </w:rPr>
              <w:t xml:space="preserve">КТЭЦ-1</w:t>
            </w:r>
            <w:r>
              <w:rPr>
                <w:sz w:val="20"/>
                <w:szCs w:val="20"/>
              </w:rPr>
            </w:r>
            <w:r>
              <w:rPr>
                <w:sz w:val="20"/>
                <w:szCs w:val="20"/>
              </w:rPr>
            </w:r>
          </w:p>
        </w:tc>
        <w:tc>
          <w:tcPr>
            <w:tcBorders>
              <w:bottom w:val="single" w:color="000000" w:sz="4" w:space="0"/>
              <w:right w:val="single" w:color="000000" w:sz="4" w:space="0"/>
            </w:tcBorders>
            <w:tcW w:w="1001" w:type="dxa"/>
            <w:textDirection w:val="lrTb"/>
            <w:noWrap w:val="false"/>
          </w:tcPr>
          <w:p>
            <w:pPr>
              <w:pStyle w:val="1063"/>
              <w:jc w:val="center"/>
              <w:widowControl w:val="off"/>
              <w:rPr>
                <w:sz w:val="20"/>
                <w:szCs w:val="20"/>
              </w:rPr>
            </w:pPr>
            <w:r>
              <w:rPr>
                <w:rFonts w:ascii="Arial Narrow" w:hAnsi="Arial Narrow" w:cs="Calibri"/>
                <w:sz w:val="20"/>
                <w:szCs w:val="20"/>
              </w:rPr>
              <w:t xml:space="preserve">307,800</w:t>
            </w:r>
            <w:r>
              <w:rPr>
                <w:sz w:val="20"/>
                <w:szCs w:val="20"/>
              </w:rPr>
            </w:r>
            <w:r>
              <w:rPr>
                <w:sz w:val="20"/>
                <w:szCs w:val="20"/>
              </w:rPr>
            </w:r>
          </w:p>
        </w:tc>
        <w:tc>
          <w:tcPr>
            <w:tcBorders>
              <w:bottom w:val="single" w:color="000000" w:sz="4" w:space="0"/>
              <w:right w:val="single" w:color="000000" w:sz="4" w:space="0"/>
            </w:tcBorders>
            <w:tcW w:w="108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317,220</w:t>
            </w:r>
            <w:r>
              <w:rPr>
                <w:sz w:val="20"/>
                <w:szCs w:val="20"/>
              </w:rPr>
            </w:r>
            <w:r>
              <w:rPr>
                <w:sz w:val="20"/>
                <w:szCs w:val="20"/>
              </w:rPr>
            </w:r>
          </w:p>
        </w:tc>
        <w:tc>
          <w:tcPr>
            <w:tcBorders>
              <w:bottom w:val="single" w:color="000000" w:sz="4" w:space="0"/>
              <w:right w:val="single" w:color="000000" w:sz="4" w:space="0"/>
            </w:tcBorders>
            <w:tcW w:w="1525" w:type="dxa"/>
            <w:textDirection w:val="lrTb"/>
            <w:noWrap w:val="false"/>
          </w:tcPr>
          <w:p>
            <w:pPr>
              <w:pStyle w:val="1063"/>
              <w:jc w:val="center"/>
              <w:widowControl w:val="off"/>
              <w:rPr>
                <w:sz w:val="20"/>
                <w:szCs w:val="20"/>
              </w:rPr>
            </w:pPr>
            <w:r>
              <w:rPr>
                <w:rFonts w:ascii="Arial Narrow" w:hAnsi="Arial Narrow" w:cs="Calibri"/>
                <w:sz w:val="20"/>
                <w:szCs w:val="20"/>
              </w:rPr>
              <w:t xml:space="preserve">9,420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7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390,144</w:t>
            </w:r>
            <w:r>
              <w:rPr>
                <w:sz w:val="20"/>
                <w:szCs w:val="20"/>
              </w:rPr>
            </w:r>
            <w:r>
              <w:rPr>
                <w:sz w:val="20"/>
                <w:szCs w:val="20"/>
              </w:rPr>
            </w:r>
          </w:p>
        </w:tc>
        <w:tc>
          <w:tcPr>
            <w:tcBorders>
              <w:bottom w:val="single" w:color="000000" w:sz="4" w:space="0"/>
              <w:right w:val="single" w:color="000000" w:sz="4" w:space="0"/>
            </w:tcBorders>
            <w:tcW w:w="1718" w:type="dxa"/>
            <w:textDirection w:val="lrTb"/>
            <w:noWrap w:val="false"/>
          </w:tcPr>
          <w:p>
            <w:pPr>
              <w:pStyle w:val="1063"/>
              <w:jc w:val="center"/>
              <w:widowControl w:val="off"/>
              <w:rPr>
                <w:sz w:val="20"/>
                <w:szCs w:val="20"/>
              </w:rPr>
            </w:pPr>
            <w:r>
              <w:rPr>
                <w:rFonts w:ascii="Arial Narrow" w:hAnsi="Arial Narrow" w:cs="Calibri"/>
                <w:sz w:val="20"/>
                <w:szCs w:val="20"/>
              </w:rPr>
              <w:t xml:space="preserve">72,924</w:t>
            </w:r>
            <w:r>
              <w:rPr>
                <w:sz w:val="20"/>
                <w:szCs w:val="20"/>
              </w:rPr>
            </w:r>
            <w:r>
              <w:rPr>
                <w:sz w:val="20"/>
                <w:szCs w:val="20"/>
              </w:rPr>
            </w:r>
          </w:p>
        </w:tc>
      </w:tr>
      <w:tr>
        <w:trPr>
          <w:jc w:val="center"/>
          <w:trHeight w:val="280"/>
        </w:trPr>
        <w:tc>
          <w:tcPr>
            <w:tcBorders>
              <w:top w:val="single" w:color="000000" w:sz="4" w:space="0"/>
              <w:left w:val="single" w:color="000000" w:sz="4" w:space="0"/>
              <w:bottom w:val="single" w:color="000000" w:sz="4" w:space="0"/>
              <w:right w:val="single" w:color="000000" w:sz="4" w:space="0"/>
            </w:tcBorders>
            <w:tcW w:w="531" w:type="dxa"/>
            <w:textDirection w:val="lrTb"/>
            <w:noWrap w:val="false"/>
          </w:tcPr>
          <w:p>
            <w:pPr>
              <w:pStyle w:val="1063"/>
              <w:jc w:val="center"/>
              <w:widowControl w:val="off"/>
              <w:rPr>
                <w:sz w:val="20"/>
                <w:szCs w:val="20"/>
              </w:rPr>
            </w:pPr>
            <w:r>
              <w:rPr>
                <w:rFonts w:ascii="Arial Narrow" w:hAnsi="Arial Narrow" w:cs="Calibri"/>
                <w:sz w:val="20"/>
                <w:szCs w:val="20"/>
              </w:rPr>
              <w:t xml:space="preserve">2</w:t>
            </w:r>
            <w:r>
              <w:rPr>
                <w:sz w:val="20"/>
                <w:szCs w:val="20"/>
              </w:rPr>
            </w:r>
            <w:r>
              <w:rPr>
                <w:sz w:val="20"/>
                <w:szCs w:val="20"/>
              </w:rPr>
            </w:r>
          </w:p>
        </w:tc>
        <w:tc>
          <w:tcPr>
            <w:tcBorders>
              <w:left w:val="single" w:color="000000" w:sz="4" w:space="0"/>
              <w:bottom w:val="single" w:color="000000" w:sz="4" w:space="0"/>
              <w:right w:val="single" w:color="000000" w:sz="4" w:space="0"/>
            </w:tcBorders>
            <w:tcW w:w="2928" w:type="dxa"/>
            <w:vAlign w:val="center"/>
            <w:textDirection w:val="lrTb"/>
            <w:noWrap w:val="false"/>
          </w:tcPr>
          <w:p>
            <w:pPr>
              <w:pStyle w:val="1063"/>
              <w:ind w:right="-107"/>
              <w:widowControl w:val="off"/>
              <w:rPr>
                <w:sz w:val="20"/>
                <w:szCs w:val="20"/>
              </w:rPr>
            </w:pPr>
            <w:r>
              <w:rPr>
                <w:rFonts w:ascii="Arial Narrow" w:hAnsi="Arial Narrow" w:cs="Calibri"/>
                <w:sz w:val="20"/>
                <w:szCs w:val="20"/>
              </w:rPr>
              <w:t xml:space="preserve">КТЭЦ-2</w:t>
            </w:r>
            <w:r>
              <w:rPr>
                <w:sz w:val="20"/>
                <w:szCs w:val="20"/>
              </w:rPr>
            </w:r>
            <w:r>
              <w:rPr>
                <w:sz w:val="20"/>
                <w:szCs w:val="20"/>
              </w:rPr>
            </w:r>
          </w:p>
        </w:tc>
        <w:tc>
          <w:tcPr>
            <w:tcBorders>
              <w:bottom w:val="single" w:color="000000" w:sz="4" w:space="0"/>
              <w:right w:val="single" w:color="000000" w:sz="4" w:space="0"/>
            </w:tcBorders>
            <w:tcW w:w="1001" w:type="dxa"/>
            <w:textDirection w:val="lrTb"/>
            <w:noWrap w:val="false"/>
          </w:tcPr>
          <w:p>
            <w:pPr>
              <w:pStyle w:val="1063"/>
              <w:jc w:val="center"/>
              <w:widowControl w:val="off"/>
              <w:rPr>
                <w:sz w:val="20"/>
                <w:szCs w:val="20"/>
              </w:rPr>
            </w:pPr>
            <w:r>
              <w:rPr>
                <w:rFonts w:ascii="Arial Narrow" w:hAnsi="Arial Narrow" w:cs="Calibri"/>
                <w:sz w:val="20"/>
                <w:szCs w:val="20"/>
              </w:rPr>
              <w:t xml:space="preserve">811,816</w:t>
            </w:r>
            <w:r>
              <w:rPr>
                <w:sz w:val="20"/>
                <w:szCs w:val="20"/>
              </w:rPr>
            </w:r>
            <w:r>
              <w:rPr>
                <w:sz w:val="20"/>
                <w:szCs w:val="20"/>
              </w:rPr>
            </w:r>
          </w:p>
        </w:tc>
        <w:tc>
          <w:tcPr>
            <w:tcBorders>
              <w:top w:val="single" w:color="000000" w:sz="4" w:space="0"/>
              <w:bottom w:val="single" w:color="000000" w:sz="4" w:space="0"/>
              <w:right w:val="single" w:color="000000" w:sz="4" w:space="0"/>
            </w:tcBorders>
            <w:tcW w:w="108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843,224</w:t>
            </w:r>
            <w:r>
              <w:rPr>
                <w:sz w:val="20"/>
                <w:szCs w:val="20"/>
              </w:rPr>
            </w:r>
            <w:r>
              <w:rPr>
                <w:sz w:val="20"/>
                <w:szCs w:val="20"/>
              </w:rPr>
            </w:r>
          </w:p>
        </w:tc>
        <w:tc>
          <w:tcPr>
            <w:tcBorders>
              <w:top w:val="single" w:color="000000" w:sz="4" w:space="0"/>
              <w:bottom w:val="single" w:color="000000" w:sz="4" w:space="0"/>
              <w:right w:val="single" w:color="000000" w:sz="4" w:space="0"/>
            </w:tcBorders>
            <w:tcW w:w="1525" w:type="dxa"/>
            <w:textDirection w:val="lrTb"/>
            <w:noWrap w:val="false"/>
          </w:tcPr>
          <w:p>
            <w:pPr>
              <w:pStyle w:val="1063"/>
              <w:jc w:val="center"/>
              <w:widowControl w:val="off"/>
              <w:rPr>
                <w:sz w:val="20"/>
                <w:szCs w:val="20"/>
              </w:rPr>
            </w:pPr>
            <w:r>
              <w:rPr>
                <w:rFonts w:ascii="Arial Narrow" w:hAnsi="Arial Narrow" w:cs="Calibri"/>
                <w:sz w:val="20"/>
                <w:szCs w:val="20"/>
              </w:rPr>
              <w:t xml:space="preserve">31,408</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7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872,400</w:t>
            </w:r>
            <w:r>
              <w:rPr>
                <w:sz w:val="20"/>
                <w:szCs w:val="20"/>
              </w:rPr>
            </w:r>
            <w:r>
              <w:rPr>
                <w:sz w:val="20"/>
                <w:szCs w:val="20"/>
              </w:rPr>
            </w:r>
          </w:p>
        </w:tc>
        <w:tc>
          <w:tcPr>
            <w:tcBorders>
              <w:top w:val="single" w:color="000000" w:sz="4" w:space="0"/>
              <w:bottom w:val="single" w:color="000000" w:sz="4" w:space="0"/>
              <w:right w:val="single" w:color="000000" w:sz="4" w:space="0"/>
            </w:tcBorders>
            <w:tcW w:w="1718" w:type="dxa"/>
            <w:textDirection w:val="lrTb"/>
            <w:noWrap w:val="false"/>
          </w:tcPr>
          <w:p>
            <w:pPr>
              <w:pStyle w:val="1063"/>
              <w:jc w:val="center"/>
              <w:widowControl w:val="off"/>
              <w:rPr>
                <w:sz w:val="20"/>
                <w:szCs w:val="20"/>
              </w:rPr>
            </w:pPr>
            <w:r>
              <w:rPr>
                <w:rFonts w:ascii="Arial Narrow" w:hAnsi="Arial Narrow" w:cs="Calibri"/>
                <w:sz w:val="20"/>
                <w:szCs w:val="20"/>
              </w:rPr>
              <w:t xml:space="preserve">29,176</w:t>
            </w:r>
            <w:r>
              <w:rPr>
                <w:sz w:val="20"/>
                <w:szCs w:val="20"/>
              </w:rPr>
            </w:r>
            <w:r>
              <w:rPr>
                <w:sz w:val="20"/>
                <w:szCs w:val="20"/>
              </w:rPr>
            </w:r>
          </w:p>
        </w:tc>
      </w:tr>
      <w:tr>
        <w:trPr>
          <w:jc w:val="center"/>
          <w:trHeight w:val="41"/>
        </w:trPr>
        <w:tc>
          <w:tcPr>
            <w:tcBorders>
              <w:top w:val="single" w:color="000000" w:sz="4" w:space="0"/>
              <w:left w:val="single" w:color="000000" w:sz="4" w:space="0"/>
              <w:bottom w:val="single" w:color="000000" w:sz="4" w:space="0"/>
              <w:right w:val="single" w:color="000000" w:sz="4" w:space="0"/>
            </w:tcBorders>
            <w:tcW w:w="531" w:type="dxa"/>
            <w:textDirection w:val="lrTb"/>
            <w:noWrap w:val="false"/>
          </w:tcPr>
          <w:p>
            <w:pPr>
              <w:pStyle w:val="1063"/>
              <w:jc w:val="center"/>
              <w:widowControl w:val="off"/>
              <w:rPr>
                <w:sz w:val="20"/>
                <w:szCs w:val="20"/>
              </w:rPr>
            </w:pPr>
            <w:r>
              <w:rPr>
                <w:rFonts w:ascii="Arial Narrow" w:hAnsi="Arial Narrow" w:cs="Calibri"/>
                <w:sz w:val="20"/>
                <w:szCs w:val="20"/>
              </w:rPr>
              <w:t xml:space="preserve">3</w:t>
            </w:r>
            <w:r>
              <w:rPr>
                <w:sz w:val="20"/>
                <w:szCs w:val="20"/>
              </w:rPr>
            </w:r>
            <w:r>
              <w:rPr>
                <w:sz w:val="20"/>
                <w:szCs w:val="20"/>
              </w:rPr>
            </w:r>
          </w:p>
        </w:tc>
        <w:tc>
          <w:tcPr>
            <w:tcBorders>
              <w:left w:val="single" w:color="000000" w:sz="4" w:space="0"/>
              <w:bottom w:val="single" w:color="000000" w:sz="4" w:space="0"/>
              <w:right w:val="single" w:color="000000" w:sz="4" w:space="0"/>
            </w:tcBorders>
            <w:tcW w:w="2928" w:type="dxa"/>
            <w:vAlign w:val="center"/>
            <w:textDirection w:val="lrTb"/>
            <w:noWrap w:val="false"/>
          </w:tcPr>
          <w:p>
            <w:pPr>
              <w:pStyle w:val="1063"/>
              <w:ind w:right="-107"/>
              <w:widowControl w:val="off"/>
              <w:rPr>
                <w:sz w:val="20"/>
                <w:szCs w:val="20"/>
              </w:rPr>
            </w:pPr>
            <w:r>
              <w:rPr>
                <w:rFonts w:ascii="Arial Narrow" w:hAnsi="Arial Narrow" w:cs="Calibri"/>
                <w:sz w:val="20"/>
                <w:szCs w:val="20"/>
              </w:rPr>
              <w:t xml:space="preserve">ДЭС ТЭЦ-2</w:t>
            </w:r>
            <w:r>
              <w:rPr>
                <w:sz w:val="20"/>
                <w:szCs w:val="20"/>
              </w:rPr>
            </w:r>
            <w:r>
              <w:rPr>
                <w:sz w:val="20"/>
                <w:szCs w:val="20"/>
              </w:rPr>
            </w:r>
          </w:p>
        </w:tc>
        <w:tc>
          <w:tcPr>
            <w:tcBorders>
              <w:bottom w:val="single" w:color="000000" w:sz="4" w:space="0"/>
              <w:right w:val="single" w:color="000000" w:sz="4" w:space="0"/>
            </w:tcBorders>
            <w:tcW w:w="1001" w:type="dxa"/>
            <w:textDirection w:val="lrTb"/>
            <w:noWrap w:val="false"/>
          </w:tcPr>
          <w:p>
            <w:pPr>
              <w:pStyle w:val="1063"/>
              <w:jc w:val="center"/>
              <w:widowControl w:val="off"/>
              <w:rPr>
                <w:sz w:val="20"/>
                <w:szCs w:val="20"/>
              </w:rPr>
            </w:pPr>
            <w:r>
              <w:rPr>
                <w:rFonts w:ascii="Arial Narrow" w:hAnsi="Arial Narrow" w:cs="Calibri"/>
                <w:sz w:val="20"/>
                <w:szCs w:val="20"/>
              </w:rPr>
              <w:t xml:space="preserve">0,0150</w:t>
            </w:r>
            <w:r>
              <w:rPr>
                <w:sz w:val="20"/>
                <w:szCs w:val="20"/>
              </w:rPr>
            </w:r>
            <w:r>
              <w:rPr>
                <w:sz w:val="20"/>
                <w:szCs w:val="20"/>
              </w:rPr>
            </w:r>
          </w:p>
        </w:tc>
        <w:tc>
          <w:tcPr>
            <w:tcBorders>
              <w:top w:val="single" w:color="000000" w:sz="4" w:space="0"/>
              <w:bottom w:val="single" w:color="000000" w:sz="4" w:space="0"/>
              <w:right w:val="single" w:color="000000" w:sz="4" w:space="0"/>
            </w:tcBorders>
            <w:tcW w:w="108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0,025</w:t>
            </w:r>
            <w:r>
              <w:rPr>
                <w:sz w:val="20"/>
                <w:szCs w:val="20"/>
              </w:rPr>
            </w:r>
            <w:r>
              <w:rPr>
                <w:sz w:val="20"/>
                <w:szCs w:val="20"/>
              </w:rPr>
            </w:r>
          </w:p>
        </w:tc>
        <w:tc>
          <w:tcPr>
            <w:tcBorders>
              <w:top w:val="single" w:color="000000" w:sz="4" w:space="0"/>
              <w:bottom w:val="single" w:color="000000" w:sz="4" w:space="0"/>
              <w:right w:val="single" w:color="000000" w:sz="4" w:space="0"/>
            </w:tcBorders>
            <w:tcW w:w="1525" w:type="dxa"/>
            <w:textDirection w:val="lrTb"/>
            <w:noWrap w:val="false"/>
          </w:tcPr>
          <w:p>
            <w:pPr>
              <w:pStyle w:val="1063"/>
              <w:jc w:val="center"/>
              <w:widowControl w:val="off"/>
              <w:rPr>
                <w:sz w:val="20"/>
                <w:szCs w:val="20"/>
              </w:rPr>
            </w:pPr>
            <w:r>
              <w:rPr>
                <w:rFonts w:ascii="Arial Narrow" w:hAnsi="Arial Narrow" w:cs="Calibri"/>
                <w:sz w:val="20"/>
                <w:szCs w:val="20"/>
              </w:rPr>
              <w:t xml:space="preserve">0,010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7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0,031</w:t>
            </w:r>
            <w:r>
              <w:rPr>
                <w:sz w:val="20"/>
                <w:szCs w:val="20"/>
              </w:rPr>
            </w:r>
            <w:r>
              <w:rPr>
                <w:sz w:val="20"/>
                <w:szCs w:val="20"/>
              </w:rPr>
            </w:r>
          </w:p>
        </w:tc>
        <w:tc>
          <w:tcPr>
            <w:tcBorders>
              <w:top w:val="single" w:color="000000" w:sz="4" w:space="0"/>
              <w:bottom w:val="single" w:color="000000" w:sz="4" w:space="0"/>
              <w:right w:val="single" w:color="000000" w:sz="4" w:space="0"/>
            </w:tcBorders>
            <w:tcW w:w="1718" w:type="dxa"/>
            <w:textDirection w:val="lrTb"/>
            <w:noWrap w:val="false"/>
          </w:tcPr>
          <w:p>
            <w:pPr>
              <w:pStyle w:val="1063"/>
              <w:jc w:val="center"/>
              <w:widowControl w:val="off"/>
              <w:rPr>
                <w:sz w:val="20"/>
                <w:szCs w:val="20"/>
              </w:rPr>
            </w:pPr>
            <w:r>
              <w:rPr>
                <w:rFonts w:ascii="Arial Narrow" w:hAnsi="Arial Narrow" w:cs="Calibri"/>
                <w:sz w:val="20"/>
                <w:szCs w:val="20"/>
              </w:rPr>
              <w:t xml:space="preserve">0,006</w:t>
            </w:r>
            <w:r>
              <w:rPr>
                <w:sz w:val="20"/>
                <w:szCs w:val="20"/>
              </w:rPr>
            </w:r>
            <w:r>
              <w:rPr>
                <w:sz w:val="20"/>
                <w:szCs w:val="20"/>
              </w:rPr>
            </w:r>
          </w:p>
        </w:tc>
      </w:tr>
      <w:tr>
        <w:trPr>
          <w:jc w:val="center"/>
          <w:trHeight w:val="41"/>
        </w:trPr>
        <w:tc>
          <w:tcPr>
            <w:tcBorders>
              <w:top w:val="single" w:color="000000" w:sz="4" w:space="0"/>
              <w:left w:val="single" w:color="000000" w:sz="4" w:space="0"/>
              <w:bottom w:val="single" w:color="000000" w:sz="4" w:space="0"/>
              <w:right w:val="single" w:color="000000" w:sz="4" w:space="0"/>
            </w:tcBorders>
            <w:tcW w:w="531" w:type="dxa"/>
            <w:textDirection w:val="lrTb"/>
            <w:noWrap w:val="false"/>
          </w:tcPr>
          <w:p>
            <w:pPr>
              <w:pStyle w:val="1063"/>
              <w:jc w:val="center"/>
              <w:widowControl w:val="off"/>
              <w:rPr>
                <w:sz w:val="20"/>
                <w:szCs w:val="20"/>
              </w:rPr>
            </w:pPr>
            <w:r>
              <w:rPr>
                <w:rFonts w:ascii="Arial Narrow" w:hAnsi="Arial Narrow" w:cs="Calibri"/>
                <w:sz w:val="20"/>
                <w:szCs w:val="20"/>
              </w:rPr>
              <w:t xml:space="preserve">4</w:t>
            </w:r>
            <w:r>
              <w:rPr>
                <w:sz w:val="20"/>
                <w:szCs w:val="20"/>
              </w:rPr>
            </w:r>
            <w:r>
              <w:rPr>
                <w:sz w:val="20"/>
                <w:szCs w:val="20"/>
              </w:rPr>
            </w:r>
          </w:p>
        </w:tc>
        <w:tc>
          <w:tcPr>
            <w:tcBorders>
              <w:left w:val="single" w:color="000000" w:sz="4" w:space="0"/>
              <w:bottom w:val="single" w:color="000000" w:sz="4" w:space="0"/>
              <w:right w:val="single" w:color="000000" w:sz="4" w:space="0"/>
            </w:tcBorders>
            <w:tcW w:w="2928" w:type="dxa"/>
            <w:vAlign w:val="bottom"/>
            <w:textDirection w:val="lrTb"/>
            <w:noWrap w:val="false"/>
          </w:tcPr>
          <w:p>
            <w:pPr>
              <w:pStyle w:val="1063"/>
              <w:widowControl w:val="off"/>
              <w:rPr>
                <w:sz w:val="20"/>
                <w:szCs w:val="20"/>
              </w:rPr>
            </w:pPr>
            <w:r>
              <w:rPr>
                <w:rFonts w:ascii="Arial Narrow" w:hAnsi="Arial Narrow" w:cs="Calibri"/>
                <w:sz w:val="20"/>
                <w:szCs w:val="20"/>
              </w:rPr>
              <w:t xml:space="preserve">Верхне-Мутновская ГеоЭС</w:t>
            </w:r>
            <w:r>
              <w:rPr>
                <w:sz w:val="20"/>
                <w:szCs w:val="20"/>
              </w:rPr>
            </w:r>
            <w:r>
              <w:rPr>
                <w:sz w:val="20"/>
                <w:szCs w:val="20"/>
              </w:rPr>
            </w:r>
          </w:p>
        </w:tc>
        <w:tc>
          <w:tcPr>
            <w:tcBorders>
              <w:bottom w:val="single" w:color="000000" w:sz="4" w:space="0"/>
              <w:right w:val="single" w:color="000000" w:sz="4" w:space="0"/>
            </w:tcBorders>
            <w:tcW w:w="1001" w:type="dxa"/>
            <w:textDirection w:val="lrTb"/>
            <w:noWrap w:val="false"/>
          </w:tcPr>
          <w:p>
            <w:pPr>
              <w:pStyle w:val="1063"/>
              <w:jc w:val="center"/>
              <w:widowControl w:val="off"/>
              <w:rPr>
                <w:sz w:val="20"/>
                <w:szCs w:val="20"/>
              </w:rPr>
            </w:pPr>
            <w:r>
              <w:rPr>
                <w:rFonts w:ascii="Arial Narrow" w:hAnsi="Arial Narrow" w:cs="Calibri"/>
                <w:sz w:val="20"/>
                <w:szCs w:val="20"/>
              </w:rPr>
              <w:t xml:space="preserve">57,579</w:t>
            </w:r>
            <w:r>
              <w:rPr>
                <w:sz w:val="20"/>
                <w:szCs w:val="20"/>
              </w:rPr>
            </w:r>
            <w:r>
              <w:rPr>
                <w:sz w:val="20"/>
                <w:szCs w:val="20"/>
              </w:rPr>
            </w:r>
          </w:p>
        </w:tc>
        <w:tc>
          <w:tcPr>
            <w:tcBorders>
              <w:top w:val="single" w:color="000000" w:sz="4" w:space="0"/>
              <w:bottom w:val="single" w:color="000000" w:sz="4" w:space="0"/>
              <w:right w:val="single" w:color="000000" w:sz="4" w:space="0"/>
            </w:tcBorders>
            <w:tcW w:w="108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55,385</w:t>
            </w:r>
            <w:r>
              <w:rPr>
                <w:sz w:val="20"/>
                <w:szCs w:val="20"/>
              </w:rPr>
            </w:r>
            <w:r>
              <w:rPr>
                <w:sz w:val="20"/>
                <w:szCs w:val="20"/>
              </w:rPr>
            </w:r>
          </w:p>
        </w:tc>
        <w:tc>
          <w:tcPr>
            <w:tcBorders>
              <w:top w:val="single" w:color="000000" w:sz="4" w:space="0"/>
              <w:bottom w:val="single" w:color="000000" w:sz="4" w:space="0"/>
              <w:right w:val="single" w:color="000000" w:sz="4" w:space="0"/>
            </w:tcBorders>
            <w:tcW w:w="1525" w:type="dxa"/>
            <w:textDirection w:val="lrTb"/>
            <w:noWrap w:val="false"/>
          </w:tcPr>
          <w:p>
            <w:pPr>
              <w:pStyle w:val="1063"/>
              <w:jc w:val="center"/>
              <w:widowControl w:val="off"/>
              <w:rPr>
                <w:sz w:val="20"/>
                <w:szCs w:val="20"/>
              </w:rPr>
            </w:pPr>
            <w:r>
              <w:rPr>
                <w:rFonts w:ascii="Arial Narrow" w:hAnsi="Arial Narrow" w:cs="Calibri"/>
                <w:sz w:val="20"/>
                <w:szCs w:val="20"/>
              </w:rPr>
              <w:t xml:space="preserve">-2,194</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7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48,085</w:t>
            </w:r>
            <w:r>
              <w:rPr>
                <w:sz w:val="20"/>
                <w:szCs w:val="20"/>
              </w:rPr>
            </w:r>
            <w:r>
              <w:rPr>
                <w:sz w:val="20"/>
                <w:szCs w:val="20"/>
              </w:rPr>
            </w:r>
          </w:p>
        </w:tc>
        <w:tc>
          <w:tcPr>
            <w:tcBorders>
              <w:top w:val="single" w:color="000000" w:sz="4" w:space="0"/>
              <w:bottom w:val="single" w:color="000000" w:sz="4" w:space="0"/>
              <w:right w:val="single" w:color="000000" w:sz="4" w:space="0"/>
            </w:tcBorders>
            <w:tcW w:w="1718" w:type="dxa"/>
            <w:textDirection w:val="lrTb"/>
            <w:noWrap w:val="false"/>
          </w:tcPr>
          <w:p>
            <w:pPr>
              <w:pStyle w:val="1063"/>
              <w:jc w:val="center"/>
              <w:widowControl w:val="off"/>
              <w:rPr>
                <w:sz w:val="20"/>
                <w:szCs w:val="20"/>
              </w:rPr>
            </w:pPr>
            <w:r>
              <w:rPr>
                <w:rFonts w:ascii="Arial Narrow" w:hAnsi="Arial Narrow" w:cs="Calibri"/>
                <w:sz w:val="20"/>
                <w:szCs w:val="20"/>
              </w:rPr>
              <w:t xml:space="preserve">-7,300</w:t>
            </w:r>
            <w:r>
              <w:rPr>
                <w:sz w:val="20"/>
                <w:szCs w:val="20"/>
              </w:rPr>
            </w:r>
            <w:r>
              <w:rPr>
                <w:sz w:val="20"/>
                <w:szCs w:val="20"/>
              </w:rPr>
            </w:r>
          </w:p>
        </w:tc>
      </w:tr>
      <w:tr>
        <w:trPr>
          <w:jc w:val="center"/>
          <w:trHeight w:val="41"/>
        </w:trPr>
        <w:tc>
          <w:tcPr>
            <w:tcBorders>
              <w:top w:val="single" w:color="000000" w:sz="4" w:space="0"/>
              <w:left w:val="single" w:color="000000" w:sz="4" w:space="0"/>
              <w:bottom w:val="single" w:color="000000" w:sz="4" w:space="0"/>
              <w:right w:val="single" w:color="000000" w:sz="4" w:space="0"/>
            </w:tcBorders>
            <w:tcW w:w="531" w:type="dxa"/>
            <w:textDirection w:val="lrTb"/>
            <w:noWrap w:val="false"/>
          </w:tcPr>
          <w:p>
            <w:pPr>
              <w:pStyle w:val="1063"/>
              <w:jc w:val="center"/>
              <w:widowControl w:val="off"/>
              <w:rPr>
                <w:sz w:val="20"/>
                <w:szCs w:val="20"/>
              </w:rPr>
            </w:pPr>
            <w:r>
              <w:rPr>
                <w:rFonts w:ascii="Arial Narrow" w:hAnsi="Arial Narrow" w:cs="Calibri"/>
                <w:sz w:val="20"/>
                <w:szCs w:val="20"/>
              </w:rPr>
              <w:t xml:space="preserve">5</w:t>
            </w:r>
            <w:r>
              <w:rPr>
                <w:sz w:val="20"/>
                <w:szCs w:val="20"/>
              </w:rPr>
            </w:r>
            <w:r>
              <w:rPr>
                <w:sz w:val="20"/>
                <w:szCs w:val="20"/>
              </w:rPr>
            </w:r>
          </w:p>
        </w:tc>
        <w:tc>
          <w:tcPr>
            <w:tcBorders>
              <w:left w:val="single" w:color="000000" w:sz="4" w:space="0"/>
              <w:bottom w:val="single" w:color="000000" w:sz="4" w:space="0"/>
              <w:right w:val="single" w:color="000000" w:sz="4" w:space="0"/>
            </w:tcBorders>
            <w:tcW w:w="2928" w:type="dxa"/>
            <w:vAlign w:val="bottom"/>
            <w:textDirection w:val="lrTb"/>
            <w:noWrap w:val="false"/>
          </w:tcPr>
          <w:p>
            <w:pPr>
              <w:pStyle w:val="1063"/>
              <w:widowControl w:val="off"/>
              <w:rPr>
                <w:sz w:val="20"/>
                <w:szCs w:val="20"/>
              </w:rPr>
            </w:pPr>
            <w:r>
              <w:rPr>
                <w:rFonts w:ascii="Arial Narrow" w:hAnsi="Arial Narrow" w:cs="Calibri"/>
                <w:sz w:val="20"/>
                <w:szCs w:val="20"/>
              </w:rPr>
              <w:t xml:space="preserve">Мутновская ГеоЭС-1</w:t>
            </w:r>
            <w:r>
              <w:rPr>
                <w:sz w:val="20"/>
                <w:szCs w:val="20"/>
              </w:rPr>
            </w:r>
            <w:r>
              <w:rPr>
                <w:sz w:val="20"/>
                <w:szCs w:val="20"/>
              </w:rPr>
            </w:r>
          </w:p>
        </w:tc>
        <w:tc>
          <w:tcPr>
            <w:tcBorders>
              <w:bottom w:val="single" w:color="000000" w:sz="4" w:space="0"/>
              <w:right w:val="single" w:color="000000" w:sz="4" w:space="0"/>
            </w:tcBorders>
            <w:tcW w:w="1001" w:type="dxa"/>
            <w:textDirection w:val="lrTb"/>
            <w:noWrap w:val="false"/>
          </w:tcPr>
          <w:p>
            <w:pPr>
              <w:pStyle w:val="1063"/>
              <w:jc w:val="center"/>
              <w:widowControl w:val="off"/>
              <w:rPr>
                <w:sz w:val="20"/>
                <w:szCs w:val="20"/>
              </w:rPr>
            </w:pPr>
            <w:r>
              <w:rPr>
                <w:rFonts w:ascii="Arial Narrow" w:hAnsi="Arial Narrow" w:cs="Calibri"/>
                <w:sz w:val="20"/>
                <w:szCs w:val="20"/>
              </w:rPr>
              <w:t xml:space="preserve">346,692</w:t>
            </w:r>
            <w:r>
              <w:rPr>
                <w:sz w:val="20"/>
                <w:szCs w:val="20"/>
              </w:rPr>
            </w:r>
            <w:r>
              <w:rPr>
                <w:sz w:val="20"/>
                <w:szCs w:val="20"/>
              </w:rPr>
            </w:r>
          </w:p>
        </w:tc>
        <w:tc>
          <w:tcPr>
            <w:tcBorders>
              <w:top w:val="single" w:color="000000" w:sz="4" w:space="0"/>
              <w:bottom w:val="single" w:color="000000" w:sz="4" w:space="0"/>
              <w:right w:val="single" w:color="000000" w:sz="4" w:space="0"/>
            </w:tcBorders>
            <w:tcW w:w="108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3352,571</w:t>
            </w:r>
            <w:r>
              <w:rPr>
                <w:sz w:val="20"/>
                <w:szCs w:val="20"/>
              </w:rPr>
            </w:r>
            <w:r>
              <w:rPr>
                <w:sz w:val="20"/>
                <w:szCs w:val="20"/>
              </w:rPr>
            </w:r>
          </w:p>
        </w:tc>
        <w:tc>
          <w:tcPr>
            <w:tcBorders>
              <w:top w:val="single" w:color="000000" w:sz="4" w:space="0"/>
              <w:bottom w:val="single" w:color="000000" w:sz="4" w:space="0"/>
              <w:right w:val="single" w:color="000000" w:sz="4" w:space="0"/>
            </w:tcBorders>
            <w:tcW w:w="1525" w:type="dxa"/>
            <w:textDirection w:val="lrTb"/>
            <w:noWrap w:val="false"/>
          </w:tcPr>
          <w:p>
            <w:pPr>
              <w:pStyle w:val="1063"/>
              <w:jc w:val="center"/>
              <w:widowControl w:val="off"/>
              <w:rPr>
                <w:sz w:val="20"/>
                <w:szCs w:val="20"/>
              </w:rPr>
            </w:pPr>
            <w:r>
              <w:rPr>
                <w:rFonts w:ascii="Arial Narrow" w:hAnsi="Arial Narrow" w:cs="Calibri"/>
                <w:sz w:val="20"/>
                <w:szCs w:val="20"/>
              </w:rPr>
              <w:t xml:space="preserve">5,879</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7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334,627</w:t>
            </w:r>
            <w:r>
              <w:rPr>
                <w:sz w:val="20"/>
                <w:szCs w:val="20"/>
              </w:rPr>
            </w:r>
            <w:r>
              <w:rPr>
                <w:sz w:val="20"/>
                <w:szCs w:val="20"/>
              </w:rPr>
            </w:r>
          </w:p>
        </w:tc>
        <w:tc>
          <w:tcPr>
            <w:tcBorders>
              <w:top w:val="single" w:color="000000" w:sz="4" w:space="0"/>
              <w:bottom w:val="single" w:color="000000" w:sz="4" w:space="0"/>
              <w:right w:val="single" w:color="000000" w:sz="4" w:space="0"/>
            </w:tcBorders>
            <w:tcW w:w="1718" w:type="dxa"/>
            <w:textDirection w:val="lrTb"/>
            <w:noWrap w:val="false"/>
          </w:tcPr>
          <w:p>
            <w:pPr>
              <w:pStyle w:val="1063"/>
              <w:jc w:val="center"/>
              <w:widowControl w:val="off"/>
              <w:rPr>
                <w:sz w:val="20"/>
                <w:szCs w:val="20"/>
              </w:rPr>
            </w:pPr>
            <w:r>
              <w:rPr>
                <w:rFonts w:ascii="Arial Narrow" w:hAnsi="Arial Narrow" w:cs="Calibri"/>
                <w:sz w:val="20"/>
                <w:szCs w:val="20"/>
              </w:rPr>
              <w:t xml:space="preserve">-17,944</w:t>
            </w:r>
            <w:r>
              <w:rPr>
                <w:sz w:val="20"/>
                <w:szCs w:val="20"/>
              </w:rPr>
            </w:r>
            <w:r>
              <w:rPr>
                <w:sz w:val="20"/>
                <w:szCs w:val="20"/>
              </w:rPr>
            </w:r>
          </w:p>
        </w:tc>
      </w:tr>
      <w:tr>
        <w:trPr>
          <w:jc w:val="center"/>
          <w:trHeight w:val="41"/>
        </w:trPr>
        <w:tc>
          <w:tcPr>
            <w:tcBorders>
              <w:top w:val="single" w:color="000000" w:sz="4" w:space="0"/>
              <w:left w:val="single" w:color="000000" w:sz="4" w:space="0"/>
              <w:bottom w:val="single" w:color="000000" w:sz="4" w:space="0"/>
              <w:right w:val="single" w:color="000000" w:sz="4" w:space="0"/>
            </w:tcBorders>
            <w:tcW w:w="531" w:type="dxa"/>
            <w:textDirection w:val="lrTb"/>
            <w:noWrap w:val="false"/>
          </w:tcPr>
          <w:p>
            <w:pPr>
              <w:pStyle w:val="1063"/>
              <w:jc w:val="center"/>
              <w:widowControl w:val="off"/>
              <w:rPr>
                <w:sz w:val="20"/>
                <w:szCs w:val="20"/>
              </w:rPr>
            </w:pPr>
            <w:r>
              <w:rPr>
                <w:rFonts w:ascii="Arial Narrow" w:hAnsi="Arial Narrow" w:cs="Calibri"/>
                <w:sz w:val="20"/>
                <w:szCs w:val="20"/>
              </w:rPr>
              <w:t xml:space="preserve">6</w:t>
            </w:r>
            <w:r>
              <w:rPr>
                <w:sz w:val="20"/>
                <w:szCs w:val="20"/>
              </w:rPr>
            </w:r>
            <w:r>
              <w:rPr>
                <w:sz w:val="20"/>
                <w:szCs w:val="20"/>
              </w:rPr>
            </w:r>
          </w:p>
        </w:tc>
        <w:tc>
          <w:tcPr>
            <w:tcBorders>
              <w:left w:val="single" w:color="000000" w:sz="4" w:space="0"/>
              <w:bottom w:val="single" w:color="000000" w:sz="4" w:space="0"/>
              <w:right w:val="single" w:color="000000" w:sz="4" w:space="0"/>
            </w:tcBorders>
            <w:tcW w:w="2928" w:type="dxa"/>
            <w:vAlign w:val="center"/>
            <w:textDirection w:val="lrTb"/>
            <w:noWrap w:val="false"/>
          </w:tcPr>
          <w:p>
            <w:pPr>
              <w:pStyle w:val="1063"/>
              <w:ind w:right="-107"/>
              <w:widowControl w:val="off"/>
              <w:rPr>
                <w:sz w:val="20"/>
                <w:szCs w:val="20"/>
              </w:rPr>
            </w:pPr>
            <w:r>
              <w:rPr>
                <w:rFonts w:ascii="Arial Narrow" w:hAnsi="Arial Narrow" w:cs="Calibri"/>
                <w:sz w:val="20"/>
                <w:szCs w:val="20"/>
              </w:rPr>
              <w:t xml:space="preserve">ДЭС-5 с.Мильково</w:t>
            </w:r>
            <w:r>
              <w:rPr>
                <w:sz w:val="20"/>
                <w:szCs w:val="20"/>
              </w:rPr>
            </w:r>
            <w:r>
              <w:rPr>
                <w:sz w:val="20"/>
                <w:szCs w:val="20"/>
              </w:rPr>
            </w:r>
          </w:p>
        </w:tc>
        <w:tc>
          <w:tcPr>
            <w:tcBorders>
              <w:bottom w:val="single" w:color="000000" w:sz="4" w:space="0"/>
              <w:right w:val="single" w:color="000000" w:sz="4" w:space="0"/>
            </w:tcBorders>
            <w:tcW w:w="1001" w:type="dxa"/>
            <w:textDirection w:val="lrTb"/>
            <w:noWrap w:val="false"/>
          </w:tcPr>
          <w:p>
            <w:pPr>
              <w:pStyle w:val="1063"/>
              <w:jc w:val="center"/>
              <w:widowControl w:val="off"/>
              <w:rPr>
                <w:sz w:val="20"/>
                <w:szCs w:val="20"/>
              </w:rPr>
            </w:pPr>
            <w:r>
              <w:rPr>
                <w:rFonts w:ascii="Arial Narrow" w:hAnsi="Arial Narrow" w:cs="Calibri"/>
                <w:sz w:val="20"/>
                <w:szCs w:val="20"/>
              </w:rPr>
              <w:t xml:space="preserve">0,221</w:t>
            </w:r>
            <w:r>
              <w:rPr>
                <w:sz w:val="20"/>
                <w:szCs w:val="20"/>
              </w:rPr>
            </w:r>
            <w:r>
              <w:rPr>
                <w:sz w:val="20"/>
                <w:szCs w:val="20"/>
              </w:rPr>
            </w:r>
          </w:p>
        </w:tc>
        <w:tc>
          <w:tcPr>
            <w:tcBorders>
              <w:top w:val="single" w:color="000000" w:sz="4" w:space="0"/>
              <w:bottom w:val="single" w:color="000000" w:sz="4" w:space="0"/>
              <w:right w:val="single" w:color="000000" w:sz="4" w:space="0"/>
            </w:tcBorders>
            <w:tcW w:w="108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0,332</w:t>
            </w:r>
            <w:r>
              <w:rPr>
                <w:sz w:val="20"/>
                <w:szCs w:val="20"/>
              </w:rPr>
            </w:r>
            <w:r>
              <w:rPr>
                <w:sz w:val="20"/>
                <w:szCs w:val="20"/>
              </w:rPr>
            </w:r>
          </w:p>
        </w:tc>
        <w:tc>
          <w:tcPr>
            <w:tcBorders>
              <w:top w:val="single" w:color="000000" w:sz="4" w:space="0"/>
              <w:bottom w:val="single" w:color="000000" w:sz="4" w:space="0"/>
              <w:right w:val="single" w:color="000000" w:sz="4" w:space="0"/>
            </w:tcBorders>
            <w:tcW w:w="1525" w:type="dxa"/>
            <w:textDirection w:val="lrTb"/>
            <w:noWrap w:val="false"/>
          </w:tcPr>
          <w:p>
            <w:pPr>
              <w:pStyle w:val="1063"/>
              <w:jc w:val="center"/>
              <w:widowControl w:val="off"/>
              <w:rPr>
                <w:sz w:val="20"/>
                <w:szCs w:val="20"/>
              </w:rPr>
            </w:pPr>
            <w:r>
              <w:rPr>
                <w:rFonts w:ascii="Arial Narrow" w:hAnsi="Arial Narrow" w:cs="Calibri"/>
                <w:sz w:val="20"/>
                <w:szCs w:val="20"/>
              </w:rPr>
              <w:t xml:space="preserve">0,111</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7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0,298</w:t>
            </w:r>
            <w:r>
              <w:rPr>
                <w:sz w:val="20"/>
                <w:szCs w:val="20"/>
              </w:rPr>
            </w:r>
            <w:r>
              <w:rPr>
                <w:sz w:val="20"/>
                <w:szCs w:val="20"/>
              </w:rPr>
            </w:r>
          </w:p>
        </w:tc>
        <w:tc>
          <w:tcPr>
            <w:tcBorders>
              <w:top w:val="single" w:color="000000" w:sz="4" w:space="0"/>
              <w:bottom w:val="single" w:color="000000" w:sz="4" w:space="0"/>
              <w:right w:val="single" w:color="000000" w:sz="4" w:space="0"/>
            </w:tcBorders>
            <w:tcW w:w="1718" w:type="dxa"/>
            <w:textDirection w:val="lrTb"/>
            <w:noWrap w:val="false"/>
          </w:tcPr>
          <w:p>
            <w:pPr>
              <w:pStyle w:val="1063"/>
              <w:jc w:val="center"/>
              <w:widowControl w:val="off"/>
              <w:rPr>
                <w:sz w:val="20"/>
                <w:szCs w:val="20"/>
              </w:rPr>
            </w:pPr>
            <w:r>
              <w:rPr>
                <w:rFonts w:ascii="Arial Narrow" w:hAnsi="Arial Narrow" w:cs="Calibri"/>
                <w:sz w:val="20"/>
                <w:szCs w:val="20"/>
              </w:rPr>
              <w:t xml:space="preserve">-0,034</w:t>
            </w:r>
            <w:r>
              <w:rPr>
                <w:sz w:val="20"/>
                <w:szCs w:val="20"/>
              </w:rPr>
            </w:r>
            <w:r>
              <w:rPr>
                <w:sz w:val="20"/>
                <w:szCs w:val="20"/>
              </w:rPr>
            </w:r>
          </w:p>
        </w:tc>
      </w:tr>
      <w:tr>
        <w:trPr>
          <w:jc w:val="center"/>
          <w:trHeight w:val="280"/>
        </w:trPr>
        <w:tc>
          <w:tcPr>
            <w:tcBorders>
              <w:top w:val="single" w:color="000000" w:sz="4" w:space="0"/>
              <w:left w:val="single" w:color="000000" w:sz="4" w:space="0"/>
              <w:bottom w:val="single" w:color="000000" w:sz="4" w:space="0"/>
              <w:right w:val="single" w:color="000000" w:sz="4" w:space="0"/>
            </w:tcBorders>
            <w:tcW w:w="531" w:type="dxa"/>
            <w:textDirection w:val="lrTb"/>
            <w:noWrap w:val="false"/>
          </w:tcPr>
          <w:p>
            <w:pPr>
              <w:pStyle w:val="1063"/>
              <w:jc w:val="center"/>
              <w:widowControl w:val="off"/>
              <w:rPr>
                <w:sz w:val="20"/>
                <w:szCs w:val="20"/>
              </w:rPr>
            </w:pPr>
            <w:r>
              <w:rPr>
                <w:rFonts w:ascii="Arial Narrow" w:hAnsi="Arial Narrow" w:cs="Calibri"/>
                <w:sz w:val="20"/>
                <w:szCs w:val="20"/>
              </w:rPr>
              <w:t xml:space="preserve">7</w:t>
            </w:r>
            <w:r>
              <w:rPr>
                <w:sz w:val="20"/>
                <w:szCs w:val="20"/>
              </w:rPr>
            </w:r>
            <w:r>
              <w:rPr>
                <w:sz w:val="20"/>
                <w:szCs w:val="20"/>
              </w:rPr>
            </w:r>
          </w:p>
        </w:tc>
        <w:tc>
          <w:tcPr>
            <w:tcBorders>
              <w:left w:val="single" w:color="000000" w:sz="4" w:space="0"/>
              <w:bottom w:val="single" w:color="000000" w:sz="4" w:space="0"/>
              <w:right w:val="single" w:color="000000" w:sz="4" w:space="0"/>
            </w:tcBorders>
            <w:tcW w:w="2928" w:type="dxa"/>
            <w:vAlign w:val="center"/>
            <w:textDirection w:val="lrTb"/>
            <w:noWrap w:val="false"/>
          </w:tcPr>
          <w:p>
            <w:pPr>
              <w:pStyle w:val="1063"/>
              <w:ind w:right="-107"/>
              <w:widowControl w:val="off"/>
              <w:rPr>
                <w:sz w:val="20"/>
                <w:szCs w:val="20"/>
              </w:rPr>
            </w:pPr>
            <w:r>
              <w:rPr>
                <w:rFonts w:ascii="Arial Narrow" w:hAnsi="Arial Narrow" w:cs="Calibri"/>
                <w:sz w:val="20"/>
                <w:szCs w:val="20"/>
              </w:rPr>
              <w:t xml:space="preserve">ДЭС-6 с.Усть-Большерецк</w:t>
            </w:r>
            <w:r>
              <w:rPr>
                <w:sz w:val="20"/>
                <w:szCs w:val="20"/>
              </w:rPr>
            </w:r>
            <w:r>
              <w:rPr>
                <w:sz w:val="20"/>
                <w:szCs w:val="20"/>
              </w:rPr>
            </w:r>
          </w:p>
        </w:tc>
        <w:tc>
          <w:tcPr>
            <w:tcBorders>
              <w:bottom w:val="single" w:color="000000" w:sz="4" w:space="0"/>
              <w:right w:val="single" w:color="000000" w:sz="4" w:space="0"/>
            </w:tcBorders>
            <w:tcW w:w="1001" w:type="dxa"/>
            <w:textDirection w:val="lrTb"/>
            <w:noWrap w:val="false"/>
          </w:tcPr>
          <w:p>
            <w:pPr>
              <w:pStyle w:val="1063"/>
              <w:jc w:val="center"/>
              <w:widowControl w:val="off"/>
              <w:rPr>
                <w:sz w:val="20"/>
                <w:szCs w:val="20"/>
              </w:rPr>
            </w:pPr>
            <w:r>
              <w:rPr>
                <w:rFonts w:ascii="Arial Narrow" w:hAnsi="Arial Narrow" w:cs="Calibri"/>
                <w:sz w:val="20"/>
                <w:szCs w:val="20"/>
              </w:rPr>
              <w:t xml:space="preserve">0,061</w:t>
            </w:r>
            <w:r>
              <w:rPr>
                <w:sz w:val="20"/>
                <w:szCs w:val="20"/>
              </w:rPr>
            </w:r>
            <w:r>
              <w:rPr>
                <w:sz w:val="20"/>
                <w:szCs w:val="20"/>
              </w:rPr>
            </w:r>
          </w:p>
        </w:tc>
        <w:tc>
          <w:tcPr>
            <w:tcBorders>
              <w:top w:val="single" w:color="000000" w:sz="4" w:space="0"/>
              <w:bottom w:val="single" w:color="000000" w:sz="4" w:space="0"/>
              <w:right w:val="single" w:color="000000" w:sz="4" w:space="0"/>
            </w:tcBorders>
            <w:tcW w:w="108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0,136</w:t>
            </w:r>
            <w:r>
              <w:rPr>
                <w:sz w:val="20"/>
                <w:szCs w:val="20"/>
              </w:rPr>
            </w:r>
            <w:r>
              <w:rPr>
                <w:sz w:val="20"/>
                <w:szCs w:val="20"/>
              </w:rPr>
            </w:r>
          </w:p>
        </w:tc>
        <w:tc>
          <w:tcPr>
            <w:tcBorders>
              <w:top w:val="single" w:color="000000" w:sz="4" w:space="0"/>
              <w:bottom w:val="single" w:color="000000" w:sz="4" w:space="0"/>
              <w:right w:val="single" w:color="000000" w:sz="4" w:space="0"/>
            </w:tcBorders>
            <w:tcW w:w="1525" w:type="dxa"/>
            <w:textDirection w:val="lrTb"/>
            <w:noWrap w:val="false"/>
          </w:tcPr>
          <w:p>
            <w:pPr>
              <w:pStyle w:val="1063"/>
              <w:jc w:val="center"/>
              <w:widowControl w:val="off"/>
              <w:rPr>
                <w:sz w:val="20"/>
                <w:szCs w:val="20"/>
              </w:rPr>
            </w:pPr>
            <w:r>
              <w:rPr>
                <w:rFonts w:ascii="Arial Narrow" w:hAnsi="Arial Narrow" w:cs="Calibri"/>
                <w:sz w:val="20"/>
                <w:szCs w:val="20"/>
              </w:rPr>
              <w:t xml:space="preserve">0,075</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7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0,168</w:t>
            </w:r>
            <w:r>
              <w:rPr>
                <w:sz w:val="20"/>
                <w:szCs w:val="20"/>
              </w:rPr>
            </w:r>
            <w:r>
              <w:rPr>
                <w:sz w:val="20"/>
                <w:szCs w:val="20"/>
              </w:rPr>
            </w:r>
          </w:p>
        </w:tc>
        <w:tc>
          <w:tcPr>
            <w:tcBorders>
              <w:top w:val="single" w:color="000000" w:sz="4" w:space="0"/>
              <w:bottom w:val="single" w:color="000000" w:sz="4" w:space="0"/>
              <w:right w:val="single" w:color="000000" w:sz="4" w:space="0"/>
            </w:tcBorders>
            <w:tcW w:w="1718" w:type="dxa"/>
            <w:textDirection w:val="lrTb"/>
            <w:noWrap w:val="false"/>
          </w:tcPr>
          <w:p>
            <w:pPr>
              <w:pStyle w:val="1063"/>
              <w:jc w:val="center"/>
              <w:widowControl w:val="off"/>
              <w:rPr>
                <w:sz w:val="20"/>
                <w:szCs w:val="20"/>
              </w:rPr>
            </w:pPr>
            <w:r>
              <w:rPr>
                <w:rFonts w:ascii="Arial Narrow" w:hAnsi="Arial Narrow" w:cs="Calibri"/>
                <w:sz w:val="20"/>
                <w:szCs w:val="20"/>
              </w:rPr>
              <w:t xml:space="preserve">0,032</w:t>
            </w:r>
            <w:r>
              <w:rPr>
                <w:sz w:val="20"/>
                <w:szCs w:val="20"/>
              </w:rPr>
            </w:r>
            <w:r>
              <w:rPr>
                <w:sz w:val="20"/>
                <w:szCs w:val="20"/>
              </w:rPr>
            </w:r>
          </w:p>
        </w:tc>
      </w:tr>
      <w:tr>
        <w:trPr>
          <w:jc w:val="center"/>
          <w:trHeight w:val="41"/>
        </w:trPr>
        <w:tc>
          <w:tcPr>
            <w:tcBorders>
              <w:top w:val="single" w:color="000000" w:sz="4" w:space="0"/>
              <w:left w:val="single" w:color="000000" w:sz="4" w:space="0"/>
              <w:bottom w:val="single" w:color="000000" w:sz="4" w:space="0"/>
              <w:right w:val="single" w:color="000000" w:sz="4" w:space="0"/>
            </w:tcBorders>
            <w:tcW w:w="531" w:type="dxa"/>
            <w:textDirection w:val="lrTb"/>
            <w:noWrap w:val="false"/>
          </w:tcPr>
          <w:p>
            <w:pPr>
              <w:pStyle w:val="1063"/>
              <w:jc w:val="center"/>
              <w:widowControl w:val="off"/>
              <w:rPr>
                <w:sz w:val="20"/>
                <w:szCs w:val="20"/>
              </w:rPr>
            </w:pPr>
            <w:r>
              <w:rPr>
                <w:rFonts w:ascii="Arial Narrow" w:hAnsi="Arial Narrow" w:cs="Calibri"/>
                <w:sz w:val="20"/>
                <w:szCs w:val="20"/>
              </w:rPr>
              <w:t xml:space="preserve">8</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2928" w:type="dxa"/>
            <w:vAlign w:val="center"/>
            <w:textDirection w:val="lrTb"/>
            <w:noWrap w:val="false"/>
          </w:tcPr>
          <w:p>
            <w:pPr>
              <w:pStyle w:val="1063"/>
              <w:widowControl w:val="off"/>
              <w:rPr>
                <w:sz w:val="20"/>
                <w:szCs w:val="20"/>
              </w:rPr>
            </w:pPr>
            <w:r>
              <w:rPr>
                <w:rFonts w:ascii="Arial Narrow" w:hAnsi="Arial Narrow" w:cs="Calibri"/>
                <w:sz w:val="20"/>
                <w:szCs w:val="20"/>
              </w:rPr>
              <w:t xml:space="preserve">Передвижные ДЭС</w:t>
            </w:r>
            <w:r>
              <w:rPr>
                <w:sz w:val="20"/>
                <w:szCs w:val="20"/>
              </w:rPr>
            </w:r>
            <w:r>
              <w:rPr>
                <w:sz w:val="20"/>
                <w:szCs w:val="20"/>
              </w:rPr>
            </w:r>
          </w:p>
        </w:tc>
        <w:tc>
          <w:tcPr>
            <w:tcBorders>
              <w:top w:val="single" w:color="000000" w:sz="4" w:space="0"/>
              <w:bottom w:val="single" w:color="000000" w:sz="4" w:space="0"/>
              <w:right w:val="single" w:color="000000" w:sz="4" w:space="0"/>
            </w:tcBorders>
            <w:tcW w:w="1001" w:type="dxa"/>
            <w:textDirection w:val="lrTb"/>
            <w:noWrap w:val="false"/>
          </w:tcPr>
          <w:p>
            <w:pPr>
              <w:pStyle w:val="1063"/>
              <w:jc w:val="center"/>
              <w:widowControl w:val="off"/>
              <w:rPr>
                <w:sz w:val="20"/>
                <w:szCs w:val="20"/>
              </w:rPr>
            </w:pPr>
            <w:r>
              <w:rPr>
                <w:rFonts w:ascii="Arial Narrow" w:hAnsi="Arial Narrow" w:cs="Calibri"/>
                <w:sz w:val="20"/>
                <w:szCs w:val="20"/>
              </w:rPr>
              <w:t xml:space="preserve">0,058</w:t>
            </w:r>
            <w:r>
              <w:rPr>
                <w:sz w:val="20"/>
                <w:szCs w:val="20"/>
              </w:rPr>
            </w:r>
            <w:r>
              <w:rPr>
                <w:sz w:val="20"/>
                <w:szCs w:val="20"/>
              </w:rPr>
            </w:r>
          </w:p>
        </w:tc>
        <w:tc>
          <w:tcPr>
            <w:tcBorders>
              <w:top w:val="single" w:color="000000" w:sz="4" w:space="0"/>
              <w:bottom w:val="single" w:color="000000" w:sz="4" w:space="0"/>
              <w:right w:val="single" w:color="000000" w:sz="4" w:space="0"/>
            </w:tcBorders>
            <w:tcW w:w="108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0,083</w:t>
            </w:r>
            <w:r>
              <w:rPr>
                <w:sz w:val="20"/>
                <w:szCs w:val="20"/>
              </w:rPr>
            </w:r>
            <w:r>
              <w:rPr>
                <w:sz w:val="20"/>
                <w:szCs w:val="20"/>
              </w:rPr>
            </w:r>
          </w:p>
        </w:tc>
        <w:tc>
          <w:tcPr>
            <w:tcBorders>
              <w:top w:val="single" w:color="000000" w:sz="4" w:space="0"/>
              <w:bottom w:val="single" w:color="000000" w:sz="4" w:space="0"/>
              <w:right w:val="single" w:color="000000" w:sz="4" w:space="0"/>
            </w:tcBorders>
            <w:tcW w:w="1525" w:type="dxa"/>
            <w:textDirection w:val="lrTb"/>
            <w:noWrap w:val="false"/>
          </w:tcPr>
          <w:p>
            <w:pPr>
              <w:pStyle w:val="1063"/>
              <w:jc w:val="center"/>
              <w:widowControl w:val="off"/>
              <w:rPr>
                <w:sz w:val="20"/>
                <w:szCs w:val="20"/>
              </w:rPr>
            </w:pPr>
            <w:r>
              <w:rPr>
                <w:rFonts w:ascii="Arial Narrow" w:hAnsi="Arial Narrow" w:cs="Calibri"/>
                <w:sz w:val="20"/>
                <w:szCs w:val="20"/>
              </w:rPr>
              <w:t xml:space="preserve">0,025</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7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0,155</w:t>
            </w:r>
            <w:r>
              <w:rPr>
                <w:sz w:val="20"/>
                <w:szCs w:val="20"/>
              </w:rPr>
            </w:r>
            <w:r>
              <w:rPr>
                <w:sz w:val="20"/>
                <w:szCs w:val="20"/>
              </w:rPr>
            </w:r>
          </w:p>
        </w:tc>
        <w:tc>
          <w:tcPr>
            <w:tcBorders>
              <w:top w:val="single" w:color="000000" w:sz="4" w:space="0"/>
              <w:bottom w:val="single" w:color="000000" w:sz="4" w:space="0"/>
              <w:right w:val="single" w:color="000000" w:sz="4" w:space="0"/>
            </w:tcBorders>
            <w:tcW w:w="1718" w:type="dxa"/>
            <w:textDirection w:val="lrTb"/>
            <w:noWrap w:val="false"/>
          </w:tcPr>
          <w:p>
            <w:pPr>
              <w:pStyle w:val="1063"/>
              <w:jc w:val="center"/>
              <w:widowControl w:val="off"/>
              <w:rPr>
                <w:sz w:val="20"/>
                <w:szCs w:val="20"/>
              </w:rPr>
            </w:pPr>
            <w:r>
              <w:rPr>
                <w:rFonts w:ascii="Arial Narrow" w:hAnsi="Arial Narrow" w:cs="Calibri"/>
                <w:sz w:val="20"/>
                <w:szCs w:val="20"/>
              </w:rPr>
              <w:t xml:space="preserve">0,072</w:t>
            </w:r>
            <w:r>
              <w:rPr>
                <w:sz w:val="20"/>
                <w:szCs w:val="20"/>
              </w:rPr>
            </w:r>
            <w:r>
              <w:rPr>
                <w:sz w:val="20"/>
                <w:szCs w:val="20"/>
              </w:rPr>
            </w:r>
          </w:p>
        </w:tc>
      </w:tr>
      <w:tr>
        <w:trPr>
          <w:jc w:val="center"/>
          <w:trHeight w:val="41"/>
        </w:trPr>
        <w:tc>
          <w:tcPr>
            <w:tcBorders>
              <w:top w:val="single" w:color="000000" w:sz="4" w:space="0"/>
              <w:left w:val="single" w:color="000000" w:sz="4" w:space="0"/>
              <w:bottom w:val="single" w:color="000000" w:sz="4" w:space="0"/>
              <w:right w:val="single" w:color="000000" w:sz="4" w:space="0"/>
            </w:tcBorders>
            <w:tcW w:w="531" w:type="dxa"/>
            <w:textDirection w:val="lrTb"/>
            <w:noWrap w:val="false"/>
          </w:tcPr>
          <w:p>
            <w:pPr>
              <w:pStyle w:val="1063"/>
              <w:jc w:val="center"/>
              <w:widowControl w:val="off"/>
              <w:rPr>
                <w:sz w:val="20"/>
                <w:szCs w:val="20"/>
              </w:rPr>
            </w:pPr>
            <w:r>
              <w:rPr>
                <w:rFonts w:ascii="Arial Narrow" w:hAnsi="Arial Narrow" w:cs="Calibri"/>
                <w:sz w:val="20"/>
                <w:szCs w:val="20"/>
              </w:rPr>
              <w:t xml:space="preserve">9</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2928" w:type="dxa"/>
            <w:vAlign w:val="center"/>
            <w:textDirection w:val="lrTb"/>
            <w:noWrap w:val="false"/>
          </w:tcPr>
          <w:p>
            <w:pPr>
              <w:pStyle w:val="1063"/>
              <w:widowControl w:val="off"/>
              <w:rPr>
                <w:sz w:val="20"/>
                <w:szCs w:val="20"/>
              </w:rPr>
            </w:pPr>
            <w:r>
              <w:rPr>
                <w:rFonts w:ascii="Arial Narrow" w:hAnsi="Arial Narrow" w:cs="Calibri"/>
                <w:sz w:val="20"/>
                <w:szCs w:val="20"/>
              </w:rPr>
              <w:t xml:space="preserve">Паужетская ГеоЭС</w:t>
            </w:r>
            <w:r>
              <w:rPr>
                <w:sz w:val="20"/>
                <w:szCs w:val="20"/>
              </w:rPr>
            </w:r>
            <w:r>
              <w:rPr>
                <w:sz w:val="20"/>
                <w:szCs w:val="20"/>
              </w:rPr>
            </w:r>
          </w:p>
        </w:tc>
        <w:tc>
          <w:tcPr>
            <w:tcBorders>
              <w:top w:val="single" w:color="000000" w:sz="4" w:space="0"/>
              <w:bottom w:val="single" w:color="000000" w:sz="4" w:space="0"/>
              <w:right w:val="single" w:color="000000" w:sz="4" w:space="0"/>
            </w:tcBorders>
            <w:tcW w:w="1001" w:type="dxa"/>
            <w:textDirection w:val="lrTb"/>
            <w:noWrap w:val="false"/>
          </w:tcPr>
          <w:p>
            <w:pPr>
              <w:pStyle w:val="1063"/>
              <w:jc w:val="center"/>
              <w:widowControl w:val="off"/>
              <w:rPr>
                <w:sz w:val="20"/>
                <w:szCs w:val="20"/>
              </w:rPr>
            </w:pPr>
            <w:r>
              <w:rPr>
                <w:rFonts w:ascii="Arial Narrow" w:hAnsi="Arial Narrow" w:cs="Calibri"/>
                <w:sz w:val="20"/>
                <w:szCs w:val="20"/>
              </w:rPr>
              <w:t xml:space="preserve">41,049</w:t>
            </w:r>
            <w:r>
              <w:rPr>
                <w:sz w:val="20"/>
                <w:szCs w:val="20"/>
              </w:rPr>
            </w:r>
            <w:r>
              <w:rPr>
                <w:sz w:val="20"/>
                <w:szCs w:val="20"/>
              </w:rPr>
            </w:r>
          </w:p>
        </w:tc>
        <w:tc>
          <w:tcPr>
            <w:tcBorders>
              <w:top w:val="single" w:color="000000" w:sz="4" w:space="0"/>
              <w:bottom w:val="single" w:color="000000" w:sz="4" w:space="0"/>
              <w:right w:val="single" w:color="000000" w:sz="4" w:space="0"/>
            </w:tcBorders>
            <w:tcW w:w="108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40,834</w:t>
            </w:r>
            <w:r>
              <w:rPr>
                <w:sz w:val="20"/>
                <w:szCs w:val="20"/>
              </w:rPr>
            </w:r>
            <w:r>
              <w:rPr>
                <w:sz w:val="20"/>
                <w:szCs w:val="20"/>
              </w:rPr>
            </w:r>
          </w:p>
        </w:tc>
        <w:tc>
          <w:tcPr>
            <w:tcBorders>
              <w:top w:val="single" w:color="000000" w:sz="4" w:space="0"/>
              <w:bottom w:val="single" w:color="000000" w:sz="4" w:space="0"/>
              <w:right w:val="single" w:color="000000" w:sz="4" w:space="0"/>
            </w:tcBorders>
            <w:tcW w:w="1525" w:type="dxa"/>
            <w:textDirection w:val="lrTb"/>
            <w:noWrap w:val="false"/>
          </w:tcPr>
          <w:p>
            <w:pPr>
              <w:pStyle w:val="1063"/>
              <w:jc w:val="center"/>
              <w:widowControl w:val="off"/>
              <w:rPr>
                <w:sz w:val="20"/>
                <w:szCs w:val="20"/>
              </w:rPr>
            </w:pPr>
            <w:r>
              <w:rPr>
                <w:rFonts w:ascii="Arial Narrow" w:hAnsi="Arial Narrow" w:cs="Calibri"/>
                <w:sz w:val="20"/>
                <w:szCs w:val="20"/>
              </w:rPr>
              <w:t xml:space="preserve">-0,215</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7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43,502</w:t>
            </w:r>
            <w:r>
              <w:rPr>
                <w:sz w:val="20"/>
                <w:szCs w:val="20"/>
              </w:rPr>
            </w:r>
            <w:r>
              <w:rPr>
                <w:sz w:val="20"/>
                <w:szCs w:val="20"/>
              </w:rPr>
            </w:r>
          </w:p>
        </w:tc>
        <w:tc>
          <w:tcPr>
            <w:tcBorders>
              <w:top w:val="single" w:color="000000" w:sz="4" w:space="0"/>
              <w:bottom w:val="single" w:color="000000" w:sz="4" w:space="0"/>
              <w:right w:val="single" w:color="000000" w:sz="4" w:space="0"/>
            </w:tcBorders>
            <w:tcW w:w="1718" w:type="dxa"/>
            <w:textDirection w:val="lrTb"/>
            <w:noWrap w:val="false"/>
          </w:tcPr>
          <w:p>
            <w:pPr>
              <w:pStyle w:val="1063"/>
              <w:jc w:val="center"/>
              <w:widowControl w:val="off"/>
              <w:rPr>
                <w:sz w:val="20"/>
                <w:szCs w:val="20"/>
              </w:rPr>
            </w:pPr>
            <w:r>
              <w:rPr>
                <w:rFonts w:ascii="Arial Narrow" w:hAnsi="Arial Narrow" w:cs="Calibri"/>
                <w:sz w:val="20"/>
                <w:szCs w:val="20"/>
              </w:rPr>
              <w:t xml:space="preserve">2,668</w:t>
            </w:r>
            <w:r>
              <w:rPr>
                <w:sz w:val="20"/>
                <w:szCs w:val="20"/>
              </w:rPr>
            </w:r>
            <w:r>
              <w:rPr>
                <w:sz w:val="20"/>
                <w:szCs w:val="20"/>
              </w:rPr>
            </w:r>
          </w:p>
        </w:tc>
      </w:tr>
      <w:tr>
        <w:trPr>
          <w:jc w:val="center"/>
          <w:trHeight w:val="41"/>
        </w:trPr>
        <w:tc>
          <w:tcPr>
            <w:tcBorders>
              <w:top w:val="single" w:color="000000" w:sz="4" w:space="0"/>
              <w:left w:val="single" w:color="000000" w:sz="4" w:space="0"/>
              <w:bottom w:val="single" w:color="000000" w:sz="4" w:space="0"/>
              <w:right w:val="single" w:color="000000" w:sz="4" w:space="0"/>
            </w:tcBorders>
            <w:tcW w:w="531" w:type="dxa"/>
            <w:textDirection w:val="lrTb"/>
            <w:noWrap w:val="false"/>
          </w:tcPr>
          <w:p>
            <w:pPr>
              <w:pStyle w:val="1063"/>
              <w:jc w:val="center"/>
              <w:widowControl w:val="off"/>
              <w:rPr>
                <w:sz w:val="20"/>
                <w:szCs w:val="20"/>
              </w:rPr>
            </w:pPr>
            <w:r>
              <w:rPr>
                <w:rFonts w:ascii="Arial Narrow" w:hAnsi="Arial Narrow" w:cs="Calibri"/>
                <w:sz w:val="20"/>
                <w:szCs w:val="20"/>
              </w:rPr>
              <w:t xml:space="preserve">10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2928" w:type="dxa"/>
            <w:vAlign w:val="center"/>
            <w:textDirection w:val="lrTb"/>
            <w:noWrap w:val="false"/>
          </w:tcPr>
          <w:p>
            <w:pPr>
              <w:pStyle w:val="1063"/>
              <w:widowControl w:val="off"/>
              <w:rPr>
                <w:sz w:val="20"/>
                <w:szCs w:val="20"/>
              </w:rPr>
            </w:pPr>
            <w:r>
              <w:rPr>
                <w:rFonts w:ascii="Arial Narrow" w:hAnsi="Arial Narrow" w:cs="Calibri"/>
                <w:sz w:val="20"/>
                <w:szCs w:val="20"/>
              </w:rPr>
              <w:t xml:space="preserve">Озерновские ДЭС</w:t>
            </w:r>
            <w:r>
              <w:rPr>
                <w:sz w:val="20"/>
                <w:szCs w:val="20"/>
              </w:rPr>
            </w:r>
            <w:r>
              <w:rPr>
                <w:sz w:val="20"/>
                <w:szCs w:val="20"/>
              </w:rPr>
            </w:r>
          </w:p>
        </w:tc>
        <w:tc>
          <w:tcPr>
            <w:tcBorders>
              <w:top w:val="single" w:color="000000" w:sz="4" w:space="0"/>
              <w:bottom w:val="single" w:color="000000" w:sz="4" w:space="0"/>
              <w:right w:val="single" w:color="000000" w:sz="4" w:space="0"/>
            </w:tcBorders>
            <w:tcW w:w="1001" w:type="dxa"/>
            <w:textDirection w:val="lrTb"/>
            <w:noWrap w:val="false"/>
          </w:tcPr>
          <w:p>
            <w:pPr>
              <w:pStyle w:val="1063"/>
              <w:jc w:val="center"/>
              <w:widowControl w:val="off"/>
              <w:rPr>
                <w:sz w:val="20"/>
                <w:szCs w:val="20"/>
              </w:rPr>
            </w:pPr>
            <w:r>
              <w:rPr>
                <w:rFonts w:ascii="Arial Narrow" w:hAnsi="Arial Narrow" w:cs="Calibri"/>
                <w:sz w:val="20"/>
                <w:szCs w:val="20"/>
              </w:rPr>
              <w:t xml:space="preserve">3,177</w:t>
            </w:r>
            <w:r>
              <w:rPr>
                <w:sz w:val="20"/>
                <w:szCs w:val="20"/>
              </w:rPr>
            </w:r>
            <w:r>
              <w:rPr>
                <w:sz w:val="20"/>
                <w:szCs w:val="20"/>
              </w:rPr>
            </w:r>
          </w:p>
        </w:tc>
        <w:tc>
          <w:tcPr>
            <w:tcBorders>
              <w:top w:val="single" w:color="000000" w:sz="4" w:space="0"/>
              <w:bottom w:val="single" w:color="000000" w:sz="4" w:space="0"/>
              <w:right w:val="single" w:color="000000" w:sz="4" w:space="0"/>
            </w:tcBorders>
            <w:tcW w:w="108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3,787</w:t>
            </w:r>
            <w:r>
              <w:rPr>
                <w:sz w:val="20"/>
                <w:szCs w:val="20"/>
              </w:rPr>
            </w:r>
            <w:r>
              <w:rPr>
                <w:sz w:val="20"/>
                <w:szCs w:val="20"/>
              </w:rPr>
            </w:r>
          </w:p>
        </w:tc>
        <w:tc>
          <w:tcPr>
            <w:tcBorders>
              <w:top w:val="single" w:color="000000" w:sz="4" w:space="0"/>
              <w:bottom w:val="single" w:color="000000" w:sz="4" w:space="0"/>
              <w:right w:val="single" w:color="000000" w:sz="4" w:space="0"/>
            </w:tcBorders>
            <w:tcW w:w="1525" w:type="dxa"/>
            <w:textDirection w:val="lrTb"/>
            <w:noWrap w:val="false"/>
          </w:tcPr>
          <w:p>
            <w:pPr>
              <w:pStyle w:val="1063"/>
              <w:jc w:val="center"/>
              <w:widowControl w:val="off"/>
              <w:rPr>
                <w:sz w:val="20"/>
                <w:szCs w:val="20"/>
              </w:rPr>
            </w:pPr>
            <w:r>
              <w:rPr>
                <w:rFonts w:ascii="Arial Narrow" w:hAnsi="Arial Narrow" w:cs="Calibri"/>
                <w:sz w:val="20"/>
                <w:szCs w:val="20"/>
              </w:rPr>
              <w:t xml:space="preserve">0,610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7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2,630</w:t>
            </w:r>
            <w:r>
              <w:rPr>
                <w:sz w:val="20"/>
                <w:szCs w:val="20"/>
              </w:rPr>
            </w:r>
            <w:r>
              <w:rPr>
                <w:sz w:val="20"/>
                <w:szCs w:val="20"/>
              </w:rPr>
            </w:r>
          </w:p>
        </w:tc>
        <w:tc>
          <w:tcPr>
            <w:tcBorders>
              <w:top w:val="single" w:color="000000" w:sz="4" w:space="0"/>
              <w:bottom w:val="single" w:color="000000" w:sz="4" w:space="0"/>
              <w:right w:val="single" w:color="000000" w:sz="4" w:space="0"/>
            </w:tcBorders>
            <w:tcW w:w="1718" w:type="dxa"/>
            <w:textDirection w:val="lrTb"/>
            <w:noWrap w:val="false"/>
          </w:tcPr>
          <w:p>
            <w:pPr>
              <w:pStyle w:val="1063"/>
              <w:jc w:val="center"/>
              <w:widowControl w:val="off"/>
              <w:rPr>
                <w:sz w:val="20"/>
                <w:szCs w:val="20"/>
              </w:rPr>
            </w:pPr>
            <w:r>
              <w:rPr>
                <w:rFonts w:ascii="Arial Narrow" w:hAnsi="Arial Narrow" w:cs="Calibri"/>
                <w:sz w:val="20"/>
                <w:szCs w:val="20"/>
              </w:rPr>
              <w:t xml:space="preserve">-1,157</w:t>
            </w:r>
            <w:r>
              <w:rPr>
                <w:sz w:val="20"/>
                <w:szCs w:val="20"/>
              </w:rPr>
            </w:r>
            <w:r>
              <w:rPr>
                <w:sz w:val="20"/>
                <w:szCs w:val="20"/>
              </w:rPr>
            </w:r>
          </w:p>
        </w:tc>
      </w:tr>
      <w:tr>
        <w:trPr>
          <w:jc w:val="center"/>
          <w:trHeight w:val="280"/>
        </w:trPr>
        <w:tc>
          <w:tcPr>
            <w:tcBorders>
              <w:top w:val="single" w:color="000000" w:sz="4" w:space="0"/>
              <w:left w:val="single" w:color="000000" w:sz="4" w:space="0"/>
              <w:bottom w:val="single" w:color="000000" w:sz="4" w:space="0"/>
              <w:right w:val="single" w:color="000000" w:sz="4" w:space="0"/>
            </w:tcBorders>
            <w:tcW w:w="531" w:type="dxa"/>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r>
            <w:r>
              <w:rPr>
                <w:rFonts w:ascii="Arial Narrow" w:hAnsi="Arial Narrow" w:cs="Calibri"/>
                <w:sz w:val="20"/>
                <w:szCs w:val="20"/>
              </w:rPr>
            </w:r>
            <w:r>
              <w:rPr>
                <w:rFonts w:ascii="Arial Narrow" w:hAnsi="Arial Narrow" w:cs="Calibri"/>
                <w:sz w:val="20"/>
                <w:szCs w:val="20"/>
              </w:rPr>
            </w:r>
          </w:p>
        </w:tc>
        <w:tc>
          <w:tcPr>
            <w:tcBorders>
              <w:top w:val="single" w:color="000000" w:sz="4" w:space="0"/>
              <w:left w:val="single" w:color="000000" w:sz="4" w:space="0"/>
              <w:bottom w:val="single" w:color="000000" w:sz="4" w:space="0"/>
              <w:right w:val="single" w:color="000000" w:sz="4" w:space="0"/>
            </w:tcBorders>
            <w:tcW w:w="2928" w:type="dxa"/>
            <w:vAlign w:val="bottom"/>
            <w:textDirection w:val="lrTb"/>
            <w:noWrap w:val="false"/>
          </w:tcPr>
          <w:p>
            <w:pPr>
              <w:pStyle w:val="1063"/>
              <w:widowControl w:val="off"/>
              <w:rPr>
                <w:sz w:val="20"/>
                <w:szCs w:val="20"/>
              </w:rPr>
            </w:pPr>
            <w:r>
              <w:rPr>
                <w:rFonts w:ascii="Arial Narrow" w:hAnsi="Arial Narrow" w:cs="Calibri"/>
                <w:sz w:val="20"/>
                <w:szCs w:val="20"/>
              </w:rPr>
              <w:t xml:space="preserve">ИТОГО:</w:t>
            </w:r>
            <w:r>
              <w:rPr>
                <w:sz w:val="20"/>
                <w:szCs w:val="20"/>
              </w:rPr>
            </w:r>
            <w:r>
              <w:rPr>
                <w:sz w:val="20"/>
                <w:szCs w:val="20"/>
              </w:rPr>
            </w:r>
          </w:p>
        </w:tc>
        <w:tc>
          <w:tcPr>
            <w:tcBorders>
              <w:top w:val="single" w:color="000000" w:sz="4" w:space="0"/>
              <w:bottom w:val="single" w:color="000000" w:sz="4" w:space="0"/>
              <w:right w:val="single" w:color="000000" w:sz="4" w:space="0"/>
            </w:tcBorders>
            <w:tcW w:w="1001" w:type="dxa"/>
            <w:textDirection w:val="lrTb"/>
            <w:noWrap w:val="false"/>
          </w:tcPr>
          <w:p>
            <w:pPr>
              <w:pStyle w:val="1063"/>
              <w:jc w:val="center"/>
              <w:widowControl w:val="off"/>
              <w:rPr>
                <w:sz w:val="20"/>
                <w:szCs w:val="20"/>
              </w:rPr>
            </w:pPr>
            <w:r>
              <w:rPr>
                <w:rFonts w:ascii="Arial Narrow" w:hAnsi="Arial Narrow" w:cs="Calibri"/>
                <w:sz w:val="20"/>
                <w:szCs w:val="20"/>
              </w:rPr>
              <w:t xml:space="preserve">1568,468</w:t>
            </w:r>
            <w:r>
              <w:rPr>
                <w:sz w:val="20"/>
                <w:szCs w:val="20"/>
              </w:rPr>
            </w:r>
            <w:r>
              <w:rPr>
                <w:sz w:val="20"/>
                <w:szCs w:val="20"/>
              </w:rPr>
            </w:r>
          </w:p>
        </w:tc>
        <w:tc>
          <w:tcPr>
            <w:tcBorders>
              <w:top w:val="single" w:color="000000" w:sz="4" w:space="0"/>
              <w:bottom w:val="single" w:color="000000" w:sz="4" w:space="0"/>
              <w:right w:val="single" w:color="000000" w:sz="4" w:space="0"/>
            </w:tcBorders>
            <w:tcW w:w="1087" w:type="dxa"/>
            <w:textDirection w:val="lrTb"/>
            <w:noWrap w:val="false"/>
          </w:tcPr>
          <w:p>
            <w:pPr>
              <w:pStyle w:val="1063"/>
              <w:jc w:val="center"/>
              <w:widowControl w:val="off"/>
              <w:rPr>
                <w:sz w:val="20"/>
                <w:szCs w:val="20"/>
              </w:rPr>
            </w:pPr>
            <w:r>
              <w:rPr>
                <w:rFonts w:ascii="Arial Narrow" w:hAnsi="Arial Narrow" w:cs="Calibri"/>
                <w:sz w:val="20"/>
                <w:szCs w:val="20"/>
              </w:rPr>
              <w:t xml:space="preserve">1 613,597</w:t>
            </w:r>
            <w:r>
              <w:rPr>
                <w:sz w:val="20"/>
                <w:szCs w:val="20"/>
              </w:rPr>
            </w:r>
            <w:r>
              <w:rPr>
                <w:sz w:val="20"/>
                <w:szCs w:val="20"/>
              </w:rPr>
            </w:r>
          </w:p>
        </w:tc>
        <w:tc>
          <w:tcPr>
            <w:tcBorders>
              <w:top w:val="single" w:color="000000" w:sz="4" w:space="0"/>
              <w:bottom w:val="single" w:color="000000" w:sz="4" w:space="0"/>
              <w:right w:val="single" w:color="000000" w:sz="4" w:space="0"/>
            </w:tcBorders>
            <w:tcW w:w="1525" w:type="dxa"/>
            <w:textDirection w:val="lrTb"/>
            <w:noWrap w:val="false"/>
          </w:tcPr>
          <w:p>
            <w:pPr>
              <w:pStyle w:val="1063"/>
              <w:jc w:val="center"/>
              <w:widowControl w:val="off"/>
              <w:rPr>
                <w:sz w:val="20"/>
                <w:szCs w:val="20"/>
              </w:rPr>
            </w:pPr>
            <w:r>
              <w:rPr>
                <w:rFonts w:ascii="Arial Narrow" w:hAnsi="Arial Narrow" w:cs="Calibri"/>
                <w:sz w:val="20"/>
                <w:szCs w:val="20"/>
              </w:rPr>
              <w:t xml:space="preserve">45,129</w:t>
            </w:r>
            <w:r>
              <w:rPr>
                <w:sz w:val="20"/>
                <w:szCs w:val="20"/>
              </w:rPr>
            </w:r>
            <w:r>
              <w:rPr>
                <w:sz w:val="20"/>
                <w:szCs w:val="20"/>
              </w:rPr>
            </w:r>
          </w:p>
        </w:tc>
        <w:tc>
          <w:tcPr>
            <w:tcBorders>
              <w:top w:val="single" w:color="000000" w:sz="4" w:space="0"/>
              <w:bottom w:val="single" w:color="000000" w:sz="4" w:space="0"/>
              <w:right w:val="single" w:color="000000" w:sz="4" w:space="0"/>
            </w:tcBorders>
            <w:tcW w:w="1272" w:type="dxa"/>
            <w:textDirection w:val="lrTb"/>
            <w:noWrap w:val="false"/>
          </w:tcPr>
          <w:p>
            <w:pPr>
              <w:pStyle w:val="1063"/>
              <w:jc w:val="center"/>
              <w:widowControl w:val="off"/>
              <w:rPr>
                <w:sz w:val="20"/>
                <w:szCs w:val="20"/>
              </w:rPr>
            </w:pPr>
            <w:r>
              <w:rPr>
                <w:rFonts w:ascii="Arial Narrow" w:hAnsi="Arial Narrow" w:cs="Calibri"/>
                <w:sz w:val="20"/>
                <w:szCs w:val="20"/>
              </w:rPr>
              <w:t xml:space="preserve">1 692,040</w:t>
            </w:r>
            <w:r>
              <w:rPr>
                <w:sz w:val="20"/>
                <w:szCs w:val="20"/>
              </w:rPr>
            </w:r>
            <w:r>
              <w:rPr>
                <w:sz w:val="20"/>
                <w:szCs w:val="20"/>
              </w:rPr>
            </w:r>
          </w:p>
        </w:tc>
        <w:tc>
          <w:tcPr>
            <w:tcBorders>
              <w:top w:val="single" w:color="000000" w:sz="4" w:space="0"/>
              <w:bottom w:val="single" w:color="000000" w:sz="4" w:space="0"/>
              <w:right w:val="single" w:color="000000" w:sz="4" w:space="0"/>
            </w:tcBorders>
            <w:tcW w:w="1718" w:type="dxa"/>
            <w:textDirection w:val="lrTb"/>
            <w:noWrap w:val="false"/>
          </w:tcPr>
          <w:p>
            <w:pPr>
              <w:pStyle w:val="1063"/>
              <w:jc w:val="center"/>
              <w:widowControl w:val="off"/>
              <w:rPr>
                <w:sz w:val="20"/>
                <w:szCs w:val="20"/>
              </w:rPr>
            </w:pPr>
            <w:r>
              <w:rPr>
                <w:rFonts w:ascii="Arial Narrow" w:hAnsi="Arial Narrow" w:cs="Calibri"/>
                <w:sz w:val="20"/>
                <w:szCs w:val="20"/>
              </w:rPr>
              <w:t xml:space="preserve">78,443</w:t>
            </w:r>
            <w:r>
              <w:rPr>
                <w:sz w:val="20"/>
                <w:szCs w:val="20"/>
              </w:rPr>
            </w:r>
            <w:r>
              <w:rPr>
                <w:sz w:val="20"/>
                <w:szCs w:val="20"/>
              </w:rPr>
            </w:r>
          </w:p>
        </w:tc>
      </w:tr>
    </w:tbl>
    <w:p>
      <w:pPr>
        <w:pStyle w:val="1063"/>
        <w:ind w:firstLine="720"/>
        <w:jc w:val="both"/>
        <w:rPr>
          <w:rFonts w:ascii="Arial Narrow" w:hAnsi="Arial Narrow" w:cs="Calibri"/>
          <w:sz w:val="10"/>
          <w:szCs w:val="10"/>
        </w:rPr>
      </w:pPr>
      <w:r>
        <w:rPr>
          <w:rFonts w:ascii="Arial Narrow" w:hAnsi="Arial Narrow" w:cs="Calibri"/>
          <w:sz w:val="10"/>
          <w:szCs w:val="10"/>
        </w:rPr>
      </w:r>
      <w:r>
        <w:rPr>
          <w:rFonts w:ascii="Arial Narrow" w:hAnsi="Arial Narrow" w:cs="Calibri"/>
          <w:sz w:val="10"/>
          <w:szCs w:val="10"/>
        </w:rPr>
      </w:r>
      <w:r>
        <w:rPr>
          <w:rFonts w:ascii="Arial Narrow" w:hAnsi="Arial Narrow" w:cs="Calibri"/>
          <w:sz w:val="10"/>
          <w:szCs w:val="10"/>
        </w:rPr>
      </w:r>
    </w:p>
    <w:p>
      <w:pPr>
        <w:pStyle w:val="1063"/>
        <w:ind w:firstLine="567"/>
        <w:jc w:val="both"/>
      </w:pPr>
      <w:r>
        <w:rPr>
          <w:rFonts w:ascii="Arial Narrow" w:hAnsi="Arial Narrow"/>
          <w:color w:val="0f0d29"/>
          <w:lang w:eastAsia="ru-RU"/>
        </w:rPr>
        <w:t xml:space="preserve">Выработка электрической энергии станциями ПАО «Камчатскэнерго» в 2024 году составила </w:t>
      </w:r>
      <w:r>
        <w:rPr>
          <w:rFonts w:ascii="Arial Narrow" w:hAnsi="Arial Narrow"/>
          <w:color w:val="0f0d29"/>
          <w:lang w:eastAsia="ru-RU"/>
        </w:rPr>
        <w:br/>
        <w:t xml:space="preserve">1 692,040 млн. кВтч, что на 78,443 млн. кВтч больше, чем в 2023 году.</w:t>
      </w:r>
      <w:r/>
    </w:p>
    <w:p>
      <w:pPr>
        <w:pStyle w:val="1063"/>
        <w:ind w:firstLine="567"/>
        <w:jc w:val="both"/>
      </w:pPr>
      <w:r>
        <w:rPr>
          <w:rFonts w:ascii="Arial Narrow" w:hAnsi="Arial Narrow"/>
          <w:color w:val="0f0d29"/>
          <w:lang w:eastAsia="ru-RU"/>
        </w:rPr>
        <w:t xml:space="preserve">Увеличение объемов выработки электрической энергии произошло за счет роста потребления электроэнергии и увеличения числа дней в феврале високосного 2024 года.</w:t>
      </w:r>
      <w:r/>
    </w:p>
    <w:p>
      <w:pPr>
        <w:pStyle w:val="1063"/>
        <w:ind w:firstLine="567"/>
        <w:jc w:val="both"/>
      </w:pPr>
      <w:r>
        <w:rPr>
          <w:rFonts w:ascii="Arial Narrow" w:hAnsi="Arial Narrow"/>
          <w:color w:val="0f0d29"/>
          <w:lang w:eastAsia="ru-RU"/>
        </w:rPr>
        <w:t xml:space="preserve">Увеличение объемов выработки электрической энергии в 2023 году на 45,129 млн. кВтч произошло за счет роста потребления электроэнергии.</w:t>
      </w:r>
      <w:r/>
    </w:p>
    <w:p>
      <w:pPr>
        <w:pStyle w:val="1063"/>
        <w:ind w:firstLine="708"/>
        <w:jc w:val="both"/>
        <w:rPr>
          <w:rFonts w:ascii="Arial Narrow" w:hAnsi="Arial Narrow"/>
          <w:sz w:val="10"/>
          <w:szCs w:val="10"/>
        </w:rPr>
      </w:pPr>
      <w:r>
        <w:rPr>
          <w:rFonts w:ascii="Arial Narrow" w:hAnsi="Arial Narrow"/>
          <w:sz w:val="10"/>
          <w:szCs w:val="10"/>
        </w:rPr>
      </w:r>
      <w:r>
        <w:rPr>
          <w:rFonts w:ascii="Arial Narrow" w:hAnsi="Arial Narrow"/>
          <w:sz w:val="10"/>
          <w:szCs w:val="10"/>
        </w:rPr>
      </w:r>
      <w:r>
        <w:rPr>
          <w:rFonts w:ascii="Arial Narrow" w:hAnsi="Arial Narrow"/>
          <w:sz w:val="10"/>
          <w:szCs w:val="10"/>
        </w:rPr>
      </w:r>
    </w:p>
    <w:p>
      <w:pPr>
        <w:rPr>
          <w:rFonts w:ascii="Arial Narrow" w:hAnsi="Arial Narrow" w:eastAsia="Calibri" w:cs="Calibri"/>
          <w:b/>
          <w:color w:val="314e87"/>
          <w:sz w:val="24"/>
          <w:szCs w:val="24"/>
          <w:lang w:eastAsia="ja-JP"/>
        </w:rPr>
      </w:pPr>
      <w:r>
        <w:br w:type="page" w:clear="all"/>
      </w:r>
      <w:r>
        <w:rPr>
          <w:rFonts w:ascii="Arial Narrow" w:hAnsi="Arial Narrow" w:eastAsia="Calibri" w:cs="Calibri"/>
          <w:b/>
          <w:color w:val="314e87"/>
          <w:sz w:val="24"/>
          <w:szCs w:val="24"/>
          <w:lang w:eastAsia="ja-JP"/>
        </w:rPr>
      </w:r>
      <w:r>
        <w:rPr>
          <w:rFonts w:ascii="Arial Narrow" w:hAnsi="Arial Narrow" w:eastAsia="Calibri" w:cs="Calibri"/>
          <w:b/>
          <w:color w:val="314e87"/>
          <w:sz w:val="24"/>
          <w:szCs w:val="24"/>
          <w:lang w:eastAsia="ja-JP"/>
        </w:rPr>
      </w:r>
    </w:p>
    <w:p>
      <w:pPr>
        <w:pStyle w:val="1096"/>
        <w:ind w:left="0" w:right="139"/>
        <w:jc w:val="both"/>
        <w:spacing w:after="0" w:line="276" w:lineRule="auto"/>
      </w:pPr>
      <w:r>
        <w:rPr>
          <w:rFonts w:ascii="Arial Narrow" w:hAnsi="Arial Narrow" w:cs="Calibri"/>
          <w:b/>
          <w:color w:val="314e87"/>
          <w:sz w:val="24"/>
          <w:szCs w:val="24"/>
        </w:rPr>
        <w:t xml:space="preserve">Отпуск и распределение теплоэнергии</w:t>
      </w:r>
      <w:r/>
    </w:p>
    <w:p>
      <w:pPr>
        <w:pStyle w:val="1096"/>
        <w:ind w:left="0" w:right="-5"/>
        <w:jc w:val="both"/>
        <w:spacing w:after="0" w:line="276" w:lineRule="auto"/>
      </w:pPr>
      <w:r>
        <w:rPr>
          <w:rFonts w:ascii="Arial Narrow" w:hAnsi="Arial Narrow" w:cs="Calibri"/>
          <w:b/>
          <w:bCs/>
          <w:color w:val="314e87"/>
          <w:sz w:val="24"/>
          <w:szCs w:val="24"/>
        </w:rPr>
        <w:t xml:space="preserve">Изменение установленной тепловой мощности электростанций и котельных</w:t>
      </w:r>
      <w:r/>
    </w:p>
    <w:p>
      <w:pPr>
        <w:pStyle w:val="1063"/>
        <w:ind w:left="7920"/>
        <w:rPr>
          <w:lang w:val="en-US"/>
        </w:rPr>
      </w:pPr>
      <w:r>
        <w:rPr>
          <w:rFonts w:ascii="Arial Narrow" w:hAnsi="Arial Narrow" w:eastAsia="Calibri" w:cs="Calibri"/>
          <w:i/>
          <w:lang w:eastAsia="ja-JP"/>
        </w:rPr>
        <w:t xml:space="preserve">              Таблица № </w:t>
      </w:r>
      <w:r>
        <w:rPr>
          <w:rFonts w:ascii="Arial Narrow" w:hAnsi="Arial Narrow" w:eastAsia="Calibri" w:cs="Calibri"/>
          <w:i/>
          <w:lang w:val="en-US" w:eastAsia="ja-JP"/>
        </w:rPr>
        <w:t xml:space="preserve">7</w:t>
      </w:r>
      <w:r>
        <w:rPr>
          <w:lang w:val="en-US"/>
        </w:rPr>
      </w:r>
      <w:r>
        <w:rPr>
          <w:lang w:val="en-US"/>
        </w:rPr>
      </w:r>
    </w:p>
    <w:tbl>
      <w:tblPr>
        <w:tblW w:w="9918" w:type="dxa"/>
        <w:jc w:val="center"/>
        <w:tblLayout w:type="fixed"/>
        <w:tblLook w:val="04A0" w:firstRow="1" w:lastRow="0" w:firstColumn="1" w:lastColumn="0" w:noHBand="0" w:noVBand="1"/>
      </w:tblPr>
      <w:tblGrid>
        <w:gridCol w:w="420"/>
        <w:gridCol w:w="3290"/>
        <w:gridCol w:w="1132"/>
        <w:gridCol w:w="1135"/>
        <w:gridCol w:w="1278"/>
        <w:gridCol w:w="1275"/>
        <w:gridCol w:w="1388"/>
      </w:tblGrid>
      <w:tr>
        <w:trPr>
          <w:cantSplit/>
          <w:jc w:val="center"/>
          <w:trHeight w:val="53"/>
          <w:tblHeader/>
        </w:trPr>
        <w:tc>
          <w:tcPr>
            <w:tcBorders>
              <w:top w:val="single" w:color="000000" w:sz="4" w:space="0"/>
              <w:left w:val="single" w:color="000000" w:sz="4" w:space="0"/>
              <w:bottom w:val="single" w:color="000000" w:sz="4" w:space="0"/>
              <w:right w:val="single" w:color="000000" w:sz="4" w:space="0"/>
            </w:tcBorders>
            <w:tcW w:w="419" w:type="dxa"/>
            <w:vAlign w:val="center"/>
            <w:vMerge w:val="restart"/>
            <w:textDirection w:val="lrTb"/>
            <w:noWrap w:val="false"/>
          </w:tcPr>
          <w:p>
            <w:pPr>
              <w:pStyle w:val="1063"/>
              <w:ind w:left="-109" w:right="-105"/>
              <w:jc w:val="center"/>
              <w:widowControl w:val="off"/>
              <w:rPr>
                <w:sz w:val="20"/>
                <w:szCs w:val="20"/>
              </w:rPr>
            </w:pPr>
            <w:r>
              <w:rPr>
                <w:rFonts w:ascii="Arial Narrow" w:hAnsi="Arial Narrow" w:cs="Calibri"/>
                <w:sz w:val="20"/>
                <w:szCs w:val="20"/>
              </w:rPr>
              <w:t xml:space="preserve">№ п/п</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290" w:type="dxa"/>
            <w:vAlign w:val="center"/>
            <w:vMerge w:val="restart"/>
            <w:textDirection w:val="lrTb"/>
            <w:noWrap w:val="false"/>
          </w:tcPr>
          <w:p>
            <w:pPr>
              <w:pStyle w:val="1063"/>
              <w:ind w:left="-157"/>
              <w:jc w:val="center"/>
              <w:widowControl w:val="off"/>
              <w:rPr>
                <w:sz w:val="20"/>
                <w:szCs w:val="20"/>
              </w:rPr>
            </w:pPr>
            <w:r>
              <w:rPr>
                <w:rFonts w:ascii="Arial Narrow" w:hAnsi="Arial Narrow" w:cs="Calibri"/>
                <w:sz w:val="20"/>
                <w:szCs w:val="20"/>
              </w:rPr>
              <w:t xml:space="preserve">Наименование электростанции котельной,</w:t>
            </w:r>
            <w:r>
              <w:rPr>
                <w:sz w:val="20"/>
                <w:szCs w:val="20"/>
              </w:rPr>
            </w:r>
            <w:r>
              <w:rPr>
                <w:sz w:val="20"/>
                <w:szCs w:val="20"/>
              </w:rPr>
            </w:r>
          </w:p>
          <w:p>
            <w:pPr>
              <w:pStyle w:val="1063"/>
              <w:ind w:left="-157" w:right="-107"/>
              <w:jc w:val="center"/>
              <w:widowControl w:val="off"/>
              <w:rPr>
                <w:sz w:val="20"/>
                <w:szCs w:val="20"/>
              </w:rPr>
            </w:pPr>
            <w:r>
              <w:rPr>
                <w:rFonts w:ascii="Arial Narrow" w:hAnsi="Arial Narrow" w:cs="Calibri"/>
                <w:sz w:val="20"/>
                <w:szCs w:val="20"/>
              </w:rPr>
              <w:t xml:space="preserve">электрокотельной</w:t>
            </w:r>
            <w:r>
              <w:rPr>
                <w:sz w:val="20"/>
                <w:szCs w:val="20"/>
              </w:rPr>
            </w:r>
            <w:r>
              <w:rPr>
                <w:sz w:val="20"/>
                <w:szCs w:val="20"/>
              </w:rPr>
            </w:r>
          </w:p>
        </w:tc>
        <w:tc>
          <w:tcPr>
            <w:gridSpan w:val="2"/>
            <w:tcBorders>
              <w:top w:val="single" w:color="000000" w:sz="4" w:space="0"/>
              <w:bottom w:val="single" w:color="000000" w:sz="4" w:space="0"/>
              <w:right w:val="single" w:color="000000" w:sz="4" w:space="0"/>
            </w:tcBorders>
            <w:tcW w:w="2267" w:type="dxa"/>
            <w:vAlign w:val="center"/>
            <w:textDirection w:val="lrTb"/>
            <w:noWrap w:val="false"/>
          </w:tcPr>
          <w:p>
            <w:pPr>
              <w:pStyle w:val="1063"/>
              <w:jc w:val="center"/>
              <w:widowControl w:val="off"/>
              <w:rPr>
                <w:sz w:val="20"/>
                <w:szCs w:val="20"/>
              </w:rPr>
            </w:pPr>
            <w:r>
              <w:rPr>
                <w:rFonts w:ascii="Arial Narrow" w:hAnsi="Arial Narrow" w:cs="Calibri"/>
                <w:sz w:val="20"/>
                <w:szCs w:val="20"/>
                <w:lang w:val="en-US"/>
              </w:rPr>
              <w:t xml:space="preserve">Q</w:t>
            </w:r>
            <w:r>
              <w:rPr>
                <w:rFonts w:ascii="Arial Narrow" w:hAnsi="Arial Narrow" w:cs="Calibri"/>
                <w:sz w:val="20"/>
                <w:szCs w:val="20"/>
              </w:rPr>
              <w:t xml:space="preserve">уст (Гкал/ч)</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78" w:type="dxa"/>
            <w:vAlign w:val="center"/>
            <w:vMerge w:val="restart"/>
            <w:textDirection w:val="lrTb"/>
            <w:noWrap w:val="false"/>
          </w:tcPr>
          <w:p>
            <w:pPr>
              <w:pStyle w:val="1063"/>
              <w:jc w:val="center"/>
              <w:widowControl w:val="off"/>
              <w:rPr>
                <w:sz w:val="20"/>
                <w:szCs w:val="20"/>
              </w:rPr>
            </w:pPr>
            <w:r>
              <w:rPr>
                <w:rFonts w:ascii="Arial Narrow" w:hAnsi="Arial Narrow" w:cs="Calibri"/>
                <w:sz w:val="20"/>
                <w:szCs w:val="20"/>
              </w:rPr>
              <w:t xml:space="preserve">Изменение</w:t>
            </w:r>
            <w:r>
              <w:rPr>
                <w:sz w:val="20"/>
                <w:szCs w:val="20"/>
              </w:rPr>
            </w:r>
            <w:r>
              <w:rPr>
                <w:sz w:val="20"/>
                <w:szCs w:val="20"/>
              </w:rPr>
            </w:r>
          </w:p>
          <w:p>
            <w:pPr>
              <w:pStyle w:val="1063"/>
              <w:jc w:val="center"/>
              <w:widowControl w:val="off"/>
              <w:rPr>
                <w:sz w:val="20"/>
                <w:szCs w:val="20"/>
              </w:rPr>
            </w:pPr>
            <w:r>
              <w:rPr>
                <w:rFonts w:ascii="Arial Narrow" w:hAnsi="Arial Narrow" w:cs="Calibri"/>
                <w:sz w:val="20"/>
                <w:szCs w:val="20"/>
              </w:rPr>
              <w:t xml:space="preserve"> 2023/2022, Гкал/ч</w:t>
            </w:r>
            <w:r>
              <w:rPr>
                <w:sz w:val="20"/>
                <w:szCs w:val="20"/>
              </w:rPr>
            </w:r>
            <w:r>
              <w:rPr>
                <w:sz w:val="20"/>
                <w:szCs w:val="20"/>
              </w:rPr>
            </w:r>
          </w:p>
        </w:tc>
        <w:tc>
          <w:tcPr>
            <w:tcBorders>
              <w:top w:val="single" w:color="000000" w:sz="4" w:space="0"/>
              <w:bottom w:val="single" w:color="000000" w:sz="4" w:space="0"/>
              <w:right w:val="single" w:color="000000" w:sz="4" w:space="0"/>
            </w:tcBorders>
            <w:tcW w:w="1275" w:type="dxa"/>
            <w:vAlign w:val="center"/>
            <w:textDirection w:val="lrTb"/>
            <w:noWrap w:val="false"/>
          </w:tcPr>
          <w:p>
            <w:pPr>
              <w:pStyle w:val="1063"/>
              <w:ind w:left="-106" w:right="-109"/>
              <w:jc w:val="center"/>
              <w:widowControl w:val="off"/>
              <w:rPr>
                <w:sz w:val="20"/>
                <w:szCs w:val="20"/>
              </w:rPr>
            </w:pPr>
            <w:r>
              <w:rPr>
                <w:rFonts w:ascii="Arial Narrow" w:hAnsi="Arial Narrow" w:cs="Calibri"/>
                <w:sz w:val="20"/>
                <w:szCs w:val="20"/>
                <w:lang w:val="en-US"/>
              </w:rPr>
              <w:t xml:space="preserve">Q</w:t>
            </w:r>
            <w:r>
              <w:rPr>
                <w:rFonts w:ascii="Arial Narrow" w:hAnsi="Arial Narrow" w:cs="Calibri"/>
                <w:sz w:val="20"/>
                <w:szCs w:val="20"/>
              </w:rPr>
              <w:t xml:space="preserve">уст (Гкал/ч)</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388" w:type="dxa"/>
            <w:vAlign w:val="center"/>
            <w:vMerge w:val="restart"/>
            <w:textDirection w:val="lrTb"/>
            <w:noWrap w:val="false"/>
          </w:tcPr>
          <w:p>
            <w:pPr>
              <w:pStyle w:val="1063"/>
              <w:jc w:val="center"/>
              <w:widowControl w:val="off"/>
              <w:rPr>
                <w:sz w:val="20"/>
                <w:szCs w:val="20"/>
              </w:rPr>
            </w:pPr>
            <w:r>
              <w:rPr>
                <w:rFonts w:ascii="Arial Narrow" w:hAnsi="Arial Narrow" w:cs="Calibri"/>
                <w:sz w:val="20"/>
                <w:szCs w:val="20"/>
              </w:rPr>
              <w:t xml:space="preserve">Изменение</w:t>
            </w:r>
            <w:r>
              <w:rPr>
                <w:sz w:val="20"/>
                <w:szCs w:val="20"/>
              </w:rPr>
            </w:r>
            <w:r>
              <w:rPr>
                <w:sz w:val="20"/>
                <w:szCs w:val="20"/>
              </w:rPr>
            </w:r>
          </w:p>
          <w:p>
            <w:pPr>
              <w:pStyle w:val="1063"/>
              <w:jc w:val="center"/>
              <w:widowControl w:val="off"/>
              <w:rPr>
                <w:sz w:val="20"/>
                <w:szCs w:val="20"/>
              </w:rPr>
            </w:pPr>
            <w:r>
              <w:rPr>
                <w:rFonts w:ascii="Arial Narrow" w:hAnsi="Arial Narrow" w:cs="Calibri"/>
                <w:sz w:val="20"/>
                <w:szCs w:val="20"/>
              </w:rPr>
              <w:t xml:space="preserve"> 2024/2023,</w:t>
            </w:r>
            <w:r>
              <w:rPr>
                <w:sz w:val="20"/>
                <w:szCs w:val="20"/>
              </w:rPr>
            </w:r>
            <w:r>
              <w:rPr>
                <w:sz w:val="20"/>
                <w:szCs w:val="20"/>
              </w:rPr>
            </w:r>
          </w:p>
          <w:p>
            <w:pPr>
              <w:pStyle w:val="1063"/>
              <w:jc w:val="center"/>
              <w:widowControl w:val="off"/>
              <w:rPr>
                <w:sz w:val="20"/>
                <w:szCs w:val="20"/>
              </w:rPr>
            </w:pPr>
            <w:r>
              <w:rPr>
                <w:rFonts w:ascii="Arial Narrow" w:hAnsi="Arial Narrow" w:cs="Calibri"/>
                <w:sz w:val="20"/>
                <w:szCs w:val="20"/>
              </w:rPr>
              <w:t xml:space="preserve">Гкал/ч</w:t>
            </w:r>
            <w:r>
              <w:rPr>
                <w:sz w:val="20"/>
                <w:szCs w:val="20"/>
              </w:rPr>
            </w:r>
            <w:r>
              <w:rPr>
                <w:sz w:val="20"/>
                <w:szCs w:val="20"/>
              </w:rPr>
            </w:r>
          </w:p>
        </w:tc>
      </w:tr>
      <w:tr>
        <w:trPr>
          <w:cantSplit/>
          <w:jc w:val="center"/>
          <w:trHeight w:val="71"/>
          <w:tblHeader/>
        </w:trPr>
        <w:tc>
          <w:tcPr>
            <w:tcBorders>
              <w:top w:val="single" w:color="000000" w:sz="4" w:space="0"/>
              <w:left w:val="single" w:color="000000" w:sz="4" w:space="0"/>
              <w:bottom w:val="single" w:color="000000" w:sz="4" w:space="0"/>
              <w:right w:val="single" w:color="000000" w:sz="4" w:space="0"/>
            </w:tcBorders>
            <w:tcW w:w="419"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290"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tcBorders>
              <w:bottom w:val="single" w:color="000000" w:sz="4" w:space="0"/>
              <w:right w:val="single" w:color="000000" w:sz="4" w:space="0"/>
            </w:tcBorders>
            <w:tcW w:w="1132" w:type="dxa"/>
            <w:vAlign w:val="center"/>
            <w:textDirection w:val="lrTb"/>
            <w:noWrap w:val="false"/>
          </w:tcPr>
          <w:p>
            <w:pPr>
              <w:pStyle w:val="1063"/>
              <w:ind w:left="-152" w:right="-96"/>
              <w:jc w:val="center"/>
              <w:widowControl w:val="off"/>
              <w:rPr>
                <w:sz w:val="20"/>
                <w:szCs w:val="20"/>
              </w:rPr>
            </w:pPr>
            <w:r>
              <w:rPr>
                <w:rFonts w:ascii="Arial Narrow" w:hAnsi="Arial Narrow" w:cs="Calibri"/>
                <w:sz w:val="20"/>
                <w:szCs w:val="20"/>
              </w:rPr>
              <w:t xml:space="preserve">31.12.2022</w:t>
            </w:r>
            <w:r>
              <w:rPr>
                <w:sz w:val="20"/>
                <w:szCs w:val="20"/>
              </w:rPr>
            </w:r>
            <w:r>
              <w:rPr>
                <w:sz w:val="20"/>
                <w:szCs w:val="20"/>
              </w:rPr>
            </w:r>
          </w:p>
        </w:tc>
        <w:tc>
          <w:tcPr>
            <w:tcBorders>
              <w:bottom w:val="single" w:color="000000" w:sz="4" w:space="0"/>
              <w:right w:val="single" w:color="000000" w:sz="4" w:space="0"/>
            </w:tcBorders>
            <w:tcW w:w="1135" w:type="dxa"/>
            <w:vAlign w:val="center"/>
            <w:textDirection w:val="lrTb"/>
            <w:noWrap w:val="false"/>
          </w:tcPr>
          <w:p>
            <w:pPr>
              <w:pStyle w:val="1063"/>
              <w:ind w:left="-152" w:right="-108"/>
              <w:jc w:val="center"/>
              <w:widowControl w:val="off"/>
              <w:rPr>
                <w:sz w:val="20"/>
                <w:szCs w:val="20"/>
              </w:rPr>
            </w:pPr>
            <w:r>
              <w:rPr>
                <w:rFonts w:ascii="Arial Narrow" w:hAnsi="Arial Narrow" w:cs="Calibri"/>
                <w:sz w:val="20"/>
                <w:szCs w:val="20"/>
              </w:rPr>
              <w:t xml:space="preserve">31.12.2023</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78"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tcBorders>
              <w:bottom w:val="single" w:color="000000" w:sz="4" w:space="0"/>
              <w:right w:val="single" w:color="000000" w:sz="4" w:space="0"/>
            </w:tcBorders>
            <w:tcW w:w="1275" w:type="dxa"/>
            <w:vAlign w:val="center"/>
            <w:textDirection w:val="lrTb"/>
            <w:noWrap w:val="false"/>
          </w:tcPr>
          <w:p>
            <w:pPr>
              <w:pStyle w:val="1063"/>
              <w:ind w:left="-107"/>
              <w:jc w:val="center"/>
              <w:widowControl w:val="off"/>
              <w:rPr>
                <w:sz w:val="20"/>
                <w:szCs w:val="20"/>
              </w:rPr>
            </w:pPr>
            <w:r>
              <w:rPr>
                <w:rFonts w:ascii="Arial Narrow" w:hAnsi="Arial Narrow" w:cs="Calibri"/>
                <w:sz w:val="20"/>
                <w:szCs w:val="20"/>
              </w:rPr>
              <w:t xml:space="preserve">31.12.2024</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388"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r>
      <w:tr>
        <w:trPr>
          <w:cantSplit/>
          <w:jc w:val="center"/>
          <w:trHeight w:val="50"/>
        </w:trPr>
        <w:tc>
          <w:tcPr>
            <w:tcBorders>
              <w:top w:val="single" w:color="000000" w:sz="4" w:space="0"/>
              <w:left w:val="single" w:color="000000" w:sz="4" w:space="0"/>
              <w:bottom w:val="single" w:color="000000" w:sz="4" w:space="0"/>
              <w:right w:val="single" w:color="000000" w:sz="4" w:space="0"/>
            </w:tcBorders>
            <w:tcW w:w="419" w:type="dxa"/>
            <w:vAlign w:val="center"/>
            <w:textDirection w:val="lrTb"/>
            <w:noWrap w:val="false"/>
          </w:tcPr>
          <w:p>
            <w:pPr>
              <w:pStyle w:val="1063"/>
              <w:ind w:left="-109" w:right="-105"/>
              <w:jc w:val="center"/>
              <w:widowControl w:val="off"/>
              <w:rPr>
                <w:sz w:val="20"/>
                <w:szCs w:val="20"/>
              </w:rPr>
            </w:pPr>
            <w:r>
              <w:rPr>
                <w:rFonts w:ascii="Arial Narrow" w:hAnsi="Arial Narrow" w:cs="Calibri"/>
                <w:sz w:val="20"/>
                <w:szCs w:val="20"/>
              </w:rPr>
              <w:t xml:space="preserve">1</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290" w:type="dxa"/>
            <w:textDirection w:val="lrTb"/>
            <w:noWrap w:val="false"/>
          </w:tcPr>
          <w:p>
            <w:pPr>
              <w:pStyle w:val="1063"/>
              <w:ind w:right="-107"/>
              <w:widowControl w:val="off"/>
              <w:rPr>
                <w:sz w:val="20"/>
                <w:szCs w:val="20"/>
              </w:rPr>
            </w:pPr>
            <w:r>
              <w:rPr>
                <w:rFonts w:ascii="Arial Narrow" w:hAnsi="Arial Narrow" w:cs="Calibri"/>
                <w:sz w:val="20"/>
                <w:szCs w:val="20"/>
              </w:rPr>
              <w:t xml:space="preserve">КТЭЦ-1</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32" w:type="dxa"/>
            <w:textDirection w:val="lrTb"/>
            <w:noWrap w:val="false"/>
          </w:tcPr>
          <w:p>
            <w:pPr>
              <w:pStyle w:val="1063"/>
              <w:ind w:right="-107"/>
              <w:jc w:val="center"/>
              <w:widowControl w:val="off"/>
              <w:rPr>
                <w:sz w:val="20"/>
                <w:szCs w:val="20"/>
              </w:rPr>
            </w:pPr>
            <w:r>
              <w:rPr>
                <w:rFonts w:ascii="Arial Narrow" w:hAnsi="Arial Narrow" w:cs="Calibri"/>
                <w:sz w:val="20"/>
                <w:szCs w:val="20"/>
              </w:rPr>
              <w:t xml:space="preserve">289,000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35" w:type="dxa"/>
            <w:textDirection w:val="lrTb"/>
            <w:noWrap w:val="false"/>
          </w:tcPr>
          <w:p>
            <w:pPr>
              <w:pStyle w:val="1063"/>
              <w:ind w:right="-107"/>
              <w:jc w:val="center"/>
              <w:widowControl w:val="off"/>
              <w:rPr>
                <w:sz w:val="20"/>
                <w:szCs w:val="20"/>
              </w:rPr>
            </w:pPr>
            <w:r>
              <w:rPr>
                <w:rFonts w:ascii="Arial Narrow" w:hAnsi="Arial Narrow" w:cs="Calibri"/>
                <w:sz w:val="20"/>
                <w:szCs w:val="20"/>
              </w:rPr>
              <w:t xml:space="preserve">289,000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78" w:type="dxa"/>
            <w:vAlign w:val="center"/>
            <w:textDirection w:val="lrTb"/>
            <w:noWrap w:val="false"/>
          </w:tcPr>
          <w:p>
            <w:pPr>
              <w:pStyle w:val="1063"/>
              <w:ind w:right="-107"/>
              <w:jc w:val="center"/>
              <w:widowControl w:val="off"/>
              <w:rPr>
                <w:sz w:val="20"/>
                <w:szCs w:val="20"/>
              </w:rPr>
            </w:pPr>
            <w:r>
              <w:rPr>
                <w:rFonts w:ascii="Arial Narrow" w:hAnsi="Arial Narrow" w:cs="Calibri"/>
                <w:sz w:val="20"/>
                <w:szCs w:val="20"/>
              </w:rPr>
              <w:t xml:space="preserve">0,000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75" w:type="dxa"/>
            <w:textDirection w:val="lrTb"/>
            <w:noWrap w:val="false"/>
          </w:tcPr>
          <w:p>
            <w:pPr>
              <w:pStyle w:val="1063"/>
              <w:ind w:right="-107"/>
              <w:jc w:val="center"/>
              <w:widowControl w:val="off"/>
              <w:rPr>
                <w:sz w:val="20"/>
                <w:szCs w:val="20"/>
              </w:rPr>
            </w:pPr>
            <w:r>
              <w:rPr>
                <w:rFonts w:ascii="Arial Narrow" w:hAnsi="Arial Narrow" w:cs="Calibri"/>
                <w:sz w:val="20"/>
                <w:szCs w:val="20"/>
              </w:rPr>
              <w:t xml:space="preserve">289,000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388" w:type="dxa"/>
            <w:vAlign w:val="center"/>
            <w:textDirection w:val="lrTb"/>
            <w:noWrap w:val="false"/>
          </w:tcPr>
          <w:p>
            <w:pPr>
              <w:pStyle w:val="1063"/>
              <w:ind w:right="-107"/>
              <w:jc w:val="center"/>
              <w:widowControl w:val="off"/>
              <w:rPr>
                <w:sz w:val="20"/>
                <w:szCs w:val="20"/>
              </w:rPr>
            </w:pPr>
            <w:r>
              <w:rPr>
                <w:rFonts w:ascii="Arial Narrow" w:hAnsi="Arial Narrow" w:cs="Calibri"/>
                <w:sz w:val="20"/>
                <w:szCs w:val="20"/>
              </w:rPr>
              <w:t xml:space="preserve">0,000</w:t>
            </w:r>
            <w:r>
              <w:rPr>
                <w:sz w:val="20"/>
                <w:szCs w:val="20"/>
              </w:rPr>
            </w:r>
            <w:r>
              <w:rPr>
                <w:sz w:val="20"/>
                <w:szCs w:val="20"/>
              </w:rPr>
            </w:r>
          </w:p>
        </w:tc>
      </w:tr>
      <w:tr>
        <w:trPr>
          <w:cantSplit/>
          <w:jc w:val="center"/>
          <w:trHeight w:val="50"/>
        </w:trPr>
        <w:tc>
          <w:tcPr>
            <w:tcBorders>
              <w:top w:val="single" w:color="000000" w:sz="4" w:space="0"/>
              <w:left w:val="single" w:color="000000" w:sz="4" w:space="0"/>
              <w:bottom w:val="single" w:color="000000" w:sz="4" w:space="0"/>
              <w:right w:val="single" w:color="000000" w:sz="4" w:space="0"/>
            </w:tcBorders>
            <w:tcW w:w="419" w:type="dxa"/>
            <w:vAlign w:val="center"/>
            <w:textDirection w:val="lrTb"/>
            <w:noWrap w:val="false"/>
          </w:tcPr>
          <w:p>
            <w:pPr>
              <w:pStyle w:val="1063"/>
              <w:ind w:left="-109" w:right="-105"/>
              <w:jc w:val="center"/>
              <w:widowControl w:val="off"/>
              <w:rPr>
                <w:sz w:val="20"/>
                <w:szCs w:val="20"/>
              </w:rPr>
            </w:pPr>
            <w:r>
              <w:rPr>
                <w:rFonts w:ascii="Arial Narrow" w:hAnsi="Arial Narrow" w:cs="Calibri"/>
                <w:sz w:val="20"/>
                <w:szCs w:val="20"/>
              </w:rPr>
              <w:t xml:space="preserve">2</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290" w:type="dxa"/>
            <w:textDirection w:val="lrTb"/>
            <w:noWrap w:val="false"/>
          </w:tcPr>
          <w:p>
            <w:pPr>
              <w:pStyle w:val="1063"/>
              <w:ind w:right="-107"/>
              <w:widowControl w:val="off"/>
              <w:rPr>
                <w:sz w:val="20"/>
                <w:szCs w:val="20"/>
              </w:rPr>
            </w:pPr>
            <w:r>
              <w:rPr>
                <w:rFonts w:ascii="Arial Narrow" w:hAnsi="Arial Narrow" w:cs="Calibri"/>
                <w:sz w:val="20"/>
                <w:szCs w:val="20"/>
              </w:rPr>
              <w:t xml:space="preserve">КТЭЦ-2</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32" w:type="dxa"/>
            <w:textDirection w:val="lrTb"/>
            <w:noWrap w:val="false"/>
          </w:tcPr>
          <w:p>
            <w:pPr>
              <w:pStyle w:val="1063"/>
              <w:ind w:right="-107"/>
              <w:jc w:val="center"/>
              <w:widowControl w:val="off"/>
              <w:rPr>
                <w:sz w:val="20"/>
                <w:szCs w:val="20"/>
              </w:rPr>
            </w:pPr>
            <w:r>
              <w:rPr>
                <w:rFonts w:ascii="Arial Narrow" w:hAnsi="Arial Narrow" w:cs="Calibri"/>
                <w:sz w:val="20"/>
                <w:szCs w:val="20"/>
              </w:rPr>
              <w:t xml:space="preserve">410,000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35" w:type="dxa"/>
            <w:textDirection w:val="lrTb"/>
            <w:noWrap w:val="false"/>
          </w:tcPr>
          <w:p>
            <w:pPr>
              <w:pStyle w:val="1063"/>
              <w:ind w:right="-107"/>
              <w:jc w:val="center"/>
              <w:widowControl w:val="off"/>
              <w:rPr>
                <w:sz w:val="20"/>
                <w:szCs w:val="20"/>
              </w:rPr>
            </w:pPr>
            <w:r>
              <w:rPr>
                <w:rFonts w:ascii="Arial Narrow" w:hAnsi="Arial Narrow" w:cs="Calibri"/>
                <w:sz w:val="20"/>
                <w:szCs w:val="20"/>
              </w:rPr>
              <w:t xml:space="preserve">410,000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78" w:type="dxa"/>
            <w:vAlign w:val="center"/>
            <w:textDirection w:val="lrTb"/>
            <w:noWrap w:val="false"/>
          </w:tcPr>
          <w:p>
            <w:pPr>
              <w:pStyle w:val="1063"/>
              <w:ind w:right="-107"/>
              <w:jc w:val="center"/>
              <w:widowControl w:val="off"/>
              <w:rPr>
                <w:sz w:val="20"/>
                <w:szCs w:val="20"/>
              </w:rPr>
            </w:pPr>
            <w:r>
              <w:rPr>
                <w:rFonts w:ascii="Arial Narrow" w:hAnsi="Arial Narrow" w:cs="Calibri"/>
                <w:sz w:val="20"/>
                <w:szCs w:val="20"/>
              </w:rPr>
              <w:t xml:space="preserve">0,000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75" w:type="dxa"/>
            <w:textDirection w:val="lrTb"/>
            <w:noWrap w:val="false"/>
          </w:tcPr>
          <w:p>
            <w:pPr>
              <w:pStyle w:val="1063"/>
              <w:ind w:right="-107"/>
              <w:jc w:val="center"/>
              <w:widowControl w:val="off"/>
              <w:rPr>
                <w:sz w:val="20"/>
                <w:szCs w:val="20"/>
              </w:rPr>
            </w:pPr>
            <w:r>
              <w:rPr>
                <w:rFonts w:ascii="Arial Narrow" w:hAnsi="Arial Narrow" w:cs="Calibri"/>
                <w:sz w:val="20"/>
                <w:szCs w:val="20"/>
              </w:rPr>
              <w:t xml:space="preserve">410,000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388" w:type="dxa"/>
            <w:vAlign w:val="center"/>
            <w:textDirection w:val="lrTb"/>
            <w:noWrap w:val="false"/>
          </w:tcPr>
          <w:p>
            <w:pPr>
              <w:pStyle w:val="1063"/>
              <w:ind w:right="-107"/>
              <w:jc w:val="center"/>
              <w:widowControl w:val="off"/>
              <w:rPr>
                <w:sz w:val="20"/>
                <w:szCs w:val="20"/>
              </w:rPr>
            </w:pPr>
            <w:r>
              <w:rPr>
                <w:rFonts w:ascii="Arial Narrow" w:hAnsi="Arial Narrow" w:cs="Calibri"/>
                <w:sz w:val="20"/>
                <w:szCs w:val="20"/>
              </w:rPr>
              <w:t xml:space="preserve">0,000</w:t>
            </w:r>
            <w:r>
              <w:rPr>
                <w:sz w:val="20"/>
                <w:szCs w:val="20"/>
              </w:rPr>
            </w:r>
            <w:r>
              <w:rPr>
                <w:sz w:val="20"/>
                <w:szCs w:val="20"/>
              </w:rPr>
            </w:r>
          </w:p>
        </w:tc>
      </w:tr>
      <w:tr>
        <w:trPr>
          <w:cantSplit/>
          <w:jc w:val="center"/>
          <w:trHeight w:val="50"/>
        </w:trPr>
        <w:tc>
          <w:tcPr>
            <w:tcBorders>
              <w:top w:val="single" w:color="000000" w:sz="4" w:space="0"/>
              <w:left w:val="single" w:color="000000" w:sz="4" w:space="0"/>
              <w:bottom w:val="single" w:color="000000" w:sz="4" w:space="0"/>
              <w:right w:val="single" w:color="000000" w:sz="4" w:space="0"/>
            </w:tcBorders>
            <w:tcW w:w="419" w:type="dxa"/>
            <w:vAlign w:val="center"/>
            <w:textDirection w:val="lrTb"/>
            <w:noWrap w:val="false"/>
          </w:tcPr>
          <w:p>
            <w:pPr>
              <w:pStyle w:val="1063"/>
              <w:ind w:left="-109" w:right="-105"/>
              <w:jc w:val="center"/>
              <w:widowControl w:val="off"/>
              <w:rPr>
                <w:sz w:val="20"/>
                <w:szCs w:val="20"/>
              </w:rPr>
            </w:pPr>
            <w:r>
              <w:rPr>
                <w:rFonts w:ascii="Arial Narrow" w:hAnsi="Arial Narrow" w:cs="Calibri"/>
                <w:sz w:val="20"/>
                <w:szCs w:val="20"/>
              </w:rPr>
              <w:t xml:space="preserve">3</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290" w:type="dxa"/>
            <w:textDirection w:val="lrTb"/>
            <w:noWrap w:val="false"/>
          </w:tcPr>
          <w:p>
            <w:pPr>
              <w:pStyle w:val="1063"/>
              <w:ind w:right="33"/>
              <w:widowControl w:val="off"/>
              <w:rPr>
                <w:sz w:val="20"/>
                <w:szCs w:val="20"/>
              </w:rPr>
            </w:pPr>
            <w:r>
              <w:rPr>
                <w:rFonts w:ascii="Arial Narrow" w:hAnsi="Arial Narrow" w:cs="Calibri"/>
                <w:sz w:val="20"/>
                <w:szCs w:val="20"/>
              </w:rPr>
              <w:t xml:space="preserve">Филиал «Коммунальная энергетика»</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32" w:type="dxa"/>
            <w:textDirection w:val="lrTb"/>
            <w:noWrap w:val="false"/>
          </w:tcPr>
          <w:p>
            <w:pPr>
              <w:pStyle w:val="1063"/>
              <w:ind w:right="-107"/>
              <w:jc w:val="center"/>
              <w:widowControl w:val="off"/>
              <w:rPr>
                <w:sz w:val="20"/>
                <w:szCs w:val="20"/>
              </w:rPr>
            </w:pPr>
            <w:r>
              <w:rPr>
                <w:rFonts w:ascii="Arial Narrow" w:hAnsi="Arial Narrow" w:cs="Calibri"/>
                <w:sz w:val="20"/>
                <w:szCs w:val="20"/>
              </w:rPr>
              <w:t xml:space="preserve">505,816</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35" w:type="dxa"/>
            <w:textDirection w:val="lrTb"/>
            <w:noWrap w:val="false"/>
          </w:tcPr>
          <w:p>
            <w:pPr>
              <w:pStyle w:val="1063"/>
              <w:ind w:right="-107"/>
              <w:jc w:val="center"/>
              <w:widowControl w:val="off"/>
              <w:rPr>
                <w:sz w:val="20"/>
                <w:szCs w:val="20"/>
              </w:rPr>
            </w:pPr>
            <w:r>
              <w:rPr>
                <w:rFonts w:ascii="Arial Narrow" w:hAnsi="Arial Narrow" w:cs="Calibri"/>
                <w:sz w:val="20"/>
                <w:szCs w:val="20"/>
              </w:rPr>
              <w:t xml:space="preserve">505,730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78" w:type="dxa"/>
            <w:vAlign w:val="center"/>
            <w:textDirection w:val="lrTb"/>
            <w:noWrap w:val="false"/>
          </w:tcPr>
          <w:p>
            <w:pPr>
              <w:pStyle w:val="1063"/>
              <w:ind w:right="-107"/>
              <w:jc w:val="center"/>
              <w:widowControl w:val="off"/>
              <w:rPr>
                <w:sz w:val="20"/>
                <w:szCs w:val="20"/>
              </w:rPr>
            </w:pPr>
            <w:r>
              <w:rPr>
                <w:rFonts w:ascii="Arial Narrow" w:hAnsi="Arial Narrow" w:cs="Calibri"/>
                <w:sz w:val="20"/>
                <w:szCs w:val="20"/>
              </w:rPr>
              <w:t xml:space="preserve">-0,086</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75" w:type="dxa"/>
            <w:textDirection w:val="lrTb"/>
            <w:noWrap w:val="false"/>
          </w:tcPr>
          <w:p>
            <w:pPr>
              <w:pStyle w:val="1063"/>
              <w:ind w:right="-107"/>
              <w:jc w:val="center"/>
              <w:widowControl w:val="off"/>
              <w:rPr>
                <w:sz w:val="20"/>
                <w:szCs w:val="20"/>
              </w:rPr>
            </w:pPr>
            <w:r>
              <w:rPr>
                <w:rFonts w:ascii="Arial Narrow" w:hAnsi="Arial Narrow" w:cs="Calibri"/>
                <w:sz w:val="20"/>
                <w:szCs w:val="20"/>
              </w:rPr>
              <w:t xml:space="preserve">505,730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388" w:type="dxa"/>
            <w:vAlign w:val="center"/>
            <w:textDirection w:val="lrTb"/>
            <w:noWrap w:val="false"/>
          </w:tcPr>
          <w:p>
            <w:pPr>
              <w:pStyle w:val="1063"/>
              <w:ind w:right="-107"/>
              <w:jc w:val="center"/>
              <w:widowControl w:val="off"/>
              <w:rPr>
                <w:sz w:val="20"/>
                <w:szCs w:val="20"/>
              </w:rPr>
            </w:pPr>
            <w:r>
              <w:rPr>
                <w:rFonts w:ascii="Arial Narrow" w:hAnsi="Arial Narrow" w:cs="Calibri"/>
                <w:sz w:val="20"/>
                <w:szCs w:val="20"/>
              </w:rPr>
              <w:t xml:space="preserve">0,000</w:t>
            </w:r>
            <w:r>
              <w:rPr>
                <w:sz w:val="20"/>
                <w:szCs w:val="20"/>
              </w:rPr>
            </w:r>
            <w:r>
              <w:rPr>
                <w:sz w:val="20"/>
                <w:szCs w:val="20"/>
              </w:rPr>
            </w:r>
          </w:p>
        </w:tc>
      </w:tr>
      <w:tr>
        <w:trPr>
          <w:jc w:val="center"/>
          <w:trHeight w:val="41"/>
        </w:trPr>
        <w:tc>
          <w:tcPr>
            <w:tcBorders>
              <w:top w:val="single" w:color="000000" w:sz="4" w:space="0"/>
              <w:left w:val="single" w:color="000000" w:sz="4" w:space="0"/>
              <w:bottom w:val="single" w:color="000000" w:sz="4" w:space="0"/>
              <w:right w:val="single" w:color="000000" w:sz="4" w:space="0"/>
            </w:tcBorders>
            <w:tcW w:w="419"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r>
            <w:r>
              <w:rPr>
                <w:rFonts w:ascii="Arial Narrow" w:hAnsi="Arial Narrow" w:cs="Calibri"/>
                <w:sz w:val="20"/>
                <w:szCs w:val="20"/>
              </w:rPr>
            </w:r>
            <w:r>
              <w:rPr>
                <w:rFonts w:ascii="Arial Narrow" w:hAnsi="Arial Narrow" w:cs="Calibri"/>
                <w:sz w:val="20"/>
                <w:szCs w:val="20"/>
              </w:rPr>
            </w:r>
          </w:p>
        </w:tc>
        <w:tc>
          <w:tcPr>
            <w:tcBorders>
              <w:top w:val="single" w:color="000000" w:sz="4" w:space="0"/>
              <w:bottom w:val="single" w:color="000000" w:sz="4" w:space="0"/>
              <w:right w:val="single" w:color="000000" w:sz="4" w:space="0"/>
            </w:tcBorders>
            <w:tcW w:w="3290" w:type="dxa"/>
            <w:vAlign w:val="center"/>
            <w:textDirection w:val="lrTb"/>
            <w:noWrap w:val="false"/>
          </w:tcPr>
          <w:p>
            <w:pPr>
              <w:pStyle w:val="1063"/>
              <w:ind w:right="-107"/>
              <w:widowControl w:val="off"/>
              <w:rPr>
                <w:sz w:val="20"/>
                <w:szCs w:val="20"/>
              </w:rPr>
            </w:pPr>
            <w:r>
              <w:rPr>
                <w:rFonts w:ascii="Arial Narrow" w:hAnsi="Arial Narrow" w:cs="Calibri"/>
                <w:sz w:val="20"/>
                <w:szCs w:val="20"/>
              </w:rPr>
              <w:t xml:space="preserve">ИТОГО:</w:t>
            </w:r>
            <w:r>
              <w:rPr>
                <w:sz w:val="20"/>
                <w:szCs w:val="20"/>
              </w:rPr>
            </w:r>
            <w:r>
              <w:rPr>
                <w:sz w:val="20"/>
                <w:szCs w:val="20"/>
              </w:rPr>
            </w:r>
          </w:p>
        </w:tc>
        <w:tc>
          <w:tcPr>
            <w:tcBorders>
              <w:top w:val="single" w:color="000000" w:sz="4" w:space="0"/>
              <w:bottom w:val="single" w:color="000000" w:sz="4" w:space="0"/>
              <w:right w:val="single" w:color="000000" w:sz="4" w:space="0"/>
            </w:tcBorders>
            <w:tcW w:w="1132" w:type="dxa"/>
            <w:vAlign w:val="center"/>
            <w:textDirection w:val="lrTb"/>
            <w:noWrap w:val="false"/>
          </w:tcPr>
          <w:p>
            <w:pPr>
              <w:pStyle w:val="1063"/>
              <w:ind w:right="-107"/>
              <w:jc w:val="center"/>
              <w:widowControl w:val="off"/>
              <w:rPr>
                <w:sz w:val="20"/>
                <w:szCs w:val="20"/>
              </w:rPr>
            </w:pPr>
            <w:r>
              <w:rPr>
                <w:rFonts w:ascii="Arial Narrow" w:hAnsi="Arial Narrow" w:cs="Calibri"/>
                <w:sz w:val="20"/>
                <w:szCs w:val="20"/>
              </w:rPr>
              <w:t xml:space="preserve">1 204,816</w:t>
            </w:r>
            <w:r>
              <w:rPr>
                <w:sz w:val="20"/>
                <w:szCs w:val="20"/>
              </w:rPr>
            </w:r>
            <w:r>
              <w:rPr>
                <w:sz w:val="20"/>
                <w:szCs w:val="20"/>
              </w:rPr>
            </w:r>
          </w:p>
        </w:tc>
        <w:tc>
          <w:tcPr>
            <w:tcBorders>
              <w:top w:val="single" w:color="000000" w:sz="4" w:space="0"/>
              <w:bottom w:val="single" w:color="000000" w:sz="4" w:space="0"/>
              <w:right w:val="single" w:color="000000" w:sz="4" w:space="0"/>
            </w:tcBorders>
            <w:tcW w:w="1135" w:type="dxa"/>
            <w:vAlign w:val="center"/>
            <w:textDirection w:val="lrTb"/>
            <w:noWrap w:val="false"/>
          </w:tcPr>
          <w:p>
            <w:pPr>
              <w:pStyle w:val="1063"/>
              <w:ind w:right="-107"/>
              <w:jc w:val="center"/>
              <w:widowControl w:val="off"/>
              <w:rPr>
                <w:sz w:val="20"/>
                <w:szCs w:val="20"/>
              </w:rPr>
            </w:pPr>
            <w:r>
              <w:rPr>
                <w:rFonts w:ascii="Arial Narrow" w:hAnsi="Arial Narrow" w:cs="Calibri"/>
                <w:sz w:val="20"/>
                <w:szCs w:val="20"/>
              </w:rPr>
              <w:t xml:space="preserve">1 204,730</w:t>
            </w:r>
            <w:r>
              <w:rPr>
                <w:sz w:val="20"/>
                <w:szCs w:val="20"/>
              </w:rPr>
            </w:r>
            <w:r>
              <w:rPr>
                <w:sz w:val="20"/>
                <w:szCs w:val="20"/>
              </w:rPr>
            </w:r>
          </w:p>
        </w:tc>
        <w:tc>
          <w:tcPr>
            <w:tcBorders>
              <w:top w:val="single" w:color="000000" w:sz="4" w:space="0"/>
              <w:bottom w:val="single" w:color="000000" w:sz="4" w:space="0"/>
              <w:right w:val="single" w:color="000000" w:sz="4" w:space="0"/>
            </w:tcBorders>
            <w:tcW w:w="1278" w:type="dxa"/>
            <w:vAlign w:val="center"/>
            <w:textDirection w:val="lrTb"/>
            <w:noWrap w:val="false"/>
          </w:tcPr>
          <w:p>
            <w:pPr>
              <w:pStyle w:val="1063"/>
              <w:ind w:right="-107"/>
              <w:jc w:val="center"/>
              <w:widowControl w:val="off"/>
              <w:rPr>
                <w:sz w:val="20"/>
                <w:szCs w:val="20"/>
              </w:rPr>
            </w:pPr>
            <w:r>
              <w:rPr>
                <w:rFonts w:ascii="Arial Narrow" w:hAnsi="Arial Narrow" w:cs="Calibri"/>
                <w:sz w:val="20"/>
                <w:szCs w:val="20"/>
              </w:rPr>
              <w:t xml:space="preserve">-0,086</w:t>
            </w:r>
            <w:r>
              <w:rPr>
                <w:sz w:val="20"/>
                <w:szCs w:val="20"/>
              </w:rPr>
            </w:r>
            <w:r>
              <w:rPr>
                <w:sz w:val="20"/>
                <w:szCs w:val="20"/>
              </w:rPr>
            </w:r>
          </w:p>
        </w:tc>
        <w:tc>
          <w:tcPr>
            <w:tcBorders>
              <w:top w:val="single" w:color="000000" w:sz="4" w:space="0"/>
              <w:bottom w:val="single" w:color="000000" w:sz="4" w:space="0"/>
              <w:right w:val="single" w:color="000000" w:sz="4" w:space="0"/>
            </w:tcBorders>
            <w:tcW w:w="1275" w:type="dxa"/>
            <w:vAlign w:val="center"/>
            <w:textDirection w:val="lrTb"/>
            <w:noWrap w:val="false"/>
          </w:tcPr>
          <w:p>
            <w:pPr>
              <w:pStyle w:val="1063"/>
              <w:ind w:right="-107"/>
              <w:jc w:val="center"/>
              <w:widowControl w:val="off"/>
              <w:rPr>
                <w:sz w:val="20"/>
                <w:szCs w:val="20"/>
              </w:rPr>
            </w:pPr>
            <w:r>
              <w:rPr>
                <w:rFonts w:ascii="Arial Narrow" w:hAnsi="Arial Narrow" w:cs="Calibri"/>
                <w:sz w:val="20"/>
                <w:szCs w:val="20"/>
              </w:rPr>
              <w:t xml:space="preserve">1 204,730</w:t>
            </w:r>
            <w:r>
              <w:rPr>
                <w:sz w:val="20"/>
                <w:szCs w:val="20"/>
              </w:rPr>
            </w:r>
            <w:r>
              <w:rPr>
                <w:sz w:val="20"/>
                <w:szCs w:val="20"/>
              </w:rPr>
            </w:r>
          </w:p>
        </w:tc>
        <w:tc>
          <w:tcPr>
            <w:tcBorders>
              <w:top w:val="single" w:color="000000" w:sz="4" w:space="0"/>
              <w:bottom w:val="single" w:color="000000" w:sz="4" w:space="0"/>
              <w:right w:val="single" w:color="000000" w:sz="4" w:space="0"/>
            </w:tcBorders>
            <w:tcW w:w="1388" w:type="dxa"/>
            <w:vAlign w:val="center"/>
            <w:textDirection w:val="lrTb"/>
            <w:noWrap w:val="false"/>
          </w:tcPr>
          <w:p>
            <w:pPr>
              <w:pStyle w:val="1063"/>
              <w:ind w:right="-107"/>
              <w:jc w:val="center"/>
              <w:widowControl w:val="off"/>
              <w:rPr>
                <w:sz w:val="20"/>
                <w:szCs w:val="20"/>
              </w:rPr>
            </w:pPr>
            <w:r>
              <w:rPr>
                <w:rFonts w:ascii="Arial Narrow" w:hAnsi="Arial Narrow" w:cs="Calibri"/>
                <w:sz w:val="20"/>
                <w:szCs w:val="20"/>
              </w:rPr>
              <w:t xml:space="preserve">0,000</w:t>
            </w:r>
            <w:r>
              <w:rPr>
                <w:sz w:val="20"/>
                <w:szCs w:val="20"/>
              </w:rPr>
            </w:r>
            <w:r>
              <w:rPr>
                <w:sz w:val="20"/>
                <w:szCs w:val="20"/>
              </w:rPr>
            </w:r>
          </w:p>
        </w:tc>
      </w:tr>
    </w:tbl>
    <w:p>
      <w:pPr>
        <w:pStyle w:val="1063"/>
        <w:ind w:firstLine="567"/>
        <w:jc w:val="both"/>
        <w:rPr>
          <w:rFonts w:ascii="Arial Narrow" w:hAnsi="Arial Narrow"/>
          <w:color w:val="0f0d29"/>
          <w:sz w:val="10"/>
          <w:szCs w:val="10"/>
        </w:rPr>
      </w:pPr>
      <w:r>
        <w:rPr>
          <w:rFonts w:ascii="Arial Narrow" w:hAnsi="Arial Narrow"/>
          <w:color w:val="0f0d29"/>
          <w:sz w:val="10"/>
          <w:szCs w:val="10"/>
        </w:rPr>
      </w:r>
      <w:r>
        <w:rPr>
          <w:rFonts w:ascii="Arial Narrow" w:hAnsi="Arial Narrow"/>
          <w:color w:val="0f0d29"/>
          <w:sz w:val="10"/>
          <w:szCs w:val="10"/>
        </w:rPr>
      </w:r>
      <w:r>
        <w:rPr>
          <w:rFonts w:ascii="Arial Narrow" w:hAnsi="Arial Narrow"/>
          <w:color w:val="0f0d29"/>
          <w:sz w:val="10"/>
          <w:szCs w:val="10"/>
        </w:rPr>
      </w:r>
    </w:p>
    <w:p>
      <w:pPr>
        <w:pStyle w:val="1063"/>
        <w:ind w:firstLine="567"/>
        <w:jc w:val="both"/>
      </w:pPr>
      <w:r>
        <w:rPr>
          <w:rFonts w:ascii="Arial Narrow" w:hAnsi="Arial Narrow"/>
          <w:color w:val="0f0d29"/>
        </w:rPr>
        <w:t xml:space="preserve">В 2024 году установленная тепловая мощность на начало и конец года соответствовала плановым значениям, и составила 1 204,730 Гкал/ч.</w:t>
      </w:r>
      <w:r/>
    </w:p>
    <w:p>
      <w:pPr>
        <w:pStyle w:val="1063"/>
        <w:ind w:firstLine="567"/>
        <w:jc w:val="both"/>
      </w:pPr>
      <w:r>
        <w:rPr>
          <w:rFonts w:ascii="Arial Narrow" w:hAnsi="Arial Narrow"/>
          <w:color w:val="0f0d29"/>
        </w:rPr>
        <w:t xml:space="preserve">Изменение установленной тепловой мощности в 2023 году произошло по филиалу «Коммунальная энергетика», в связи с уточнением величины установленной тепловой мощности по паспортам:</w:t>
      </w: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Петропавловск-Камчатский котельная № 42 (-0,600 Гкал/ч);   </w:t>
      </w:r>
      <w:r>
        <w:rPr>
          <w:lang w:val="ru-RU"/>
        </w:rPr>
      </w:r>
      <w:r>
        <w:rPr>
          <w:lang w:val="ru-RU"/>
        </w:rP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Петропавловск-Камчатский электрокотельная № 13 (+0,020 Гкал/ч);</w:t>
      </w:r>
      <w:r>
        <w:rPr>
          <w:lang w:val="ru-RU"/>
        </w:rPr>
      </w:r>
      <w:r>
        <w:rPr>
          <w:lang w:val="ru-RU"/>
        </w:rP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bidi="ru-RU"/>
        </w:rPr>
        <w:t xml:space="preserve">Елизово электрокотельная №</w:t>
      </w:r>
      <w:r>
        <w:rPr>
          <w:rFonts w:ascii="Arial Narrow" w:hAnsi="Arial Narrow" w:cs="Calibri"/>
          <w:sz w:val="24"/>
          <w:szCs w:val="24"/>
          <w:lang w:val="ru-RU" w:bidi="ru-RU"/>
        </w:rPr>
        <w:t xml:space="preserve"> </w:t>
      </w:r>
      <w:r>
        <w:rPr>
          <w:rFonts w:ascii="Arial Narrow" w:hAnsi="Arial Narrow" w:cs="Calibri"/>
          <w:sz w:val="24"/>
          <w:szCs w:val="24"/>
          <w:lang w:bidi="ru-RU"/>
        </w:rPr>
        <w:t xml:space="preserve">16 (-0,006 Гкал/ч);</w:t>
      </w: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п. Лесной котельная   № 1 (+0,500 Гкал/ч).</w:t>
      </w:r>
      <w:r>
        <w:rPr>
          <w:lang w:val="ru-RU"/>
        </w:rPr>
      </w:r>
      <w:r>
        <w:rPr>
          <w:lang w:val="ru-RU"/>
        </w:rPr>
      </w:r>
    </w:p>
    <w:p>
      <w:pPr>
        <w:pStyle w:val="1096"/>
        <w:ind w:left="0" w:right="-5"/>
        <w:jc w:val="both"/>
        <w:spacing w:after="0" w:line="276" w:lineRule="auto"/>
        <w:rPr>
          <w:rFonts w:ascii="Arial Narrow" w:hAnsi="Arial Narrow" w:cs="Calibri"/>
          <w:b/>
          <w:color w:val="314e87"/>
          <w:sz w:val="8"/>
          <w:szCs w:val="8"/>
        </w:rPr>
      </w:pPr>
      <w:r>
        <w:rPr>
          <w:rFonts w:ascii="Arial Narrow" w:hAnsi="Arial Narrow" w:cs="Calibri"/>
          <w:b/>
          <w:color w:val="314e87"/>
          <w:sz w:val="8"/>
          <w:szCs w:val="8"/>
        </w:rPr>
      </w:r>
      <w:r>
        <w:rPr>
          <w:rFonts w:ascii="Arial Narrow" w:hAnsi="Arial Narrow" w:cs="Calibri"/>
          <w:b/>
          <w:color w:val="314e87"/>
          <w:sz w:val="8"/>
          <w:szCs w:val="8"/>
        </w:rPr>
      </w:r>
      <w:r>
        <w:rPr>
          <w:rFonts w:ascii="Arial Narrow" w:hAnsi="Arial Narrow" w:cs="Calibri"/>
          <w:b/>
          <w:color w:val="314e87"/>
          <w:sz w:val="8"/>
          <w:szCs w:val="8"/>
        </w:rPr>
      </w:r>
    </w:p>
    <w:p>
      <w:pPr>
        <w:pStyle w:val="1096"/>
        <w:ind w:left="0" w:right="-5"/>
        <w:jc w:val="both"/>
        <w:spacing w:after="0" w:line="276" w:lineRule="auto"/>
      </w:pPr>
      <w:r>
        <w:rPr>
          <w:rFonts w:ascii="Arial Narrow" w:hAnsi="Arial Narrow" w:cs="Calibri"/>
          <w:b/>
          <w:color w:val="314e87"/>
          <w:sz w:val="24"/>
          <w:szCs w:val="24"/>
        </w:rPr>
        <w:t xml:space="preserve">Отпуск тепла станциями и котельными, тыс. Гкал.</w:t>
      </w:r>
      <w:r/>
    </w:p>
    <w:p>
      <w:pPr>
        <w:pStyle w:val="1063"/>
        <w:ind w:left="7080" w:firstLine="708"/>
        <w:jc w:val="center"/>
        <w:rPr>
          <w:lang w:val="en-US"/>
        </w:rPr>
      </w:pPr>
      <w:r>
        <w:rPr>
          <w:rFonts w:ascii="Arial Narrow" w:hAnsi="Arial Narrow" w:eastAsia="Calibri" w:cs="Calibri"/>
          <w:i/>
          <w:lang w:eastAsia="ja-JP"/>
        </w:rPr>
        <w:t xml:space="preserve">                Таблица № </w:t>
      </w:r>
      <w:r>
        <w:rPr>
          <w:rFonts w:ascii="Arial Narrow" w:hAnsi="Arial Narrow" w:eastAsia="Calibri" w:cs="Calibri"/>
          <w:i/>
          <w:lang w:val="en-US" w:eastAsia="ja-JP"/>
        </w:rPr>
        <w:t xml:space="preserve">8</w:t>
      </w:r>
      <w:r>
        <w:rPr>
          <w:lang w:val="en-US"/>
        </w:rPr>
      </w:r>
      <w:r>
        <w:rPr>
          <w:lang w:val="en-US"/>
        </w:rPr>
      </w:r>
    </w:p>
    <w:tbl>
      <w:tblPr>
        <w:tblW w:w="10064" w:type="dxa"/>
        <w:jc w:val="center"/>
        <w:tblLayout w:type="fixed"/>
        <w:tblLook w:val="04A0" w:firstRow="1" w:lastRow="0" w:firstColumn="1" w:lastColumn="0" w:noHBand="0" w:noVBand="1"/>
      </w:tblPr>
      <w:tblGrid>
        <w:gridCol w:w="596"/>
        <w:gridCol w:w="3368"/>
        <w:gridCol w:w="1136"/>
        <w:gridCol w:w="1164"/>
        <w:gridCol w:w="1385"/>
        <w:gridCol w:w="997"/>
        <w:gridCol w:w="1418"/>
      </w:tblGrid>
      <w:tr>
        <w:trPr>
          <w:jc w:val="center"/>
        </w:trPr>
        <w:tc>
          <w:tcPr>
            <w:tcBorders>
              <w:top w:val="single" w:color="000000" w:sz="4" w:space="0"/>
              <w:left w:val="single" w:color="000000" w:sz="4" w:space="0"/>
              <w:bottom w:val="single" w:color="000000" w:sz="4" w:space="0"/>
              <w:right w:val="single" w:color="000000" w:sz="4" w:space="0"/>
            </w:tcBorders>
            <w:tcW w:w="59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 п/п</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36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Наименование станции / котельной</w:t>
            </w:r>
            <w:r>
              <w:rPr>
                <w:sz w:val="20"/>
                <w:szCs w:val="20"/>
              </w:rPr>
            </w:r>
            <w:r>
              <w:rPr>
                <w:sz w:val="20"/>
                <w:szCs w:val="20"/>
              </w:rPr>
            </w:r>
          </w:p>
        </w:tc>
        <w:tc>
          <w:tcPr>
            <w:tcBorders>
              <w:top w:val="single" w:color="000000" w:sz="4" w:space="0"/>
              <w:bottom w:val="single" w:color="000000" w:sz="4" w:space="0"/>
              <w:right w:val="single" w:color="000000" w:sz="4" w:space="0"/>
            </w:tcBorders>
            <w:tcW w:w="113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2022 г.</w:t>
            </w:r>
            <w:r>
              <w:rPr>
                <w:sz w:val="20"/>
                <w:szCs w:val="20"/>
              </w:rPr>
            </w:r>
            <w:r>
              <w:rPr>
                <w:sz w:val="20"/>
                <w:szCs w:val="20"/>
              </w:rPr>
            </w:r>
          </w:p>
        </w:tc>
        <w:tc>
          <w:tcPr>
            <w:tcBorders>
              <w:top w:val="single" w:color="000000" w:sz="4" w:space="0"/>
              <w:bottom w:val="single" w:color="000000" w:sz="4" w:space="0"/>
              <w:right w:val="single" w:color="000000" w:sz="4" w:space="0"/>
            </w:tcBorders>
            <w:tcW w:w="116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2023 г.</w:t>
            </w:r>
            <w:r>
              <w:rPr>
                <w:sz w:val="20"/>
                <w:szCs w:val="20"/>
              </w:rPr>
            </w:r>
            <w:r>
              <w:rPr>
                <w:sz w:val="20"/>
                <w:szCs w:val="20"/>
              </w:rPr>
            </w:r>
          </w:p>
        </w:tc>
        <w:tc>
          <w:tcPr>
            <w:tcBorders>
              <w:top w:val="single" w:color="000000" w:sz="4" w:space="0"/>
              <w:bottom w:val="single" w:color="000000" w:sz="4" w:space="0"/>
              <w:right w:val="single" w:color="000000" w:sz="4" w:space="0"/>
            </w:tcBorders>
            <w:tcW w:w="138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Изменение</w:t>
            </w:r>
            <w:r>
              <w:rPr>
                <w:sz w:val="20"/>
                <w:szCs w:val="20"/>
              </w:rPr>
            </w:r>
            <w:r>
              <w:rPr>
                <w:sz w:val="20"/>
                <w:szCs w:val="20"/>
              </w:rPr>
            </w:r>
          </w:p>
          <w:p>
            <w:pPr>
              <w:pStyle w:val="1063"/>
              <w:jc w:val="center"/>
              <w:widowControl w:val="off"/>
              <w:rPr>
                <w:sz w:val="20"/>
                <w:szCs w:val="20"/>
              </w:rPr>
            </w:pPr>
            <w:r>
              <w:rPr>
                <w:rFonts w:ascii="Arial Narrow" w:hAnsi="Arial Narrow" w:cs="Calibri"/>
                <w:sz w:val="20"/>
                <w:szCs w:val="20"/>
              </w:rPr>
              <w:t xml:space="preserve">2023 г./2022 г.</w:t>
            </w:r>
            <w:r>
              <w:rPr>
                <w:sz w:val="20"/>
                <w:szCs w:val="20"/>
              </w:rPr>
            </w:r>
            <w:r>
              <w:rPr>
                <w:sz w:val="20"/>
                <w:szCs w:val="20"/>
              </w:rPr>
            </w:r>
          </w:p>
        </w:tc>
        <w:tc>
          <w:tcPr>
            <w:tcBorders>
              <w:top w:val="single" w:color="000000" w:sz="4" w:space="0"/>
              <w:bottom w:val="single" w:color="000000" w:sz="4" w:space="0"/>
              <w:right w:val="single" w:color="000000" w:sz="4" w:space="0"/>
            </w:tcBorders>
            <w:tcW w:w="99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2024 г.</w:t>
            </w:r>
            <w:r>
              <w:rPr>
                <w:sz w:val="20"/>
                <w:szCs w:val="20"/>
              </w:rPr>
            </w:r>
            <w:r>
              <w:rPr>
                <w:sz w:val="20"/>
                <w:szCs w:val="20"/>
              </w:rPr>
            </w:r>
          </w:p>
        </w:tc>
        <w:tc>
          <w:tcPr>
            <w:tcBorders>
              <w:top w:val="single" w:color="000000" w:sz="4" w:space="0"/>
              <w:bottom w:val="single" w:color="000000" w:sz="4" w:space="0"/>
              <w:right w:val="single" w:color="000000" w:sz="4" w:space="0"/>
            </w:tcBorders>
            <w:tcW w:w="141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Изменение</w:t>
            </w:r>
            <w:r>
              <w:rPr>
                <w:sz w:val="20"/>
                <w:szCs w:val="20"/>
              </w:rPr>
            </w:r>
            <w:r>
              <w:rPr>
                <w:sz w:val="20"/>
                <w:szCs w:val="20"/>
              </w:rPr>
            </w:r>
          </w:p>
          <w:p>
            <w:pPr>
              <w:pStyle w:val="1063"/>
              <w:jc w:val="center"/>
              <w:widowControl w:val="off"/>
              <w:rPr>
                <w:sz w:val="20"/>
                <w:szCs w:val="20"/>
              </w:rPr>
            </w:pPr>
            <w:r>
              <w:rPr>
                <w:rFonts w:ascii="Arial Narrow" w:hAnsi="Arial Narrow" w:cs="Calibri"/>
                <w:sz w:val="20"/>
                <w:szCs w:val="20"/>
              </w:rPr>
              <w:t xml:space="preserve">2024 г./2023 г.</w:t>
            </w:r>
            <w:r>
              <w:rPr>
                <w:sz w:val="20"/>
                <w:szCs w:val="20"/>
              </w:rPr>
            </w:r>
            <w:r>
              <w:rPr>
                <w:sz w:val="20"/>
                <w:szCs w:val="20"/>
              </w:rPr>
            </w:r>
          </w:p>
        </w:tc>
      </w:tr>
      <w:tr>
        <w:trPr>
          <w:jc w:val="center"/>
        </w:trPr>
        <w:tc>
          <w:tcPr>
            <w:tcBorders>
              <w:top w:val="single" w:color="000000" w:sz="4" w:space="0"/>
              <w:left w:val="single" w:color="000000" w:sz="4" w:space="0"/>
              <w:bottom w:val="single" w:color="000000" w:sz="4" w:space="0"/>
              <w:right w:val="single" w:color="000000" w:sz="4" w:space="0"/>
            </w:tcBorders>
            <w:tcW w:w="596" w:type="dxa"/>
            <w:textDirection w:val="lrTb"/>
            <w:noWrap w:val="false"/>
          </w:tcPr>
          <w:p>
            <w:pPr>
              <w:pStyle w:val="1063"/>
              <w:jc w:val="center"/>
              <w:widowControl w:val="off"/>
              <w:rPr>
                <w:sz w:val="20"/>
                <w:szCs w:val="20"/>
              </w:rPr>
            </w:pPr>
            <w:r>
              <w:rPr>
                <w:rFonts w:ascii="Arial Narrow" w:hAnsi="Arial Narrow" w:cs="Calibri"/>
                <w:sz w:val="20"/>
                <w:szCs w:val="20"/>
              </w:rPr>
              <w:t xml:space="preserve">1.</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368" w:type="dxa"/>
            <w:vAlign w:val="center"/>
            <w:textDirection w:val="lrTb"/>
            <w:noWrap w:val="false"/>
          </w:tcPr>
          <w:p>
            <w:pPr>
              <w:pStyle w:val="1063"/>
              <w:ind w:right="-107"/>
              <w:widowControl w:val="off"/>
              <w:rPr>
                <w:sz w:val="20"/>
                <w:szCs w:val="20"/>
              </w:rPr>
            </w:pPr>
            <w:r>
              <w:rPr>
                <w:rFonts w:ascii="Arial Narrow" w:hAnsi="Arial Narrow" w:cs="Calibri"/>
                <w:sz w:val="20"/>
                <w:szCs w:val="20"/>
              </w:rPr>
              <w:t xml:space="preserve">КТЭЦ-1</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3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301,166</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6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304,553</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38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3,387</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9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297,677</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41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-6,876</w:t>
            </w:r>
            <w:r>
              <w:rPr>
                <w:sz w:val="20"/>
                <w:szCs w:val="20"/>
              </w:rPr>
            </w:r>
            <w:r>
              <w:rPr>
                <w:sz w:val="20"/>
                <w:szCs w:val="20"/>
              </w:rPr>
            </w:r>
          </w:p>
        </w:tc>
      </w:tr>
      <w:tr>
        <w:trPr>
          <w:jc w:val="center"/>
        </w:trPr>
        <w:tc>
          <w:tcPr>
            <w:tcBorders>
              <w:top w:val="single" w:color="000000" w:sz="4" w:space="0"/>
              <w:left w:val="single" w:color="000000" w:sz="4" w:space="0"/>
              <w:bottom w:val="single" w:color="000000" w:sz="4" w:space="0"/>
              <w:right w:val="single" w:color="000000" w:sz="4" w:space="0"/>
            </w:tcBorders>
            <w:tcW w:w="596" w:type="dxa"/>
            <w:textDirection w:val="lrTb"/>
            <w:noWrap w:val="false"/>
          </w:tcPr>
          <w:p>
            <w:pPr>
              <w:pStyle w:val="1063"/>
              <w:jc w:val="center"/>
              <w:widowControl w:val="off"/>
              <w:rPr>
                <w:sz w:val="20"/>
                <w:szCs w:val="20"/>
              </w:rPr>
            </w:pPr>
            <w:r>
              <w:rPr>
                <w:rFonts w:ascii="Arial Narrow" w:hAnsi="Arial Narrow" w:cs="Calibri"/>
                <w:sz w:val="20"/>
                <w:szCs w:val="20"/>
              </w:rPr>
              <w:t xml:space="preserve">2.</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368" w:type="dxa"/>
            <w:vAlign w:val="center"/>
            <w:textDirection w:val="lrTb"/>
            <w:noWrap w:val="false"/>
          </w:tcPr>
          <w:p>
            <w:pPr>
              <w:pStyle w:val="1063"/>
              <w:ind w:right="-107"/>
              <w:widowControl w:val="off"/>
              <w:rPr>
                <w:sz w:val="20"/>
                <w:szCs w:val="20"/>
              </w:rPr>
            </w:pPr>
            <w:r>
              <w:rPr>
                <w:rFonts w:ascii="Arial Narrow" w:hAnsi="Arial Narrow" w:cs="Calibri"/>
                <w:sz w:val="20"/>
                <w:szCs w:val="20"/>
              </w:rPr>
              <w:t xml:space="preserve">КТЭЦ-2</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3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732,465</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6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753,808</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38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21,343</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9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742,422</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41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-11,386</w:t>
            </w:r>
            <w:r>
              <w:rPr>
                <w:sz w:val="20"/>
                <w:szCs w:val="20"/>
              </w:rPr>
            </w:r>
            <w:r>
              <w:rPr>
                <w:sz w:val="20"/>
                <w:szCs w:val="20"/>
              </w:rPr>
            </w:r>
          </w:p>
        </w:tc>
      </w:tr>
      <w:tr>
        <w:trPr>
          <w:jc w:val="center"/>
        </w:trPr>
        <w:tc>
          <w:tcPr>
            <w:tcBorders>
              <w:top w:val="single" w:color="000000" w:sz="4" w:space="0"/>
              <w:left w:val="single" w:color="000000" w:sz="4" w:space="0"/>
              <w:bottom w:val="single" w:color="000000" w:sz="4" w:space="0"/>
              <w:right w:val="single" w:color="000000" w:sz="4" w:space="0"/>
            </w:tcBorders>
            <w:tcW w:w="596" w:type="dxa"/>
            <w:textDirection w:val="lrTb"/>
            <w:noWrap w:val="false"/>
          </w:tcPr>
          <w:p>
            <w:pPr>
              <w:pStyle w:val="1063"/>
              <w:jc w:val="center"/>
              <w:widowControl w:val="off"/>
              <w:rPr>
                <w:sz w:val="20"/>
                <w:szCs w:val="20"/>
              </w:rPr>
            </w:pPr>
            <w:r>
              <w:rPr>
                <w:rFonts w:ascii="Arial Narrow" w:hAnsi="Arial Narrow" w:cs="Calibri"/>
                <w:sz w:val="20"/>
                <w:szCs w:val="20"/>
              </w:rPr>
              <w:t xml:space="preserve">3.</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368" w:type="dxa"/>
            <w:vAlign w:val="center"/>
            <w:textDirection w:val="lrTb"/>
            <w:noWrap w:val="false"/>
          </w:tcPr>
          <w:p>
            <w:pPr>
              <w:pStyle w:val="1063"/>
              <w:jc w:val="both"/>
              <w:widowControl w:val="off"/>
              <w:rPr>
                <w:sz w:val="20"/>
                <w:szCs w:val="20"/>
              </w:rPr>
            </w:pPr>
            <w:r>
              <w:rPr>
                <w:rFonts w:ascii="Arial Narrow" w:hAnsi="Arial Narrow" w:cs="Calibri"/>
                <w:sz w:val="20"/>
                <w:szCs w:val="20"/>
              </w:rPr>
              <w:t xml:space="preserve">Филиал «Коммунальная энергетика»</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3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719,812</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6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736,110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38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16,298</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9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734,757</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41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-1,353</w:t>
            </w:r>
            <w:r>
              <w:rPr>
                <w:sz w:val="20"/>
                <w:szCs w:val="20"/>
              </w:rPr>
            </w:r>
            <w:r>
              <w:rPr>
                <w:sz w:val="20"/>
                <w:szCs w:val="20"/>
              </w:rPr>
            </w:r>
          </w:p>
        </w:tc>
      </w:tr>
      <w:tr>
        <w:trPr>
          <w:jc w:val="center"/>
        </w:trPr>
        <w:tc>
          <w:tcPr>
            <w:tcBorders>
              <w:top w:val="single" w:color="000000" w:sz="4" w:space="0"/>
              <w:left w:val="single" w:color="000000" w:sz="4" w:space="0"/>
              <w:bottom w:val="single" w:color="000000" w:sz="4" w:space="0"/>
              <w:right w:val="single" w:color="000000" w:sz="4" w:space="0"/>
            </w:tcBorders>
            <w:tcW w:w="596" w:type="dxa"/>
            <w:textDirection w:val="lrTb"/>
            <w:noWrap w:val="false"/>
          </w:tcPr>
          <w:p>
            <w:pPr>
              <w:pStyle w:val="1063"/>
              <w:jc w:val="center"/>
              <w:widowControl w:val="off"/>
              <w:rPr>
                <w:sz w:val="20"/>
                <w:szCs w:val="20"/>
              </w:rPr>
            </w:pPr>
            <w:r>
              <w:rPr>
                <w:rFonts w:ascii="Arial Narrow" w:hAnsi="Arial Narrow" w:cs="Calibri"/>
                <w:sz w:val="20"/>
                <w:szCs w:val="20"/>
              </w:rPr>
              <w:t xml:space="preserve">3.1</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368" w:type="dxa"/>
            <w:vAlign w:val="center"/>
            <w:textDirection w:val="lrTb"/>
            <w:noWrap w:val="false"/>
          </w:tcPr>
          <w:p>
            <w:pPr>
              <w:pStyle w:val="1063"/>
              <w:jc w:val="both"/>
              <w:widowControl w:val="off"/>
              <w:rPr>
                <w:sz w:val="20"/>
                <w:szCs w:val="20"/>
              </w:rPr>
            </w:pPr>
            <w:r>
              <w:rPr>
                <w:rFonts w:ascii="Arial Narrow" w:hAnsi="Arial Narrow" w:cs="Calibri"/>
                <w:sz w:val="20"/>
                <w:szCs w:val="20"/>
              </w:rPr>
              <w:t xml:space="preserve">в т.ч. электрокотельная</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3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1,507</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6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2,128</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38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0,621</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9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2,290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41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0,162</w:t>
            </w:r>
            <w:r>
              <w:rPr>
                <w:sz w:val="20"/>
                <w:szCs w:val="20"/>
              </w:rPr>
            </w:r>
            <w:r>
              <w:rPr>
                <w:sz w:val="20"/>
                <w:szCs w:val="20"/>
              </w:rPr>
            </w:r>
          </w:p>
        </w:tc>
      </w:tr>
      <w:tr>
        <w:trPr>
          <w:jc w:val="center"/>
        </w:trPr>
        <w:tc>
          <w:tcPr>
            <w:tcBorders>
              <w:top w:val="single" w:color="000000" w:sz="4" w:space="0"/>
              <w:left w:val="single" w:color="000000" w:sz="4" w:space="0"/>
              <w:bottom w:val="single" w:color="000000" w:sz="4" w:space="0"/>
              <w:right w:val="single" w:color="000000" w:sz="4" w:space="0"/>
            </w:tcBorders>
            <w:tcW w:w="596" w:type="dxa"/>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r>
            <w:r>
              <w:rPr>
                <w:rFonts w:ascii="Arial Narrow" w:hAnsi="Arial Narrow" w:cs="Calibri"/>
                <w:sz w:val="20"/>
                <w:szCs w:val="20"/>
              </w:rPr>
            </w:r>
            <w:r>
              <w:rPr>
                <w:rFonts w:ascii="Arial Narrow" w:hAnsi="Arial Narrow" w:cs="Calibri"/>
                <w:sz w:val="20"/>
                <w:szCs w:val="20"/>
              </w:rPr>
            </w:r>
          </w:p>
        </w:tc>
        <w:tc>
          <w:tcPr>
            <w:tcBorders>
              <w:top w:val="single" w:color="000000" w:sz="4" w:space="0"/>
              <w:left w:val="single" w:color="000000" w:sz="4" w:space="0"/>
              <w:bottom w:val="single" w:color="000000" w:sz="4" w:space="0"/>
              <w:right w:val="single" w:color="000000" w:sz="4" w:space="0"/>
            </w:tcBorders>
            <w:tcW w:w="3368" w:type="dxa"/>
            <w:vAlign w:val="center"/>
            <w:textDirection w:val="lrTb"/>
            <w:noWrap w:val="false"/>
          </w:tcPr>
          <w:p>
            <w:pPr>
              <w:pStyle w:val="1063"/>
              <w:jc w:val="both"/>
              <w:widowControl w:val="off"/>
              <w:rPr>
                <w:sz w:val="20"/>
                <w:szCs w:val="20"/>
              </w:rPr>
            </w:pPr>
            <w:r>
              <w:rPr>
                <w:rFonts w:ascii="Arial Narrow" w:hAnsi="Arial Narrow" w:cs="Calibri"/>
                <w:sz w:val="20"/>
                <w:szCs w:val="20"/>
              </w:rPr>
              <w:t xml:space="preserve">ИТОГО:</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3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1 753,4436</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6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1 797,471</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38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41,028</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9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1 774,856</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41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-19,615</w:t>
            </w:r>
            <w:r>
              <w:rPr>
                <w:sz w:val="20"/>
                <w:szCs w:val="20"/>
              </w:rPr>
            </w:r>
            <w:r>
              <w:rPr>
                <w:sz w:val="20"/>
                <w:szCs w:val="20"/>
              </w:rPr>
            </w:r>
          </w:p>
        </w:tc>
      </w:tr>
    </w:tbl>
    <w:p>
      <w:pPr>
        <w:pStyle w:val="1063"/>
        <w:ind w:firstLine="567"/>
        <w:jc w:val="both"/>
        <w:rPr>
          <w:rFonts w:ascii="Arial Narrow" w:hAnsi="Arial Narrow"/>
          <w:color w:val="0f0d29"/>
          <w:sz w:val="10"/>
          <w:szCs w:val="10"/>
        </w:rPr>
      </w:pPr>
      <w:r>
        <w:rPr>
          <w:rFonts w:ascii="Arial Narrow" w:hAnsi="Arial Narrow"/>
          <w:color w:val="0f0d29"/>
          <w:sz w:val="10"/>
          <w:szCs w:val="10"/>
        </w:rPr>
      </w:r>
      <w:r>
        <w:rPr>
          <w:rFonts w:ascii="Arial Narrow" w:hAnsi="Arial Narrow"/>
          <w:color w:val="0f0d29"/>
          <w:sz w:val="10"/>
          <w:szCs w:val="10"/>
        </w:rPr>
      </w:r>
      <w:r>
        <w:rPr>
          <w:rFonts w:ascii="Arial Narrow" w:hAnsi="Arial Narrow"/>
          <w:color w:val="0f0d29"/>
          <w:sz w:val="10"/>
          <w:szCs w:val="10"/>
        </w:rPr>
      </w:r>
    </w:p>
    <w:p>
      <w:pPr>
        <w:pStyle w:val="1063"/>
        <w:ind w:firstLine="567"/>
        <w:jc w:val="both"/>
      </w:pPr>
      <w:r>
        <w:rPr>
          <w:rFonts w:ascii="Arial Narrow" w:hAnsi="Arial Narrow"/>
          <w:color w:val="0f0d29"/>
        </w:rPr>
        <w:t xml:space="preserve">Отпуск тепловой энергии с коллекторов станций и котельных в 2024 году составил </w:t>
      </w:r>
      <w:r>
        <w:rPr>
          <w:rFonts w:ascii="Arial Narrow" w:hAnsi="Arial Narrow"/>
          <w:color w:val="0f0d29"/>
        </w:rPr>
        <w:br/>
        <w:t xml:space="preserve">1 774,856 тыс. Гкал, что </w:t>
      </w:r>
      <w:r>
        <w:rPr>
          <w:rFonts w:ascii="Arial Narrow" w:hAnsi="Arial Narrow"/>
          <w:color w:val="0f0d29"/>
        </w:rPr>
        <w:t xml:space="preserve">на 19,615 тыс. Гкал ниже, чем в 2023 году, за счет увеличения температуры наружного воздуха в отопительный период, сокращения объема потребления ГВС, замены изоляции тепловых сетей ТМ-2,3 и 2-ого контура и расселения части жилых домов, подключенных к ТМ-2.</w:t>
      </w:r>
      <w:r/>
    </w:p>
    <w:p>
      <w:pPr>
        <w:pStyle w:val="1063"/>
        <w:ind w:firstLine="567"/>
        <w:jc w:val="both"/>
      </w:pPr>
      <w:r>
        <w:rPr>
          <w:rFonts w:ascii="Arial Narrow" w:hAnsi="Arial Narrow"/>
          <w:color w:val="0f0d29"/>
        </w:rPr>
        <w:t xml:space="preserve">Увеличение отпуска тепловой энергии с коллекторов станций и котельных в 2023 году </w:t>
      </w:r>
      <w:r>
        <w:rPr>
          <w:rFonts w:ascii="Arial Narrow" w:hAnsi="Arial Narrow"/>
          <w:color w:val="0f0d29"/>
        </w:rPr>
        <w:br/>
        <w:t xml:space="preserve">на 41,028 тыс. Гкал произошло за счет снижения температуры наружного воздуха в отопительный период, подключения новых потребителей и окончания отопительного периода на 4-6 суток позже, чем в июне 2022 года по участкам филиала «Коммунальная энергетика».</w:t>
      </w:r>
      <w:r/>
    </w:p>
    <w:p>
      <w:pPr>
        <w:pStyle w:val="1096"/>
        <w:ind w:left="0" w:right="-5"/>
        <w:jc w:val="both"/>
        <w:spacing w:after="0" w:line="276" w:lineRule="auto"/>
        <w:rPr>
          <w:rFonts w:ascii="Arial Narrow" w:hAnsi="Arial Narrow" w:cs="Calibri"/>
          <w:b/>
          <w:color w:val="314e87"/>
          <w:sz w:val="6"/>
          <w:szCs w:val="6"/>
        </w:rPr>
      </w:pPr>
      <w:r>
        <w:rPr>
          <w:rFonts w:ascii="Arial Narrow" w:hAnsi="Arial Narrow" w:cs="Calibri"/>
          <w:b/>
          <w:color w:val="314e87"/>
          <w:sz w:val="6"/>
          <w:szCs w:val="6"/>
        </w:rPr>
      </w:r>
      <w:r>
        <w:rPr>
          <w:rFonts w:ascii="Arial Narrow" w:hAnsi="Arial Narrow" w:cs="Calibri"/>
          <w:b/>
          <w:color w:val="314e87"/>
          <w:sz w:val="6"/>
          <w:szCs w:val="6"/>
        </w:rPr>
      </w:r>
      <w:r>
        <w:rPr>
          <w:rFonts w:ascii="Arial Narrow" w:hAnsi="Arial Narrow" w:cs="Calibri"/>
          <w:b/>
          <w:color w:val="314e87"/>
          <w:sz w:val="6"/>
          <w:szCs w:val="6"/>
        </w:rPr>
      </w:r>
    </w:p>
    <w:p>
      <w:pPr>
        <w:pStyle w:val="1096"/>
        <w:ind w:left="0" w:right="-5"/>
        <w:jc w:val="both"/>
        <w:spacing w:after="0" w:line="276" w:lineRule="auto"/>
      </w:pPr>
      <w:r>
        <w:rPr>
          <w:rFonts w:ascii="Arial Narrow" w:hAnsi="Arial Narrow" w:cs="Calibri"/>
          <w:b/>
          <w:color w:val="314e87"/>
          <w:sz w:val="24"/>
          <w:szCs w:val="24"/>
        </w:rPr>
        <w:t xml:space="preserve">Изменение протяженности теплосетей</w:t>
      </w:r>
      <w:r/>
    </w:p>
    <w:p>
      <w:pPr>
        <w:pStyle w:val="1063"/>
        <w:jc w:val="right"/>
        <w:rPr>
          <w:lang w:val="en-US"/>
        </w:rPr>
      </w:pPr>
      <w:r>
        <w:rPr>
          <w:rFonts w:ascii="Arial Narrow" w:hAnsi="Arial Narrow" w:eastAsia="Calibri" w:cs="Calibri"/>
          <w:i/>
          <w:lang w:eastAsia="ja-JP"/>
        </w:rPr>
        <w:t xml:space="preserve"> Таблица № </w:t>
      </w:r>
      <w:r>
        <w:rPr>
          <w:rFonts w:ascii="Arial Narrow" w:hAnsi="Arial Narrow" w:eastAsia="Calibri" w:cs="Calibri"/>
          <w:i/>
          <w:lang w:val="en-US" w:eastAsia="ja-JP"/>
        </w:rPr>
        <w:t xml:space="preserve">9</w:t>
      </w:r>
      <w:r>
        <w:rPr>
          <w:lang w:val="en-US"/>
        </w:rPr>
      </w:r>
      <w:r>
        <w:rPr>
          <w:lang w:val="en-US"/>
        </w:rPr>
      </w:r>
    </w:p>
    <w:tbl>
      <w:tblPr>
        <w:tblW w:w="10060" w:type="dxa"/>
        <w:jc w:val="center"/>
        <w:tblLayout w:type="fixed"/>
        <w:tblLook w:val="04A0" w:firstRow="1" w:lastRow="0" w:firstColumn="1" w:lastColumn="0" w:noHBand="0" w:noVBand="1"/>
      </w:tblPr>
      <w:tblGrid>
        <w:gridCol w:w="3407"/>
        <w:gridCol w:w="762"/>
        <w:gridCol w:w="814"/>
        <w:gridCol w:w="853"/>
        <w:gridCol w:w="990"/>
        <w:gridCol w:w="710"/>
        <w:gridCol w:w="880"/>
        <w:gridCol w:w="793"/>
        <w:gridCol w:w="851"/>
      </w:tblGrid>
      <w:tr>
        <w:trPr>
          <w:jc w:val="center"/>
          <w:trHeight w:val="349"/>
        </w:trPr>
        <w:tc>
          <w:tcPr>
            <w:tcBorders>
              <w:top w:val="single" w:color="000000" w:sz="4" w:space="0"/>
              <w:left w:val="single" w:color="000000" w:sz="4" w:space="0"/>
              <w:bottom w:val="single" w:color="000000" w:sz="4" w:space="0"/>
              <w:right w:val="single" w:color="000000" w:sz="4" w:space="0"/>
            </w:tcBorders>
            <w:tcW w:w="3406" w:type="dxa"/>
            <w:vAlign w:val="center"/>
            <w:vMerge w:val="restart"/>
            <w:textDirection w:val="lrTb"/>
            <w:noWrap w:val="false"/>
          </w:tcPr>
          <w:p>
            <w:pPr>
              <w:pStyle w:val="1063"/>
              <w:jc w:val="center"/>
              <w:widowControl w:val="off"/>
              <w:rPr>
                <w:sz w:val="20"/>
                <w:szCs w:val="20"/>
              </w:rPr>
            </w:pPr>
            <w:r>
              <w:rPr>
                <w:rFonts w:ascii="Arial Narrow" w:hAnsi="Arial Narrow" w:cs="Calibri"/>
                <w:sz w:val="20"/>
                <w:szCs w:val="20"/>
              </w:rPr>
              <w:t xml:space="preserve">Показатель</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762" w:type="dxa"/>
            <w:vAlign w:val="center"/>
            <w:vMerge w:val="restart"/>
            <w:textDirection w:val="lrTb"/>
            <w:noWrap w:val="false"/>
          </w:tcPr>
          <w:p>
            <w:pPr>
              <w:pStyle w:val="1063"/>
              <w:jc w:val="center"/>
              <w:widowControl w:val="off"/>
              <w:rPr>
                <w:sz w:val="20"/>
                <w:szCs w:val="20"/>
              </w:rPr>
            </w:pPr>
            <w:r>
              <w:rPr>
                <w:rFonts w:ascii="Arial Narrow" w:hAnsi="Arial Narrow" w:cs="Calibri"/>
                <w:sz w:val="20"/>
                <w:szCs w:val="20"/>
              </w:rPr>
              <w:t xml:space="preserve">Ед.</w:t>
            </w:r>
            <w:r>
              <w:rPr>
                <w:sz w:val="20"/>
                <w:szCs w:val="20"/>
              </w:rPr>
            </w:r>
            <w:r>
              <w:rPr>
                <w:sz w:val="20"/>
                <w:szCs w:val="20"/>
              </w:rPr>
            </w:r>
          </w:p>
          <w:p>
            <w:pPr>
              <w:pStyle w:val="1063"/>
              <w:jc w:val="center"/>
              <w:widowControl w:val="off"/>
              <w:rPr>
                <w:sz w:val="20"/>
                <w:szCs w:val="20"/>
              </w:rPr>
            </w:pPr>
            <w:r>
              <w:rPr>
                <w:rFonts w:ascii="Arial Narrow" w:hAnsi="Arial Narrow" w:cs="Calibri"/>
                <w:sz w:val="20"/>
                <w:szCs w:val="20"/>
              </w:rPr>
              <w:t xml:space="preserve">изм.</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14" w:type="dxa"/>
            <w:vAlign w:val="center"/>
            <w:vMerge w:val="restart"/>
            <w:textDirection w:val="lrTb"/>
            <w:noWrap w:val="false"/>
          </w:tcPr>
          <w:p>
            <w:pPr>
              <w:pStyle w:val="1063"/>
              <w:jc w:val="center"/>
              <w:widowControl w:val="off"/>
              <w:rPr>
                <w:sz w:val="20"/>
                <w:szCs w:val="20"/>
              </w:rPr>
            </w:pPr>
            <w:r>
              <w:rPr>
                <w:rFonts w:ascii="Arial Narrow" w:hAnsi="Arial Narrow" w:cs="Calibri"/>
                <w:sz w:val="20"/>
                <w:szCs w:val="20"/>
              </w:rPr>
              <w:t xml:space="preserve">2022 г.</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53" w:type="dxa"/>
            <w:vAlign w:val="center"/>
            <w:vMerge w:val="restart"/>
            <w:textDirection w:val="lrTb"/>
            <w:noWrap w:val="false"/>
          </w:tcPr>
          <w:p>
            <w:pPr>
              <w:pStyle w:val="1063"/>
              <w:jc w:val="center"/>
              <w:widowControl w:val="off"/>
              <w:rPr>
                <w:sz w:val="20"/>
                <w:szCs w:val="20"/>
              </w:rPr>
            </w:pPr>
            <w:r>
              <w:rPr>
                <w:rFonts w:ascii="Arial Narrow" w:hAnsi="Arial Narrow" w:cs="Calibri"/>
                <w:sz w:val="20"/>
                <w:szCs w:val="20"/>
              </w:rPr>
              <w:t xml:space="preserve">2023 г.</w:t>
            </w:r>
            <w:r>
              <w:rPr>
                <w:sz w:val="20"/>
                <w:szCs w:val="20"/>
              </w:rPr>
            </w:r>
            <w:r>
              <w:rPr>
                <w:sz w:val="20"/>
                <w:szCs w:val="20"/>
              </w:rPr>
            </w:r>
          </w:p>
        </w:tc>
        <w:tc>
          <w:tcPr>
            <w:gridSpan w:val="2"/>
            <w:tcBorders>
              <w:top w:val="single" w:color="000000" w:sz="4" w:space="0"/>
              <w:left w:val="single" w:color="000000" w:sz="4" w:space="0"/>
              <w:bottom w:val="single" w:color="000000" w:sz="4" w:space="0"/>
              <w:right w:val="single" w:color="000000" w:sz="4" w:space="0"/>
            </w:tcBorders>
            <w:tcW w:w="170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Изменение</w:t>
            </w:r>
            <w:r>
              <w:rPr>
                <w:sz w:val="20"/>
                <w:szCs w:val="20"/>
              </w:rPr>
            </w:r>
            <w:r>
              <w:rPr>
                <w:sz w:val="20"/>
                <w:szCs w:val="20"/>
              </w:rPr>
            </w:r>
          </w:p>
          <w:p>
            <w:pPr>
              <w:pStyle w:val="1063"/>
              <w:jc w:val="center"/>
              <w:widowControl w:val="off"/>
              <w:rPr>
                <w:sz w:val="20"/>
                <w:szCs w:val="20"/>
              </w:rPr>
            </w:pPr>
            <w:r>
              <w:rPr>
                <w:rFonts w:ascii="Arial Narrow" w:hAnsi="Arial Narrow" w:cs="Calibri"/>
                <w:sz w:val="20"/>
                <w:szCs w:val="20"/>
              </w:rPr>
              <w:t xml:space="preserve">2023 г./2022 г.</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80" w:type="dxa"/>
            <w:vAlign w:val="center"/>
            <w:vMerge w:val="restart"/>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r>
            <w:r>
              <w:rPr>
                <w:rFonts w:ascii="Arial Narrow" w:hAnsi="Arial Narrow" w:cs="Calibri"/>
                <w:sz w:val="20"/>
                <w:szCs w:val="20"/>
              </w:rPr>
            </w:r>
            <w:r>
              <w:rPr>
                <w:rFonts w:ascii="Arial Narrow" w:hAnsi="Arial Narrow" w:cs="Calibri"/>
                <w:sz w:val="20"/>
                <w:szCs w:val="20"/>
              </w:rPr>
            </w:r>
          </w:p>
          <w:p>
            <w:pPr>
              <w:pStyle w:val="1063"/>
              <w:jc w:val="center"/>
              <w:widowControl w:val="off"/>
              <w:rPr>
                <w:sz w:val="20"/>
                <w:szCs w:val="20"/>
              </w:rPr>
            </w:pPr>
            <w:r>
              <w:rPr>
                <w:rFonts w:ascii="Arial Narrow" w:hAnsi="Arial Narrow" w:cs="Calibri"/>
                <w:sz w:val="20"/>
                <w:szCs w:val="20"/>
              </w:rPr>
              <w:t xml:space="preserve">2024 г.</w:t>
            </w:r>
            <w:r>
              <w:rPr>
                <w:sz w:val="20"/>
                <w:szCs w:val="20"/>
              </w:rPr>
            </w:r>
            <w:r>
              <w:rPr>
                <w:sz w:val="20"/>
                <w:szCs w:val="20"/>
              </w:rPr>
            </w:r>
          </w:p>
        </w:tc>
        <w:tc>
          <w:tcPr>
            <w:gridSpan w:val="2"/>
            <w:tcBorders>
              <w:top w:val="single" w:color="000000" w:sz="4" w:space="0"/>
              <w:left w:val="single" w:color="000000" w:sz="4" w:space="0"/>
              <w:bottom w:val="single" w:color="000000" w:sz="4" w:space="0"/>
              <w:right w:val="single" w:color="000000" w:sz="4" w:space="0"/>
            </w:tcBorders>
            <w:tcW w:w="164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Изменение</w:t>
            </w:r>
            <w:r>
              <w:rPr>
                <w:sz w:val="20"/>
                <w:szCs w:val="20"/>
              </w:rPr>
            </w:r>
            <w:r>
              <w:rPr>
                <w:sz w:val="20"/>
                <w:szCs w:val="20"/>
              </w:rPr>
            </w:r>
          </w:p>
          <w:p>
            <w:pPr>
              <w:pStyle w:val="1063"/>
              <w:jc w:val="center"/>
              <w:widowControl w:val="off"/>
              <w:rPr>
                <w:sz w:val="20"/>
                <w:szCs w:val="20"/>
              </w:rPr>
            </w:pPr>
            <w:r>
              <w:rPr>
                <w:rFonts w:ascii="Arial Narrow" w:hAnsi="Arial Narrow" w:cs="Calibri"/>
                <w:sz w:val="20"/>
                <w:szCs w:val="20"/>
              </w:rPr>
              <w:t xml:space="preserve">2024 г./2023 г.</w:t>
            </w:r>
            <w:r>
              <w:rPr>
                <w:sz w:val="20"/>
                <w:szCs w:val="20"/>
              </w:rPr>
            </w:r>
            <w:r>
              <w:rPr>
                <w:sz w:val="20"/>
                <w:szCs w:val="20"/>
              </w:rPr>
            </w:r>
          </w:p>
        </w:tc>
      </w:tr>
      <w:tr>
        <w:trPr>
          <w:jc w:val="center"/>
        </w:trPr>
        <w:tc>
          <w:tcPr>
            <w:tcBorders>
              <w:top w:val="single" w:color="000000" w:sz="4" w:space="0"/>
              <w:left w:val="single" w:color="000000" w:sz="4" w:space="0"/>
              <w:bottom w:val="single" w:color="000000" w:sz="4" w:space="0"/>
              <w:right w:val="single" w:color="000000" w:sz="4" w:space="0"/>
            </w:tcBorders>
            <w:tcW w:w="3406"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762"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14"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53"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tcBorders>
              <w:bottom w:val="single" w:color="000000" w:sz="4" w:space="0"/>
              <w:right w:val="single" w:color="000000" w:sz="4" w:space="0"/>
            </w:tcBorders>
            <w:tcW w:w="99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ед.</w:t>
            </w:r>
            <w:r>
              <w:rPr>
                <w:sz w:val="20"/>
                <w:szCs w:val="20"/>
              </w:rPr>
            </w:r>
            <w:r>
              <w:rPr>
                <w:sz w:val="20"/>
                <w:szCs w:val="20"/>
              </w:rPr>
            </w:r>
          </w:p>
        </w:tc>
        <w:tc>
          <w:tcPr>
            <w:tcBorders>
              <w:bottom w:val="single" w:color="000000" w:sz="4" w:space="0"/>
              <w:right w:val="single" w:color="000000" w:sz="4" w:space="0"/>
            </w:tcBorders>
            <w:tcW w:w="71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80"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793"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ед.</w:t>
            </w:r>
            <w:r>
              <w:rPr>
                <w:sz w:val="20"/>
                <w:szCs w:val="20"/>
              </w:rPr>
            </w:r>
            <w:r>
              <w:rPr>
                <w:sz w:val="20"/>
                <w:szCs w:val="20"/>
              </w:rPr>
            </w:r>
          </w:p>
        </w:tc>
        <w:tc>
          <w:tcPr>
            <w:tcBorders>
              <w:bottom w:val="single" w:color="000000" w:sz="4" w:space="0"/>
              <w:right w:val="single" w:color="000000" w:sz="4" w:space="0"/>
            </w:tcBorders>
            <w:tcW w:w="851"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w:t>
            </w:r>
            <w:r>
              <w:rPr>
                <w:sz w:val="20"/>
                <w:szCs w:val="20"/>
              </w:rPr>
            </w:r>
            <w:r>
              <w:rPr>
                <w:sz w:val="20"/>
                <w:szCs w:val="20"/>
              </w:rPr>
            </w:r>
          </w:p>
        </w:tc>
      </w:tr>
      <w:tr>
        <w:trPr>
          <w:jc w:val="center"/>
        </w:trPr>
        <w:tc>
          <w:tcPr>
            <w:tcBorders>
              <w:left w:val="single" w:color="000000" w:sz="4" w:space="0"/>
              <w:bottom w:val="single" w:color="000000" w:sz="4" w:space="0"/>
              <w:right w:val="single" w:color="000000" w:sz="4" w:space="0"/>
            </w:tcBorders>
            <w:tcW w:w="3406" w:type="dxa"/>
            <w:vAlign w:val="center"/>
            <w:textDirection w:val="lrTb"/>
            <w:noWrap w:val="false"/>
          </w:tcPr>
          <w:p>
            <w:pPr>
              <w:pStyle w:val="1063"/>
              <w:jc w:val="both"/>
              <w:widowControl w:val="off"/>
              <w:rPr>
                <w:sz w:val="20"/>
                <w:szCs w:val="20"/>
              </w:rPr>
            </w:pPr>
            <w:r>
              <w:rPr>
                <w:rFonts w:ascii="Arial Narrow" w:hAnsi="Arial Narrow" w:cs="Calibri"/>
                <w:sz w:val="20"/>
                <w:szCs w:val="20"/>
              </w:rPr>
              <w:t xml:space="preserve">Протяженность тепловых сетей в однотрубном исполнении</w:t>
            </w:r>
            <w:r>
              <w:rPr>
                <w:sz w:val="20"/>
                <w:szCs w:val="20"/>
              </w:rPr>
            </w:r>
            <w:r>
              <w:rPr>
                <w:sz w:val="20"/>
                <w:szCs w:val="20"/>
              </w:rPr>
            </w:r>
          </w:p>
        </w:tc>
        <w:tc>
          <w:tcPr>
            <w:tcBorders>
              <w:top w:val="single" w:color="000000" w:sz="4" w:space="0"/>
              <w:bottom w:val="single" w:color="000000" w:sz="4" w:space="0"/>
              <w:right w:val="single" w:color="000000" w:sz="4" w:space="0"/>
            </w:tcBorders>
            <w:tcW w:w="76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км.</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1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900,18</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53"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905,79</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9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5,61</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71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0,63</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8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904,36</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793"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-1,43</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51"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0,16</w:t>
            </w:r>
            <w:r>
              <w:rPr>
                <w:sz w:val="20"/>
                <w:szCs w:val="20"/>
              </w:rPr>
            </w:r>
            <w:r>
              <w:rPr>
                <w:sz w:val="20"/>
                <w:szCs w:val="20"/>
              </w:rPr>
            </w:r>
          </w:p>
        </w:tc>
      </w:tr>
      <w:tr>
        <w:trPr>
          <w:jc w:val="center"/>
        </w:trPr>
        <w:tc>
          <w:tcPr>
            <w:tcBorders>
              <w:left w:val="single" w:color="000000" w:sz="4" w:space="0"/>
              <w:bottom w:val="single" w:color="000000" w:sz="4" w:space="0"/>
              <w:right w:val="single" w:color="000000" w:sz="4" w:space="0"/>
            </w:tcBorders>
            <w:tcW w:w="3406" w:type="dxa"/>
            <w:vAlign w:val="center"/>
            <w:textDirection w:val="lrTb"/>
            <w:noWrap w:val="false"/>
          </w:tcPr>
          <w:p>
            <w:pPr>
              <w:pStyle w:val="1063"/>
              <w:widowControl w:val="off"/>
              <w:rPr>
                <w:sz w:val="20"/>
                <w:szCs w:val="20"/>
              </w:rPr>
            </w:pPr>
            <w:r>
              <w:rPr>
                <w:rFonts w:ascii="Arial Narrow" w:hAnsi="Arial Narrow" w:cs="Calibri"/>
                <w:sz w:val="20"/>
                <w:szCs w:val="20"/>
              </w:rPr>
              <w:t xml:space="preserve">в том числе: магистральные</w:t>
            </w:r>
            <w:r>
              <w:rPr>
                <w:sz w:val="20"/>
                <w:szCs w:val="20"/>
              </w:rPr>
            </w:r>
            <w:r>
              <w:rPr>
                <w:sz w:val="20"/>
                <w:szCs w:val="20"/>
              </w:rPr>
            </w:r>
          </w:p>
        </w:tc>
        <w:tc>
          <w:tcPr>
            <w:tcBorders>
              <w:top w:val="single" w:color="000000" w:sz="4" w:space="0"/>
              <w:bottom w:val="single" w:color="000000" w:sz="4" w:space="0"/>
              <w:right w:val="single" w:color="000000" w:sz="4" w:space="0"/>
            </w:tcBorders>
            <w:tcW w:w="76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км.</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1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105,23</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53"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105,09</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9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-0,14</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71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0,14</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8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105,03</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793"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-0,06</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51"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0,06</w:t>
            </w:r>
            <w:r>
              <w:rPr>
                <w:sz w:val="20"/>
                <w:szCs w:val="20"/>
              </w:rPr>
            </w:r>
            <w:r>
              <w:rPr>
                <w:sz w:val="20"/>
                <w:szCs w:val="20"/>
              </w:rPr>
            </w:r>
          </w:p>
        </w:tc>
      </w:tr>
      <w:tr>
        <w:trPr>
          <w:jc w:val="center"/>
          <w:trHeight w:val="241"/>
        </w:trPr>
        <w:tc>
          <w:tcPr>
            <w:tcBorders>
              <w:left w:val="single" w:color="000000" w:sz="4" w:space="0"/>
              <w:bottom w:val="single" w:color="000000" w:sz="4" w:space="0"/>
              <w:right w:val="single" w:color="000000" w:sz="4" w:space="0"/>
            </w:tcBorders>
            <w:tcW w:w="3406" w:type="dxa"/>
            <w:vAlign w:val="center"/>
            <w:textDirection w:val="lrTb"/>
            <w:noWrap w:val="false"/>
          </w:tcPr>
          <w:p>
            <w:pPr>
              <w:pStyle w:val="1063"/>
              <w:widowControl w:val="off"/>
              <w:rPr>
                <w:sz w:val="20"/>
                <w:szCs w:val="20"/>
              </w:rPr>
            </w:pPr>
            <w:r>
              <w:rPr>
                <w:rFonts w:ascii="Arial Narrow" w:hAnsi="Arial Narrow" w:cs="Calibri"/>
                <w:sz w:val="20"/>
                <w:szCs w:val="20"/>
              </w:rPr>
              <w:t xml:space="preserve">                      внутриквартальные</w:t>
            </w:r>
            <w:r>
              <w:rPr>
                <w:sz w:val="20"/>
                <w:szCs w:val="20"/>
              </w:rPr>
            </w:r>
            <w:r>
              <w:rPr>
                <w:sz w:val="20"/>
                <w:szCs w:val="20"/>
              </w:rPr>
            </w:r>
          </w:p>
        </w:tc>
        <w:tc>
          <w:tcPr>
            <w:tcBorders>
              <w:top w:val="single" w:color="000000" w:sz="4" w:space="0"/>
              <w:bottom w:val="single" w:color="000000" w:sz="4" w:space="0"/>
              <w:right w:val="single" w:color="000000" w:sz="4" w:space="0"/>
            </w:tcBorders>
            <w:tcW w:w="76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км.</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1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794,95</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53"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800,7</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9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5,75</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71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0,73</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8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799,33</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793"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-1,37</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51"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0,17</w:t>
            </w:r>
            <w:r>
              <w:rPr>
                <w:sz w:val="20"/>
                <w:szCs w:val="20"/>
              </w:rPr>
            </w:r>
            <w:r>
              <w:rPr>
                <w:sz w:val="20"/>
                <w:szCs w:val="20"/>
              </w:rPr>
            </w:r>
          </w:p>
        </w:tc>
      </w:tr>
    </w:tbl>
    <w:p>
      <w:pPr>
        <w:pStyle w:val="1063"/>
        <w:ind w:firstLine="567"/>
        <w:jc w:val="both"/>
        <w:tabs>
          <w:tab w:val="left" w:pos="992" w:leader="none"/>
        </w:tabs>
        <w:rPr>
          <w:rFonts w:ascii="Arial Narrow" w:hAnsi="Arial Narrow" w:cs="Calibri"/>
          <w:sz w:val="10"/>
          <w:szCs w:val="10"/>
        </w:rPr>
      </w:pPr>
      <w:r>
        <w:rPr>
          <w:rFonts w:ascii="Arial Narrow" w:hAnsi="Arial Narrow" w:cs="Calibri"/>
          <w:sz w:val="10"/>
          <w:szCs w:val="10"/>
        </w:rPr>
      </w:r>
      <w:r>
        <w:rPr>
          <w:rFonts w:ascii="Arial Narrow" w:hAnsi="Arial Narrow" w:cs="Calibri"/>
          <w:sz w:val="10"/>
          <w:szCs w:val="10"/>
        </w:rPr>
      </w:r>
      <w:r>
        <w:rPr>
          <w:rFonts w:ascii="Arial Narrow" w:hAnsi="Arial Narrow" w:cs="Calibri"/>
          <w:sz w:val="10"/>
          <w:szCs w:val="10"/>
        </w:rPr>
      </w:r>
    </w:p>
    <w:p>
      <w:pPr>
        <w:pStyle w:val="1063"/>
        <w:ind w:firstLine="567"/>
        <w:jc w:val="both"/>
      </w:pPr>
      <w:r>
        <w:rPr>
          <w:rFonts w:ascii="Arial Narrow" w:hAnsi="Arial Narrow"/>
          <w:color w:val="0f0d29"/>
        </w:rPr>
        <w:t xml:space="preserve">В 2024 году протяженность тепловых сетей в однотрубном исполнении уменьшилась относительно 2023 года на 1,43 км по следующим причинам:</w:t>
      </w: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0,06 км магистральных тепловых сетей и 0,842 км внутриквартальных сетей администрацией ПКГО переданы в хозяйственное ведение МУП ТЭСК;</w:t>
      </w:r>
      <w:r>
        <w:rPr>
          <w:lang w:val="ru-RU"/>
        </w:rPr>
      </w:r>
      <w:r>
        <w:rPr>
          <w:lang w:val="ru-RU"/>
        </w:rP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0,706 км внутриквартальных тепловых сетей увеличилось за счет технологических присоединений к жилым домам г. Петропавловск-Камчатский ул. Арсеньева и г. Елизово ул. Рябикова и Беринга и строительства сетей к школе № 40;</w:t>
      </w:r>
      <w:r>
        <w:rPr>
          <w:lang w:val="ru-RU"/>
        </w:rPr>
      </w:r>
      <w:r>
        <w:rPr>
          <w:lang w:val="ru-RU"/>
        </w:rP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1,234 км тепловых сетей от котельной № 14 «Халактырка» переданы администрацией ПКГО в хозяйственной ведение МУП ТЭСК.</w:t>
      </w:r>
      <w:r>
        <w:rPr>
          <w:lang w:val="ru-RU"/>
        </w:rPr>
      </w:r>
      <w:r>
        <w:rPr>
          <w:lang w:val="ru-RU"/>
        </w:rPr>
      </w:r>
    </w:p>
    <w:p>
      <w:pPr>
        <w:pStyle w:val="1096"/>
        <w:ind w:left="0" w:right="-5"/>
        <w:jc w:val="both"/>
        <w:spacing w:after="0" w:line="276" w:lineRule="auto"/>
        <w:rPr>
          <w:rFonts w:ascii="Arial Narrow" w:hAnsi="Arial Narrow" w:cs="Calibri"/>
          <w:b/>
          <w:color w:val="314e87"/>
          <w:sz w:val="6"/>
          <w:szCs w:val="6"/>
        </w:rPr>
      </w:pPr>
      <w:r>
        <w:rPr>
          <w:rFonts w:ascii="Arial Narrow" w:hAnsi="Arial Narrow" w:cs="Calibri"/>
          <w:b/>
          <w:color w:val="314e87"/>
          <w:sz w:val="6"/>
          <w:szCs w:val="6"/>
        </w:rPr>
      </w:r>
      <w:r>
        <w:rPr>
          <w:rFonts w:ascii="Arial Narrow" w:hAnsi="Arial Narrow" w:cs="Calibri"/>
          <w:b/>
          <w:color w:val="314e87"/>
          <w:sz w:val="6"/>
          <w:szCs w:val="6"/>
        </w:rPr>
      </w:r>
      <w:r>
        <w:rPr>
          <w:rFonts w:ascii="Arial Narrow" w:hAnsi="Arial Narrow" w:cs="Calibri"/>
          <w:b/>
          <w:color w:val="314e87"/>
          <w:sz w:val="6"/>
          <w:szCs w:val="6"/>
        </w:rPr>
      </w:r>
    </w:p>
    <w:p>
      <w:pPr>
        <w:pStyle w:val="1096"/>
        <w:ind w:left="0" w:right="-5"/>
        <w:jc w:val="both"/>
        <w:spacing w:after="0" w:line="276" w:lineRule="auto"/>
      </w:pPr>
      <w:r>
        <w:rPr>
          <w:rFonts w:ascii="Arial Narrow" w:hAnsi="Arial Narrow" w:cs="Calibri"/>
          <w:b/>
          <w:color w:val="314e87"/>
          <w:sz w:val="24"/>
          <w:szCs w:val="24"/>
        </w:rPr>
        <w:t xml:space="preserve">Распределение теплоэнергии</w:t>
      </w:r>
      <w:r/>
    </w:p>
    <w:p>
      <w:pPr>
        <w:pStyle w:val="1063"/>
        <w:jc w:val="right"/>
        <w:rPr>
          <w:lang w:val="en-US"/>
        </w:rPr>
      </w:pPr>
      <w:r>
        <w:rPr>
          <w:rFonts w:ascii="Arial Narrow" w:hAnsi="Arial Narrow" w:eastAsia="Calibri" w:cs="Calibri"/>
          <w:i/>
          <w:lang w:eastAsia="ja-JP"/>
        </w:rPr>
        <w:t xml:space="preserve">Таблица № </w:t>
      </w:r>
      <w:r>
        <w:rPr>
          <w:rFonts w:ascii="Arial Narrow" w:hAnsi="Arial Narrow" w:eastAsia="Calibri" w:cs="Calibri"/>
          <w:i/>
          <w:lang w:val="en-US" w:eastAsia="ja-JP"/>
        </w:rPr>
        <w:t xml:space="preserve">10</w:t>
      </w:r>
      <w:r>
        <w:rPr>
          <w:lang w:val="en-US"/>
        </w:rPr>
      </w:r>
      <w:r>
        <w:rPr>
          <w:lang w:val="en-US"/>
        </w:rPr>
      </w:r>
    </w:p>
    <w:tbl>
      <w:tblPr>
        <w:tblW w:w="4949" w:type="pct"/>
        <w:jc w:val="center"/>
        <w:tblLayout w:type="fixed"/>
        <w:tblLook w:val="04A0" w:firstRow="1" w:lastRow="0" w:firstColumn="1" w:lastColumn="0" w:noHBand="0" w:noVBand="1"/>
      </w:tblPr>
      <w:tblGrid>
        <w:gridCol w:w="3132"/>
        <w:gridCol w:w="1016"/>
        <w:gridCol w:w="1057"/>
        <w:gridCol w:w="1012"/>
        <w:gridCol w:w="853"/>
        <w:gridCol w:w="577"/>
        <w:gridCol w:w="1007"/>
        <w:gridCol w:w="928"/>
        <w:gridCol w:w="592"/>
      </w:tblGrid>
      <w:tr>
        <w:trPr>
          <w:jc w:val="center"/>
          <w:trHeight w:val="50"/>
        </w:trPr>
        <w:tc>
          <w:tcPr>
            <w:tcBorders>
              <w:top w:val="single" w:color="000000" w:sz="4" w:space="0"/>
              <w:left w:val="single" w:color="000000" w:sz="4" w:space="0"/>
              <w:bottom w:val="single" w:color="000000" w:sz="4" w:space="0"/>
              <w:right w:val="single" w:color="000000" w:sz="4" w:space="0"/>
            </w:tcBorders>
            <w:tcW w:w="3132" w:type="dxa"/>
            <w:vAlign w:val="center"/>
            <w:vMerge w:val="restart"/>
            <w:textDirection w:val="lrTb"/>
            <w:noWrap w:val="false"/>
          </w:tcPr>
          <w:p>
            <w:pPr>
              <w:pStyle w:val="1063"/>
              <w:jc w:val="center"/>
              <w:widowControl w:val="off"/>
              <w:rPr>
                <w:sz w:val="20"/>
                <w:szCs w:val="20"/>
              </w:rPr>
            </w:pPr>
            <w:r>
              <w:rPr>
                <w:rFonts w:ascii="Arial Narrow" w:hAnsi="Arial Narrow" w:cs="Calibri"/>
                <w:sz w:val="20"/>
                <w:szCs w:val="20"/>
              </w:rPr>
              <w:t xml:space="preserve">Показатель</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16" w:type="dxa"/>
            <w:vAlign w:val="center"/>
            <w:vMerge w:val="restart"/>
            <w:textDirection w:val="lrTb"/>
            <w:noWrap w:val="false"/>
          </w:tcPr>
          <w:p>
            <w:pPr>
              <w:pStyle w:val="1063"/>
              <w:jc w:val="center"/>
              <w:widowControl w:val="off"/>
              <w:rPr>
                <w:sz w:val="20"/>
                <w:szCs w:val="20"/>
              </w:rPr>
            </w:pPr>
            <w:r>
              <w:rPr>
                <w:rFonts w:ascii="Arial Narrow" w:hAnsi="Arial Narrow" w:cs="Calibri"/>
                <w:sz w:val="20"/>
                <w:szCs w:val="20"/>
              </w:rPr>
              <w:t xml:space="preserve">Ед. изм.</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57" w:type="dxa"/>
            <w:vAlign w:val="center"/>
            <w:vMerge w:val="restart"/>
            <w:textDirection w:val="lrTb"/>
            <w:noWrap w:val="false"/>
          </w:tcPr>
          <w:p>
            <w:pPr>
              <w:pStyle w:val="1063"/>
              <w:jc w:val="center"/>
              <w:widowControl w:val="off"/>
              <w:rPr>
                <w:sz w:val="20"/>
                <w:szCs w:val="20"/>
              </w:rPr>
            </w:pPr>
            <w:r>
              <w:rPr>
                <w:rFonts w:ascii="Arial Narrow" w:hAnsi="Arial Narrow" w:cs="Calibri"/>
                <w:sz w:val="20"/>
                <w:szCs w:val="20"/>
              </w:rPr>
              <w:t xml:space="preserve">2022 г.</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12" w:type="dxa"/>
            <w:vAlign w:val="center"/>
            <w:vMerge w:val="restart"/>
            <w:textDirection w:val="lrTb"/>
            <w:noWrap w:val="false"/>
          </w:tcPr>
          <w:p>
            <w:pPr>
              <w:pStyle w:val="1063"/>
              <w:jc w:val="center"/>
              <w:widowControl w:val="off"/>
              <w:rPr>
                <w:sz w:val="20"/>
                <w:szCs w:val="20"/>
              </w:rPr>
            </w:pPr>
            <w:r>
              <w:rPr>
                <w:rFonts w:ascii="Arial Narrow" w:hAnsi="Arial Narrow" w:cs="Calibri"/>
                <w:sz w:val="20"/>
                <w:szCs w:val="20"/>
              </w:rPr>
              <w:t xml:space="preserve">2023 г.</w:t>
            </w:r>
            <w:r>
              <w:rPr>
                <w:sz w:val="20"/>
                <w:szCs w:val="20"/>
              </w:rPr>
            </w:r>
            <w:r>
              <w:rPr>
                <w:sz w:val="20"/>
                <w:szCs w:val="20"/>
              </w:rPr>
            </w:r>
          </w:p>
        </w:tc>
        <w:tc>
          <w:tcPr>
            <w:gridSpan w:val="2"/>
            <w:tcBorders>
              <w:top w:val="single" w:color="000000" w:sz="4" w:space="0"/>
              <w:left w:val="single" w:color="000000" w:sz="4" w:space="0"/>
              <w:bottom w:val="single" w:color="000000" w:sz="4" w:space="0"/>
              <w:right w:val="single" w:color="000000" w:sz="4" w:space="0"/>
            </w:tcBorders>
            <w:tcW w:w="143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Отклонение</w:t>
            </w:r>
            <w:r>
              <w:rPr>
                <w:sz w:val="20"/>
                <w:szCs w:val="20"/>
              </w:rPr>
            </w:r>
            <w:r>
              <w:rPr>
                <w:sz w:val="20"/>
                <w:szCs w:val="20"/>
              </w:rPr>
            </w:r>
          </w:p>
          <w:p>
            <w:pPr>
              <w:pStyle w:val="1063"/>
              <w:jc w:val="center"/>
              <w:widowControl w:val="off"/>
              <w:rPr>
                <w:sz w:val="20"/>
                <w:szCs w:val="20"/>
              </w:rPr>
            </w:pPr>
            <w:r>
              <w:rPr>
                <w:rFonts w:ascii="Arial Narrow" w:hAnsi="Arial Narrow" w:cs="Calibri"/>
                <w:sz w:val="20"/>
                <w:szCs w:val="20"/>
              </w:rPr>
              <w:t xml:space="preserve">2023 г./2022 г.</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07" w:type="dxa"/>
            <w:vAlign w:val="center"/>
            <w:vMerge w:val="restart"/>
            <w:textDirection w:val="lrTb"/>
            <w:noWrap w:val="false"/>
          </w:tcPr>
          <w:p>
            <w:pPr>
              <w:pStyle w:val="1063"/>
              <w:jc w:val="center"/>
              <w:widowControl w:val="off"/>
              <w:rPr>
                <w:sz w:val="20"/>
                <w:szCs w:val="20"/>
              </w:rPr>
            </w:pPr>
            <w:r>
              <w:rPr>
                <w:rFonts w:ascii="Arial Narrow" w:hAnsi="Arial Narrow" w:cs="Calibri"/>
                <w:sz w:val="20"/>
                <w:szCs w:val="20"/>
              </w:rPr>
              <w:t xml:space="preserve">2024 г.</w:t>
            </w:r>
            <w:r>
              <w:rPr>
                <w:sz w:val="20"/>
                <w:szCs w:val="20"/>
              </w:rPr>
            </w:r>
            <w:r>
              <w:rPr>
                <w:sz w:val="20"/>
                <w:szCs w:val="20"/>
              </w:rPr>
            </w:r>
          </w:p>
        </w:tc>
        <w:tc>
          <w:tcPr>
            <w:gridSpan w:val="2"/>
            <w:tcBorders>
              <w:top w:val="single" w:color="000000" w:sz="4" w:space="0"/>
              <w:left w:val="single" w:color="000000" w:sz="4" w:space="0"/>
              <w:bottom w:val="single" w:color="000000" w:sz="4" w:space="0"/>
              <w:right w:val="single" w:color="000000" w:sz="4" w:space="0"/>
            </w:tcBorders>
            <w:tcW w:w="1520" w:type="dxa"/>
            <w:vAlign w:val="center"/>
            <w:textDirection w:val="lrTb"/>
            <w:noWrap w:val="false"/>
          </w:tcPr>
          <w:p>
            <w:pPr>
              <w:pStyle w:val="1063"/>
              <w:ind w:right="83"/>
              <w:jc w:val="center"/>
              <w:widowControl w:val="off"/>
              <w:rPr>
                <w:sz w:val="20"/>
                <w:szCs w:val="20"/>
              </w:rPr>
            </w:pPr>
            <w:r>
              <w:rPr>
                <w:rFonts w:ascii="Arial Narrow" w:hAnsi="Arial Narrow" w:cs="Calibri"/>
                <w:sz w:val="20"/>
                <w:szCs w:val="20"/>
              </w:rPr>
              <w:t xml:space="preserve">Отклонение</w:t>
            </w:r>
            <w:r>
              <w:rPr>
                <w:sz w:val="20"/>
                <w:szCs w:val="20"/>
              </w:rPr>
            </w:r>
            <w:r>
              <w:rPr>
                <w:sz w:val="20"/>
                <w:szCs w:val="20"/>
              </w:rPr>
            </w:r>
          </w:p>
          <w:p>
            <w:pPr>
              <w:pStyle w:val="1063"/>
              <w:ind w:right="83"/>
              <w:jc w:val="center"/>
              <w:widowControl w:val="off"/>
              <w:rPr>
                <w:sz w:val="20"/>
                <w:szCs w:val="20"/>
              </w:rPr>
            </w:pPr>
            <w:r>
              <w:rPr>
                <w:rFonts w:ascii="Arial Narrow" w:hAnsi="Arial Narrow" w:cs="Calibri"/>
                <w:sz w:val="20"/>
                <w:szCs w:val="20"/>
              </w:rPr>
              <w:t xml:space="preserve">2024 г./2023 г.</w:t>
            </w:r>
            <w:r>
              <w:rPr>
                <w:sz w:val="20"/>
                <w:szCs w:val="20"/>
              </w:rPr>
            </w:r>
            <w:r>
              <w:rPr>
                <w:sz w:val="20"/>
                <w:szCs w:val="20"/>
              </w:rPr>
            </w:r>
          </w:p>
        </w:tc>
      </w:tr>
      <w:tr>
        <w:trPr>
          <w:jc w:val="center"/>
          <w:trHeight w:val="50"/>
        </w:trPr>
        <w:tc>
          <w:tcPr>
            <w:tcBorders>
              <w:top w:val="single" w:color="000000" w:sz="4" w:space="0"/>
              <w:left w:val="single" w:color="000000" w:sz="4" w:space="0"/>
              <w:bottom w:val="single" w:color="000000" w:sz="4" w:space="0"/>
              <w:right w:val="single" w:color="000000" w:sz="4" w:space="0"/>
            </w:tcBorders>
            <w:tcW w:w="3132"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16"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57"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12"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tcBorders>
              <w:bottom w:val="single" w:color="000000" w:sz="4" w:space="0"/>
              <w:right w:val="single" w:color="000000" w:sz="4" w:space="0"/>
            </w:tcBorders>
            <w:tcW w:w="853"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ед.</w:t>
            </w:r>
            <w:r>
              <w:rPr>
                <w:sz w:val="20"/>
                <w:szCs w:val="20"/>
              </w:rPr>
            </w:r>
            <w:r>
              <w:rPr>
                <w:sz w:val="20"/>
                <w:szCs w:val="20"/>
              </w:rPr>
            </w:r>
          </w:p>
        </w:tc>
        <w:tc>
          <w:tcPr>
            <w:tcBorders>
              <w:bottom w:val="single" w:color="000000" w:sz="4" w:space="0"/>
              <w:right w:val="single" w:color="000000" w:sz="4" w:space="0"/>
            </w:tcBorders>
            <w:tcW w:w="57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07"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tcBorders>
              <w:bottom w:val="single" w:color="000000" w:sz="4" w:space="0"/>
              <w:right w:val="single" w:color="000000" w:sz="4" w:space="0"/>
            </w:tcBorders>
            <w:tcW w:w="92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ед.</w:t>
            </w:r>
            <w:r>
              <w:rPr>
                <w:sz w:val="20"/>
                <w:szCs w:val="20"/>
              </w:rPr>
            </w:r>
            <w:r>
              <w:rPr>
                <w:sz w:val="20"/>
                <w:szCs w:val="20"/>
              </w:rPr>
            </w:r>
          </w:p>
        </w:tc>
        <w:tc>
          <w:tcPr>
            <w:tcBorders>
              <w:bottom w:val="single" w:color="000000" w:sz="4" w:space="0"/>
              <w:right w:val="single" w:color="000000" w:sz="4" w:space="0"/>
            </w:tcBorders>
            <w:tcW w:w="59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w:t>
            </w:r>
            <w:r>
              <w:rPr>
                <w:sz w:val="20"/>
                <w:szCs w:val="20"/>
              </w:rPr>
            </w:r>
            <w:r>
              <w:rPr>
                <w:sz w:val="20"/>
                <w:szCs w:val="20"/>
              </w:rPr>
            </w:r>
          </w:p>
        </w:tc>
      </w:tr>
      <w:tr>
        <w:trPr>
          <w:jc w:val="center"/>
          <w:trHeight w:val="41"/>
        </w:trPr>
        <w:tc>
          <w:tcPr>
            <w:tcBorders>
              <w:top w:val="single" w:color="000000" w:sz="4" w:space="0"/>
              <w:left w:val="single" w:color="000000" w:sz="4" w:space="0"/>
              <w:bottom w:val="single" w:color="000000" w:sz="4" w:space="0"/>
              <w:right w:val="single" w:color="000000" w:sz="4" w:space="0"/>
            </w:tcBorders>
            <w:tcW w:w="3132" w:type="dxa"/>
            <w:vAlign w:val="center"/>
            <w:textDirection w:val="lrTb"/>
            <w:noWrap w:val="false"/>
          </w:tcPr>
          <w:p>
            <w:pPr>
              <w:pStyle w:val="1063"/>
              <w:jc w:val="both"/>
              <w:widowControl w:val="off"/>
              <w:rPr>
                <w:sz w:val="20"/>
                <w:szCs w:val="20"/>
              </w:rPr>
            </w:pPr>
            <w:r>
              <w:rPr>
                <w:rFonts w:ascii="Arial Narrow" w:hAnsi="Arial Narrow" w:cs="Calibri"/>
                <w:sz w:val="20"/>
                <w:szCs w:val="20"/>
              </w:rPr>
              <w:t xml:space="preserve">Отпуск тепловой энергии в сеть</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1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тыс. Гкал</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5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1 716,136</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1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1 757,164</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53"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41,028</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7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2,4</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0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1 737,549</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2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-19,615</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9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-1,1</w:t>
            </w:r>
            <w:r>
              <w:rPr>
                <w:sz w:val="20"/>
                <w:szCs w:val="20"/>
              </w:rPr>
            </w:r>
            <w:r>
              <w:rPr>
                <w:sz w:val="20"/>
                <w:szCs w:val="20"/>
              </w:rPr>
            </w:r>
          </w:p>
        </w:tc>
      </w:tr>
      <w:tr>
        <w:trPr>
          <w:jc w:val="center"/>
          <w:trHeight w:val="41"/>
        </w:trPr>
        <w:tc>
          <w:tcPr>
            <w:tcBorders>
              <w:top w:val="single" w:color="000000" w:sz="4" w:space="0"/>
              <w:left w:val="single" w:color="000000" w:sz="4" w:space="0"/>
              <w:bottom w:val="single" w:color="000000" w:sz="4" w:space="0"/>
              <w:right w:val="single" w:color="000000" w:sz="4" w:space="0"/>
            </w:tcBorders>
            <w:tcW w:w="3132" w:type="dxa"/>
            <w:vAlign w:val="center"/>
            <w:textDirection w:val="lrTb"/>
            <w:noWrap w:val="false"/>
          </w:tcPr>
          <w:p>
            <w:pPr>
              <w:pStyle w:val="1063"/>
              <w:jc w:val="both"/>
              <w:widowControl w:val="off"/>
              <w:rPr>
                <w:sz w:val="20"/>
                <w:szCs w:val="20"/>
              </w:rPr>
            </w:pPr>
            <w:r>
              <w:rPr>
                <w:rFonts w:ascii="Arial Narrow" w:hAnsi="Arial Narrow" w:cs="Calibri"/>
                <w:sz w:val="20"/>
                <w:szCs w:val="20"/>
              </w:rPr>
              <w:t xml:space="preserve">Потери тепловой энергии в сетях</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1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тыс. Гкал</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5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321,724</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1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360,863</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53"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39,139</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7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12,2</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0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335,268</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2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-25,595</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9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-7,1</w:t>
            </w:r>
            <w:r>
              <w:rPr>
                <w:sz w:val="20"/>
                <w:szCs w:val="20"/>
              </w:rPr>
            </w:r>
            <w:r>
              <w:rPr>
                <w:sz w:val="20"/>
                <w:szCs w:val="20"/>
              </w:rPr>
            </w:r>
          </w:p>
        </w:tc>
      </w:tr>
      <w:tr>
        <w:trPr>
          <w:jc w:val="center"/>
          <w:trHeight w:val="41"/>
        </w:trPr>
        <w:tc>
          <w:tcPr>
            <w:tcBorders>
              <w:top w:val="single" w:color="000000" w:sz="4" w:space="0"/>
              <w:left w:val="single" w:color="000000" w:sz="4" w:space="0"/>
              <w:bottom w:val="single" w:color="000000" w:sz="4" w:space="0"/>
              <w:right w:val="single" w:color="000000" w:sz="4" w:space="0"/>
            </w:tcBorders>
            <w:tcW w:w="3132" w:type="dxa"/>
            <w:vAlign w:val="center"/>
            <w:textDirection w:val="lrTb"/>
            <w:noWrap w:val="false"/>
          </w:tcPr>
          <w:p>
            <w:pPr>
              <w:pStyle w:val="1063"/>
              <w:jc w:val="both"/>
              <w:widowControl w:val="off"/>
              <w:rPr>
                <w:sz w:val="20"/>
                <w:szCs w:val="20"/>
              </w:rPr>
            </w:pPr>
            <w:r>
              <w:rPr>
                <w:rFonts w:ascii="Arial Narrow" w:hAnsi="Arial Narrow" w:cs="Calibri"/>
                <w:sz w:val="20"/>
                <w:szCs w:val="20"/>
              </w:rPr>
              <w:t xml:space="preserve">       то же % к отпуску в сеть</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1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5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18,8</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1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20,5</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53"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1,7</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77" w:type="dxa"/>
            <w:vAlign w:val="center"/>
            <w:textDirection w:val="lrTb"/>
            <w:noWrap w:val="false"/>
          </w:tcPr>
          <w:p>
            <w:pPr>
              <w:pStyle w:val="1063"/>
              <w:jc w:val="center"/>
              <w:widowControl w:val="off"/>
              <w:rPr>
                <w:rFonts w:ascii="Arial Narrow" w:hAnsi="Arial Narrow"/>
                <w:sz w:val="20"/>
                <w:szCs w:val="20"/>
              </w:rPr>
            </w:pPr>
            <w:r>
              <w:rPr>
                <w:rFonts w:ascii="Arial Narrow" w:hAnsi="Arial Narrow"/>
                <w:sz w:val="20"/>
                <w:szCs w:val="20"/>
              </w:rPr>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00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19,3</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2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-1,2</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92" w:type="dxa"/>
            <w:vAlign w:val="center"/>
            <w:textDirection w:val="lrTb"/>
            <w:noWrap w:val="false"/>
          </w:tcPr>
          <w:p>
            <w:pPr>
              <w:pStyle w:val="1063"/>
              <w:jc w:val="center"/>
              <w:widowControl w:val="off"/>
              <w:rPr>
                <w:sz w:val="20"/>
                <w:szCs w:val="20"/>
              </w:rPr>
            </w:pPr>
            <w:r>
              <w:rPr>
                <w:sz w:val="20"/>
                <w:szCs w:val="20"/>
              </w:rPr>
            </w:r>
            <w:r>
              <w:rPr>
                <w:sz w:val="20"/>
                <w:szCs w:val="20"/>
              </w:rPr>
            </w:r>
            <w:r>
              <w:rPr>
                <w:sz w:val="20"/>
                <w:szCs w:val="20"/>
              </w:rPr>
            </w:r>
          </w:p>
        </w:tc>
      </w:tr>
      <w:tr>
        <w:trPr>
          <w:jc w:val="center"/>
          <w:trHeight w:val="41"/>
        </w:trPr>
        <w:tc>
          <w:tcPr>
            <w:tcBorders>
              <w:top w:val="single" w:color="000000" w:sz="4" w:space="0"/>
              <w:left w:val="single" w:color="000000" w:sz="4" w:space="0"/>
              <w:bottom w:val="single" w:color="000000" w:sz="4" w:space="0"/>
              <w:right w:val="single" w:color="000000" w:sz="4" w:space="0"/>
            </w:tcBorders>
            <w:tcW w:w="3132" w:type="dxa"/>
            <w:vAlign w:val="center"/>
            <w:textDirection w:val="lrTb"/>
            <w:noWrap w:val="false"/>
          </w:tcPr>
          <w:p>
            <w:pPr>
              <w:pStyle w:val="1063"/>
              <w:jc w:val="both"/>
              <w:widowControl w:val="off"/>
              <w:rPr>
                <w:sz w:val="20"/>
                <w:szCs w:val="20"/>
              </w:rPr>
            </w:pPr>
            <w:r>
              <w:rPr>
                <w:rFonts w:ascii="Arial Narrow" w:hAnsi="Arial Narrow" w:cs="Calibri"/>
                <w:sz w:val="20"/>
                <w:szCs w:val="20"/>
              </w:rPr>
              <w:t xml:space="preserve">Расход тепловой энергии на производственные и хозяйственные нужды</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1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тыс. Гкал</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5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47,973</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1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48,522</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53"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0,549</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7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1,1</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0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49,130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2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0,608</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9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1,3</w:t>
            </w:r>
            <w:r>
              <w:rPr>
                <w:sz w:val="20"/>
                <w:szCs w:val="20"/>
              </w:rPr>
            </w:r>
            <w:r>
              <w:rPr>
                <w:sz w:val="20"/>
                <w:szCs w:val="20"/>
              </w:rPr>
            </w:r>
          </w:p>
        </w:tc>
      </w:tr>
      <w:tr>
        <w:trPr>
          <w:jc w:val="center"/>
          <w:trHeight w:val="41"/>
        </w:trPr>
        <w:tc>
          <w:tcPr>
            <w:tcBorders>
              <w:top w:val="single" w:color="000000" w:sz="4" w:space="0"/>
              <w:left w:val="single" w:color="000000" w:sz="4" w:space="0"/>
              <w:bottom w:val="single" w:color="000000" w:sz="4" w:space="0"/>
              <w:right w:val="single" w:color="000000" w:sz="4" w:space="0"/>
            </w:tcBorders>
            <w:tcW w:w="3132" w:type="dxa"/>
            <w:vAlign w:val="center"/>
            <w:textDirection w:val="lrTb"/>
            <w:noWrap w:val="false"/>
          </w:tcPr>
          <w:p>
            <w:pPr>
              <w:pStyle w:val="1063"/>
              <w:jc w:val="both"/>
              <w:widowControl w:val="off"/>
              <w:rPr>
                <w:sz w:val="20"/>
                <w:szCs w:val="20"/>
              </w:rPr>
            </w:pPr>
            <w:r>
              <w:rPr>
                <w:rFonts w:ascii="Arial Narrow" w:hAnsi="Arial Narrow" w:cs="Calibri"/>
                <w:sz w:val="20"/>
                <w:szCs w:val="20"/>
              </w:rPr>
              <w:t xml:space="preserve">     тепловых источников</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1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тыс. Гкал</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5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37,307</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1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37,307</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53"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7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0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37,307</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2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9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0,0</w:t>
            </w:r>
            <w:r>
              <w:rPr>
                <w:sz w:val="20"/>
                <w:szCs w:val="20"/>
              </w:rPr>
            </w:r>
            <w:r>
              <w:rPr>
                <w:sz w:val="20"/>
                <w:szCs w:val="20"/>
              </w:rPr>
            </w:r>
          </w:p>
        </w:tc>
      </w:tr>
      <w:tr>
        <w:trPr>
          <w:jc w:val="center"/>
          <w:trHeight w:val="41"/>
        </w:trPr>
        <w:tc>
          <w:tcPr>
            <w:tcBorders>
              <w:top w:val="single" w:color="000000" w:sz="4" w:space="0"/>
              <w:left w:val="single" w:color="000000" w:sz="4" w:space="0"/>
              <w:bottom w:val="single" w:color="000000" w:sz="4" w:space="0"/>
              <w:right w:val="single" w:color="000000" w:sz="4" w:space="0"/>
            </w:tcBorders>
            <w:tcW w:w="3132" w:type="dxa"/>
            <w:vAlign w:val="center"/>
            <w:textDirection w:val="lrTb"/>
            <w:noWrap w:val="false"/>
          </w:tcPr>
          <w:p>
            <w:pPr>
              <w:pStyle w:val="1063"/>
              <w:jc w:val="both"/>
              <w:widowControl w:val="off"/>
              <w:rPr>
                <w:sz w:val="20"/>
                <w:szCs w:val="20"/>
              </w:rPr>
            </w:pPr>
            <w:r>
              <w:rPr>
                <w:rFonts w:ascii="Arial Narrow" w:hAnsi="Arial Narrow" w:cs="Calibri"/>
                <w:sz w:val="20"/>
                <w:szCs w:val="20"/>
              </w:rPr>
              <w:t xml:space="preserve">     тепловых сетей</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1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тыс. Гкал</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5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10,666</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1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11,215</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53"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0,5491</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7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5,1</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0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11,823</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2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0,608</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9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5,4</w:t>
            </w:r>
            <w:r>
              <w:rPr>
                <w:sz w:val="20"/>
                <w:szCs w:val="20"/>
              </w:rPr>
            </w:r>
            <w:r>
              <w:rPr>
                <w:sz w:val="20"/>
                <w:szCs w:val="20"/>
              </w:rPr>
            </w:r>
          </w:p>
        </w:tc>
      </w:tr>
      <w:tr>
        <w:trPr>
          <w:jc w:val="center"/>
          <w:trHeight w:val="41"/>
        </w:trPr>
        <w:tc>
          <w:tcPr>
            <w:tcBorders>
              <w:top w:val="single" w:color="000000" w:sz="4" w:space="0"/>
              <w:left w:val="single" w:color="000000" w:sz="4" w:space="0"/>
              <w:bottom w:val="single" w:color="000000" w:sz="4" w:space="0"/>
              <w:right w:val="single" w:color="000000" w:sz="4" w:space="0"/>
            </w:tcBorders>
            <w:tcW w:w="3132" w:type="dxa"/>
            <w:vAlign w:val="center"/>
            <w:textDirection w:val="lrTb"/>
            <w:noWrap w:val="false"/>
          </w:tcPr>
          <w:p>
            <w:pPr>
              <w:pStyle w:val="1063"/>
              <w:jc w:val="both"/>
              <w:widowControl w:val="off"/>
              <w:rPr>
                <w:sz w:val="20"/>
                <w:szCs w:val="20"/>
              </w:rPr>
            </w:pPr>
            <w:r>
              <w:rPr>
                <w:rFonts w:ascii="Arial Narrow" w:hAnsi="Arial Narrow" w:cs="Calibri"/>
                <w:sz w:val="20"/>
                <w:szCs w:val="20"/>
              </w:rPr>
              <w:t xml:space="preserve">Полезный отпуск тепловой энергии</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1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тыс. Гкал</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5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1 383,746</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1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1 385,086</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53"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1,340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7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0,1</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0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1 390,458</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2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5,372</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9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0,4</w:t>
            </w:r>
            <w:r>
              <w:rPr>
                <w:sz w:val="20"/>
                <w:szCs w:val="20"/>
              </w:rPr>
            </w:r>
            <w:r>
              <w:rPr>
                <w:sz w:val="20"/>
                <w:szCs w:val="20"/>
              </w:rPr>
            </w:r>
          </w:p>
        </w:tc>
      </w:tr>
    </w:tbl>
    <w:p>
      <w:pPr>
        <w:pStyle w:val="1063"/>
        <w:ind w:firstLine="720"/>
        <w:jc w:val="both"/>
        <w:rPr>
          <w:rFonts w:ascii="Arial Narrow" w:hAnsi="Arial Narrow"/>
          <w:color w:val="0f0d29"/>
          <w:sz w:val="10"/>
          <w:szCs w:val="10"/>
        </w:rPr>
      </w:pPr>
      <w:r>
        <w:rPr>
          <w:rFonts w:ascii="Arial Narrow" w:hAnsi="Arial Narrow"/>
          <w:color w:val="0f0d29"/>
          <w:sz w:val="10"/>
          <w:szCs w:val="10"/>
        </w:rPr>
      </w:r>
      <w:r>
        <w:rPr>
          <w:rFonts w:ascii="Arial Narrow" w:hAnsi="Arial Narrow"/>
          <w:color w:val="0f0d29"/>
          <w:sz w:val="10"/>
          <w:szCs w:val="10"/>
        </w:rPr>
      </w:r>
      <w:r>
        <w:rPr>
          <w:rFonts w:ascii="Arial Narrow" w:hAnsi="Arial Narrow"/>
          <w:color w:val="0f0d29"/>
          <w:sz w:val="10"/>
          <w:szCs w:val="10"/>
        </w:rPr>
      </w:r>
    </w:p>
    <w:p>
      <w:pPr>
        <w:pStyle w:val="1063"/>
        <w:ind w:firstLine="567"/>
        <w:jc w:val="both"/>
      </w:pPr>
      <w:r>
        <w:rPr>
          <w:rFonts w:ascii="Arial Narrow" w:hAnsi="Arial Narrow"/>
          <w:color w:val="0f0d29"/>
        </w:rPr>
        <w:t xml:space="preserve">Отпуск тепловой энергии в сеть в 2024 году составил 1 737,549 тыс. Гкал, что ниже факта п</w:t>
      </w:r>
      <w:r>
        <w:rPr>
          <w:rFonts w:ascii="Arial Narrow" w:hAnsi="Arial Narrow"/>
          <w:color w:val="0f0d29"/>
        </w:rPr>
        <w:t xml:space="preserve">редыдущего года на 1,1 %. Снижение обусловлено увеличением температуры наружного воздуха в отопительный период, сокращением объема потребления ГВС, заменой изоляции тепловых сетей ТМ-2,3 и 2-ого контура и расселением части жилых домов, подключенных к ТМ-2.</w:t>
      </w:r>
      <w:r/>
    </w:p>
    <w:p>
      <w:pPr>
        <w:pStyle w:val="1063"/>
        <w:ind w:firstLine="567"/>
        <w:jc w:val="both"/>
      </w:pPr>
      <w:r>
        <w:rPr>
          <w:rFonts w:ascii="Arial Narrow" w:hAnsi="Arial Narrow"/>
          <w:color w:val="0f0d29"/>
        </w:rPr>
        <w:t xml:space="preserve">В 2024 году процент потерь тепловой энергии в сетях снизи</w:t>
      </w:r>
      <w:r>
        <w:rPr>
          <w:rFonts w:ascii="Arial Narrow" w:hAnsi="Arial Narrow"/>
          <w:color w:val="0f0d29"/>
        </w:rPr>
        <w:t xml:space="preserve">лся на 1,2 % относительно 2023 года за счет замены изоляции тепловых сетей и второго контура ТМ-3, увеличения объема отпуска тепловой энергии потребителям в г. Петропавловске-Камчатском и в поселках Елизовского района и сокращения межотопительного периода.</w:t>
      </w:r>
      <w:r/>
    </w:p>
    <w:p>
      <w:pPr>
        <w:pStyle w:val="1063"/>
        <w:ind w:firstLine="567"/>
        <w:jc w:val="both"/>
      </w:pPr>
      <w:r>
        <w:rPr>
          <w:rFonts w:ascii="Arial Narrow" w:hAnsi="Arial Narrow"/>
          <w:color w:val="0f0d29"/>
        </w:rPr>
        <w:t xml:space="preserve">Отпуск тепло</w:t>
      </w:r>
      <w:r>
        <w:rPr>
          <w:rFonts w:ascii="Arial Narrow" w:hAnsi="Arial Narrow"/>
          <w:color w:val="0f0d29"/>
        </w:rPr>
        <w:t xml:space="preserve">вой энергии в сеть в 2023 году составил 1 757,164 тыс. Гкал, что выше факта предыдущего года на 2,4 %. Увеличение обусловлено снижением температуры наружного воздуха в отопительный период, подключением новых потребителей и окончанием отопительного периода </w:t>
      </w:r>
      <w:r>
        <w:rPr>
          <w:rFonts w:ascii="Arial Narrow" w:hAnsi="Arial Narrow"/>
          <w:color w:val="0f0d29"/>
        </w:rPr>
        <w:br/>
        <w:t xml:space="preserve">на 4-6 суток позже, чем в июне 2022 года по участкам филиала «Коммунальная энергетика».</w:t>
      </w:r>
      <w:r/>
    </w:p>
    <w:p>
      <w:pPr>
        <w:pStyle w:val="1063"/>
        <w:ind w:firstLine="567"/>
        <w:jc w:val="both"/>
      </w:pPr>
      <w:r>
        <w:rPr>
          <w:rFonts w:ascii="Arial Narrow" w:hAnsi="Arial Narrow"/>
          <w:color w:val="0f0d29"/>
        </w:rPr>
        <w:t xml:space="preserve">В 2023 году процент потерь тепловой энергии в сетях увеличился на 1,7 % относительно 2022 года за счет увеличения сверхнормативных потерь и увеличения протяженности тепловых сетей при подключении новых потребителей к ТМ-2, 3.</w:t>
      </w:r>
      <w:r/>
    </w:p>
    <w:p>
      <w:pPr>
        <w:pStyle w:val="1063"/>
        <w:ind w:firstLine="567"/>
        <w:jc w:val="both"/>
        <w:rPr>
          <w:rFonts w:ascii="Arial Narrow" w:hAnsi="Arial Narrow"/>
          <w:color w:val="0f0d29"/>
          <w:sz w:val="8"/>
          <w:szCs w:val="8"/>
        </w:rPr>
      </w:pPr>
      <w:r>
        <w:rPr>
          <w:rFonts w:ascii="Arial Narrow" w:hAnsi="Arial Narrow"/>
          <w:color w:val="0f0d29"/>
          <w:sz w:val="8"/>
          <w:szCs w:val="8"/>
        </w:rPr>
      </w:r>
      <w:r>
        <w:rPr>
          <w:rFonts w:ascii="Arial Narrow" w:hAnsi="Arial Narrow"/>
          <w:color w:val="0f0d29"/>
          <w:sz w:val="8"/>
          <w:szCs w:val="8"/>
        </w:rPr>
      </w:r>
      <w:r>
        <w:rPr>
          <w:rFonts w:ascii="Arial Narrow" w:hAnsi="Arial Narrow"/>
          <w:color w:val="0f0d29"/>
          <w:sz w:val="8"/>
          <w:szCs w:val="8"/>
        </w:rPr>
      </w:r>
    </w:p>
    <w:p>
      <w:pPr>
        <w:pStyle w:val="1096"/>
        <w:ind w:left="0" w:right="-5"/>
        <w:jc w:val="both"/>
        <w:spacing w:after="0" w:line="276" w:lineRule="auto"/>
      </w:pPr>
      <w:r>
        <w:rPr>
          <w:rFonts w:ascii="Arial Narrow" w:hAnsi="Arial Narrow" w:cs="Calibri"/>
          <w:b/>
          <w:color w:val="314e87"/>
          <w:sz w:val="24"/>
          <w:szCs w:val="24"/>
        </w:rPr>
        <w:t xml:space="preserve">Передача и распределение электрической энергии</w:t>
      </w:r>
      <w:r/>
    </w:p>
    <w:p>
      <w:pPr>
        <w:pStyle w:val="1096"/>
        <w:ind w:left="0" w:right="-5"/>
        <w:jc w:val="both"/>
        <w:spacing w:after="0" w:line="276" w:lineRule="auto"/>
      </w:pPr>
      <w:r>
        <w:rPr>
          <w:rFonts w:ascii="Arial Narrow" w:hAnsi="Arial Narrow" w:cs="Calibri"/>
          <w:b/>
          <w:color w:val="314e87"/>
          <w:sz w:val="24"/>
          <w:szCs w:val="24"/>
        </w:rPr>
        <w:t xml:space="preserve">Распределение электроэнергии</w:t>
      </w:r>
      <w:r/>
    </w:p>
    <w:p>
      <w:pPr>
        <w:pStyle w:val="1063"/>
        <w:jc w:val="right"/>
        <w:rPr>
          <w:lang w:val="en-US"/>
        </w:rPr>
      </w:pPr>
      <w:r>
        <w:rPr>
          <w:rFonts w:ascii="Arial Narrow" w:hAnsi="Arial Narrow" w:eastAsia="Calibri" w:cs="Calibri"/>
          <w:i/>
          <w:lang w:eastAsia="ja-JP"/>
        </w:rPr>
        <w:t xml:space="preserve">Таблица № </w:t>
      </w:r>
      <w:r>
        <w:rPr>
          <w:rFonts w:ascii="Arial Narrow" w:hAnsi="Arial Narrow" w:eastAsia="Calibri" w:cs="Calibri"/>
          <w:i/>
          <w:lang w:val="en-US" w:eastAsia="ja-JP"/>
        </w:rPr>
        <w:t xml:space="preserve">11</w:t>
      </w:r>
      <w:r>
        <w:rPr>
          <w:lang w:val="en-US"/>
        </w:rPr>
      </w:r>
      <w:r>
        <w:rPr>
          <w:lang w:val="en-US"/>
        </w:rPr>
      </w:r>
    </w:p>
    <w:tbl>
      <w:tblPr>
        <w:tblW w:w="10233" w:type="dxa"/>
        <w:jc w:val="center"/>
        <w:tblLayout w:type="fixed"/>
        <w:tblLook w:val="04A0" w:firstRow="1" w:lastRow="0" w:firstColumn="1" w:lastColumn="0" w:noHBand="0" w:noVBand="1"/>
      </w:tblPr>
      <w:tblGrid>
        <w:gridCol w:w="565"/>
        <w:gridCol w:w="3177"/>
        <w:gridCol w:w="997"/>
        <w:gridCol w:w="1027"/>
        <w:gridCol w:w="992"/>
        <w:gridCol w:w="1153"/>
        <w:gridCol w:w="1081"/>
        <w:gridCol w:w="1241"/>
      </w:tblGrid>
      <w:tr>
        <w:trPr>
          <w:jc w:val="center"/>
          <w:trHeight w:val="520"/>
        </w:trPr>
        <w:tc>
          <w:tcPr>
            <w:tcBorders>
              <w:top w:val="single" w:color="000000" w:sz="4" w:space="0"/>
              <w:left w:val="single" w:color="000000" w:sz="4" w:space="0"/>
              <w:bottom w:val="single" w:color="000000" w:sz="4" w:space="0"/>
              <w:right w:val="single" w:color="000000" w:sz="4" w:space="0"/>
            </w:tcBorders>
            <w:tcW w:w="565" w:type="dxa"/>
            <w:textDirection w:val="lrTb"/>
            <w:noWrap w:val="false"/>
          </w:tcPr>
          <w:p>
            <w:pPr>
              <w:pStyle w:val="1063"/>
              <w:ind w:left="-109" w:right="-106"/>
              <w:jc w:val="center"/>
              <w:widowControl w:val="off"/>
              <w:rPr>
                <w:sz w:val="20"/>
                <w:szCs w:val="20"/>
              </w:rPr>
            </w:pPr>
            <w:r>
              <w:rPr>
                <w:rFonts w:ascii="Arial Narrow" w:hAnsi="Arial Narrow" w:cs="Calibri"/>
                <w:sz w:val="20"/>
                <w:szCs w:val="20"/>
              </w:rPr>
              <w:t xml:space="preserve">№</w:t>
            </w:r>
            <w:r>
              <w:rPr>
                <w:sz w:val="20"/>
                <w:szCs w:val="20"/>
              </w:rPr>
            </w:r>
            <w:r>
              <w:rPr>
                <w:sz w:val="20"/>
                <w:szCs w:val="20"/>
              </w:rPr>
            </w:r>
          </w:p>
          <w:p>
            <w:pPr>
              <w:pStyle w:val="1063"/>
              <w:ind w:left="-109" w:right="-106"/>
              <w:jc w:val="center"/>
              <w:widowControl w:val="off"/>
              <w:rPr>
                <w:sz w:val="20"/>
                <w:szCs w:val="20"/>
              </w:rPr>
            </w:pPr>
            <w:r>
              <w:rPr>
                <w:rFonts w:ascii="Arial Narrow" w:hAnsi="Arial Narrow" w:cs="Calibri"/>
                <w:sz w:val="20"/>
                <w:szCs w:val="20"/>
              </w:rPr>
              <w:t xml:space="preserve">п/п</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17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Наименование показателя</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97" w:type="dxa"/>
            <w:vAlign w:val="bottom"/>
            <w:textDirection w:val="lrTb"/>
            <w:noWrap w:val="false"/>
          </w:tcPr>
          <w:p>
            <w:pPr>
              <w:pStyle w:val="1063"/>
              <w:jc w:val="center"/>
              <w:widowControl w:val="off"/>
              <w:rPr>
                <w:sz w:val="20"/>
                <w:szCs w:val="20"/>
              </w:rPr>
            </w:pPr>
            <w:r>
              <w:rPr>
                <w:rFonts w:ascii="Arial Narrow" w:hAnsi="Arial Narrow" w:cs="Calibri"/>
                <w:sz w:val="20"/>
                <w:szCs w:val="20"/>
              </w:rPr>
              <w:t xml:space="preserve">Ед.</w:t>
            </w:r>
            <w:r>
              <w:rPr>
                <w:sz w:val="20"/>
                <w:szCs w:val="20"/>
              </w:rPr>
            </w:r>
            <w:r>
              <w:rPr>
                <w:sz w:val="20"/>
                <w:szCs w:val="20"/>
              </w:rPr>
            </w:r>
          </w:p>
          <w:p>
            <w:pPr>
              <w:pStyle w:val="1063"/>
              <w:jc w:val="center"/>
              <w:widowControl w:val="off"/>
              <w:rPr>
                <w:sz w:val="20"/>
                <w:szCs w:val="20"/>
              </w:rPr>
            </w:pPr>
            <w:r>
              <w:rPr>
                <w:rFonts w:ascii="Arial Narrow" w:hAnsi="Arial Narrow" w:cs="Calibri"/>
                <w:sz w:val="20"/>
                <w:szCs w:val="20"/>
              </w:rPr>
              <w:t xml:space="preserve">изм.</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2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2022 г.</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9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2023 г.</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53" w:type="dxa"/>
            <w:vAlign w:val="center"/>
            <w:textDirection w:val="lrTb"/>
            <w:noWrap w:val="false"/>
          </w:tcPr>
          <w:p>
            <w:pPr>
              <w:pStyle w:val="1063"/>
              <w:ind w:right="-107" w:hanging="169"/>
              <w:jc w:val="center"/>
              <w:widowControl w:val="off"/>
              <w:rPr>
                <w:sz w:val="20"/>
                <w:szCs w:val="20"/>
              </w:rPr>
            </w:pPr>
            <w:r>
              <w:rPr>
                <w:rFonts w:ascii="Arial Narrow" w:hAnsi="Arial Narrow" w:cs="Calibri"/>
                <w:sz w:val="20"/>
                <w:szCs w:val="20"/>
              </w:rPr>
              <w:t xml:space="preserve">Отклонение,</w:t>
            </w:r>
            <w:r>
              <w:rPr>
                <w:sz w:val="20"/>
                <w:szCs w:val="20"/>
              </w:rPr>
            </w:r>
            <w:r>
              <w:rPr>
                <w:sz w:val="20"/>
                <w:szCs w:val="20"/>
              </w:rPr>
            </w:r>
          </w:p>
          <w:p>
            <w:pPr>
              <w:pStyle w:val="1063"/>
              <w:ind w:left="-110" w:right="-107"/>
              <w:jc w:val="center"/>
              <w:widowControl w:val="off"/>
              <w:rPr>
                <w:sz w:val="20"/>
                <w:szCs w:val="20"/>
              </w:rPr>
            </w:pPr>
            <w:r>
              <w:rPr>
                <w:rFonts w:ascii="Arial Narrow" w:hAnsi="Arial Narrow" w:cs="Calibri"/>
                <w:sz w:val="20"/>
                <w:szCs w:val="20"/>
              </w:rPr>
              <w:t xml:space="preserve">2023 г./2022 г.</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81"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2024 г.</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41" w:type="dxa"/>
            <w:vAlign w:val="center"/>
            <w:textDirection w:val="lrTb"/>
            <w:noWrap w:val="false"/>
          </w:tcPr>
          <w:p>
            <w:pPr>
              <w:pStyle w:val="1063"/>
              <w:ind w:right="-107" w:hanging="169"/>
              <w:jc w:val="center"/>
              <w:widowControl w:val="off"/>
              <w:rPr>
                <w:rFonts w:ascii="Arial Narrow" w:hAnsi="Arial Narrow" w:cs="Calibri"/>
                <w:sz w:val="20"/>
                <w:szCs w:val="20"/>
              </w:rPr>
            </w:pPr>
            <w:r>
              <w:rPr>
                <w:rFonts w:ascii="Arial Narrow" w:hAnsi="Arial Narrow" w:cs="Calibri"/>
                <w:sz w:val="20"/>
                <w:szCs w:val="20"/>
              </w:rPr>
              <w:t xml:space="preserve">Отклонение,</w:t>
            </w:r>
            <w:r>
              <w:rPr>
                <w:rFonts w:ascii="Arial Narrow" w:hAnsi="Arial Narrow" w:cs="Calibri"/>
                <w:sz w:val="20"/>
                <w:szCs w:val="20"/>
              </w:rPr>
            </w:r>
            <w:r>
              <w:rPr>
                <w:rFonts w:ascii="Arial Narrow" w:hAnsi="Arial Narrow" w:cs="Calibri"/>
                <w:sz w:val="20"/>
                <w:szCs w:val="20"/>
              </w:rPr>
            </w:r>
          </w:p>
          <w:p>
            <w:pPr>
              <w:pStyle w:val="1063"/>
              <w:ind w:right="-107" w:hanging="169"/>
              <w:jc w:val="center"/>
              <w:widowControl w:val="off"/>
              <w:rPr>
                <w:sz w:val="20"/>
                <w:szCs w:val="20"/>
              </w:rPr>
            </w:pPr>
            <w:r>
              <w:rPr>
                <w:rFonts w:ascii="Arial Narrow" w:hAnsi="Arial Narrow" w:cs="Calibri"/>
                <w:sz w:val="20"/>
                <w:szCs w:val="20"/>
              </w:rPr>
              <w:t xml:space="preserve">2024 г./2023 г.</w:t>
            </w:r>
            <w:r>
              <w:rPr>
                <w:sz w:val="20"/>
                <w:szCs w:val="20"/>
              </w:rPr>
            </w:r>
            <w:r>
              <w:rPr>
                <w:sz w:val="20"/>
                <w:szCs w:val="20"/>
              </w:rPr>
            </w:r>
          </w:p>
        </w:tc>
      </w:tr>
      <w:tr>
        <w:trPr>
          <w:jc w:val="center"/>
          <w:trHeight w:val="40"/>
        </w:trPr>
        <w:tc>
          <w:tcPr>
            <w:tcBorders>
              <w:top w:val="single" w:color="000000" w:sz="4" w:space="0"/>
              <w:left w:val="single" w:color="000000" w:sz="4" w:space="0"/>
              <w:bottom w:val="single" w:color="000000" w:sz="4" w:space="0"/>
              <w:right w:val="single" w:color="000000" w:sz="4" w:space="0"/>
            </w:tcBorders>
            <w:tcW w:w="565" w:type="dxa"/>
            <w:vAlign w:val="center"/>
            <w:textDirection w:val="lrTb"/>
            <w:noWrap w:val="false"/>
          </w:tcPr>
          <w:p>
            <w:pPr>
              <w:pStyle w:val="1063"/>
              <w:ind w:left="-109" w:right="-106"/>
              <w:jc w:val="center"/>
              <w:widowControl w:val="off"/>
              <w:rPr>
                <w:sz w:val="20"/>
                <w:szCs w:val="20"/>
              </w:rPr>
            </w:pPr>
            <w:r>
              <w:rPr>
                <w:rFonts w:ascii="Arial Narrow" w:hAnsi="Arial Narrow" w:cs="Calibri"/>
                <w:sz w:val="20"/>
                <w:szCs w:val="20"/>
              </w:rPr>
              <w:t xml:space="preserve">1</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177" w:type="dxa"/>
            <w:vAlign w:val="center"/>
            <w:textDirection w:val="lrTb"/>
            <w:noWrap w:val="false"/>
          </w:tcPr>
          <w:p>
            <w:pPr>
              <w:pStyle w:val="1063"/>
              <w:jc w:val="both"/>
              <w:widowControl w:val="off"/>
              <w:rPr>
                <w:sz w:val="20"/>
                <w:szCs w:val="20"/>
              </w:rPr>
            </w:pPr>
            <w:r>
              <w:rPr>
                <w:rFonts w:ascii="Arial Narrow" w:hAnsi="Arial Narrow" w:cs="Calibri"/>
                <w:sz w:val="20"/>
                <w:szCs w:val="20"/>
              </w:rPr>
              <w:t xml:space="preserve">Отпуск электроэнергии в сеть</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97" w:type="dxa"/>
            <w:vAlign w:val="center"/>
            <w:textDirection w:val="lrTb"/>
            <w:noWrap w:val="false"/>
          </w:tcPr>
          <w:p>
            <w:pPr>
              <w:pStyle w:val="1063"/>
              <w:ind w:left="-103" w:right="-109"/>
              <w:jc w:val="center"/>
              <w:widowControl w:val="off"/>
              <w:rPr>
                <w:sz w:val="20"/>
                <w:szCs w:val="20"/>
              </w:rPr>
            </w:pPr>
            <w:r>
              <w:rPr>
                <w:rFonts w:ascii="Arial Narrow" w:hAnsi="Arial Narrow" w:cs="Calibri"/>
                <w:sz w:val="20"/>
                <w:szCs w:val="20"/>
              </w:rPr>
              <w:t xml:space="preserve">млн. кВтч</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2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1 457,413</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9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1 518,187</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53"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60,774</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81"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1 564,328</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41"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46,141</w:t>
            </w:r>
            <w:r>
              <w:rPr>
                <w:sz w:val="20"/>
                <w:szCs w:val="20"/>
              </w:rPr>
            </w:r>
            <w:r>
              <w:rPr>
                <w:sz w:val="20"/>
                <w:szCs w:val="20"/>
              </w:rPr>
            </w:r>
          </w:p>
        </w:tc>
      </w:tr>
      <w:tr>
        <w:trPr>
          <w:jc w:val="center"/>
          <w:trHeight w:val="234"/>
        </w:trPr>
        <w:tc>
          <w:tcPr>
            <w:tcBorders>
              <w:top w:val="single" w:color="000000" w:sz="4" w:space="0"/>
              <w:left w:val="single" w:color="000000" w:sz="4" w:space="0"/>
              <w:bottom w:val="single" w:color="000000" w:sz="4" w:space="0"/>
              <w:right w:val="single" w:color="000000" w:sz="4" w:space="0"/>
            </w:tcBorders>
            <w:tcW w:w="565" w:type="dxa"/>
            <w:vAlign w:val="center"/>
            <w:textDirection w:val="lrTb"/>
            <w:noWrap w:val="false"/>
          </w:tcPr>
          <w:p>
            <w:pPr>
              <w:pStyle w:val="1063"/>
              <w:ind w:left="-109" w:right="-106"/>
              <w:jc w:val="center"/>
              <w:widowControl w:val="off"/>
              <w:rPr>
                <w:sz w:val="20"/>
                <w:szCs w:val="20"/>
              </w:rPr>
            </w:pPr>
            <w:r>
              <w:rPr>
                <w:rFonts w:ascii="Arial Narrow" w:hAnsi="Arial Narrow" w:cs="Calibri"/>
                <w:sz w:val="20"/>
                <w:szCs w:val="20"/>
              </w:rPr>
              <w:t xml:space="preserve">2</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177" w:type="dxa"/>
            <w:vAlign w:val="center"/>
            <w:textDirection w:val="lrTb"/>
            <w:noWrap w:val="false"/>
          </w:tcPr>
          <w:p>
            <w:pPr>
              <w:pStyle w:val="1063"/>
              <w:jc w:val="both"/>
              <w:widowControl w:val="off"/>
              <w:rPr>
                <w:sz w:val="20"/>
                <w:szCs w:val="20"/>
              </w:rPr>
            </w:pPr>
            <w:r>
              <w:rPr>
                <w:rFonts w:ascii="Arial Narrow" w:hAnsi="Arial Narrow" w:cs="Calibri"/>
                <w:sz w:val="20"/>
                <w:szCs w:val="20"/>
              </w:rPr>
              <w:t xml:space="preserve">Потери электроэнергии</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97" w:type="dxa"/>
            <w:vAlign w:val="center"/>
            <w:textDirection w:val="lrTb"/>
            <w:noWrap w:val="false"/>
          </w:tcPr>
          <w:p>
            <w:pPr>
              <w:pStyle w:val="1063"/>
              <w:ind w:left="-103" w:right="-109"/>
              <w:jc w:val="center"/>
              <w:widowControl w:val="off"/>
              <w:rPr>
                <w:sz w:val="20"/>
                <w:szCs w:val="20"/>
              </w:rPr>
            </w:pPr>
            <w:r>
              <w:rPr>
                <w:rFonts w:ascii="Arial Narrow" w:hAnsi="Arial Narrow" w:cs="Calibri"/>
                <w:sz w:val="20"/>
                <w:szCs w:val="20"/>
              </w:rPr>
              <w:t xml:space="preserve">млн. кВтч</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2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177,841</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9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180,713</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53"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2,872</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81"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179,250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41"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-1,463</w:t>
            </w:r>
            <w:r>
              <w:rPr>
                <w:sz w:val="20"/>
                <w:szCs w:val="20"/>
              </w:rPr>
            </w:r>
            <w:r>
              <w:rPr>
                <w:sz w:val="20"/>
                <w:szCs w:val="20"/>
              </w:rPr>
            </w:r>
          </w:p>
        </w:tc>
      </w:tr>
      <w:tr>
        <w:trPr>
          <w:jc w:val="center"/>
          <w:trHeight w:val="53"/>
        </w:trPr>
        <w:tc>
          <w:tcPr>
            <w:tcBorders>
              <w:top w:val="single" w:color="000000" w:sz="4" w:space="0"/>
              <w:left w:val="single" w:color="000000" w:sz="4" w:space="0"/>
              <w:bottom w:val="single" w:color="000000" w:sz="4" w:space="0"/>
              <w:right w:val="single" w:color="000000" w:sz="4" w:space="0"/>
            </w:tcBorders>
            <w:tcW w:w="565" w:type="dxa"/>
            <w:vAlign w:val="center"/>
            <w:textDirection w:val="lrTb"/>
            <w:noWrap w:val="false"/>
          </w:tcPr>
          <w:p>
            <w:pPr>
              <w:pStyle w:val="1063"/>
              <w:ind w:left="-109" w:right="-106"/>
              <w:jc w:val="center"/>
              <w:widowControl w:val="off"/>
              <w:rPr>
                <w:sz w:val="20"/>
                <w:szCs w:val="20"/>
              </w:rPr>
            </w:pPr>
            <w:r>
              <w:rPr>
                <w:rFonts w:ascii="Arial Narrow" w:hAnsi="Arial Narrow" w:cs="Calibri"/>
                <w:sz w:val="20"/>
                <w:szCs w:val="20"/>
              </w:rPr>
              <w:t xml:space="preserve">3</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177" w:type="dxa"/>
            <w:vAlign w:val="center"/>
            <w:textDirection w:val="lrTb"/>
            <w:noWrap w:val="false"/>
          </w:tcPr>
          <w:p>
            <w:pPr>
              <w:pStyle w:val="1063"/>
              <w:jc w:val="both"/>
              <w:widowControl w:val="off"/>
              <w:rPr>
                <w:sz w:val="20"/>
                <w:szCs w:val="20"/>
              </w:rPr>
            </w:pPr>
            <w:r>
              <w:rPr>
                <w:rFonts w:ascii="Arial Narrow" w:hAnsi="Arial Narrow" w:cs="Calibri"/>
                <w:sz w:val="20"/>
                <w:szCs w:val="20"/>
              </w:rPr>
              <w:t xml:space="preserve">нормативные технологические потери</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97" w:type="dxa"/>
            <w:vAlign w:val="center"/>
            <w:textDirection w:val="lrTb"/>
            <w:noWrap w:val="false"/>
          </w:tcPr>
          <w:p>
            <w:pPr>
              <w:pStyle w:val="1063"/>
              <w:ind w:left="-103" w:right="-109"/>
              <w:jc w:val="center"/>
              <w:widowControl w:val="off"/>
              <w:rPr>
                <w:sz w:val="20"/>
                <w:szCs w:val="20"/>
              </w:rPr>
            </w:pPr>
            <w:r>
              <w:rPr>
                <w:rFonts w:ascii="Arial Narrow" w:hAnsi="Arial Narrow" w:cs="Calibri"/>
                <w:sz w:val="20"/>
                <w:szCs w:val="20"/>
              </w:rPr>
              <w:t xml:space="preserve">млн. кВтч</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2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159,588</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9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167,128</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53"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7,540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81"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176,131</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41"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9,003</w:t>
            </w:r>
            <w:r>
              <w:rPr>
                <w:sz w:val="20"/>
                <w:szCs w:val="20"/>
              </w:rPr>
            </w:r>
            <w:r>
              <w:rPr>
                <w:sz w:val="20"/>
                <w:szCs w:val="20"/>
              </w:rPr>
            </w:r>
          </w:p>
        </w:tc>
      </w:tr>
      <w:tr>
        <w:trPr>
          <w:jc w:val="center"/>
          <w:trHeight w:val="139"/>
        </w:trPr>
        <w:tc>
          <w:tcPr>
            <w:tcBorders>
              <w:top w:val="single" w:color="000000" w:sz="4" w:space="0"/>
              <w:left w:val="single" w:color="000000" w:sz="4" w:space="0"/>
              <w:bottom w:val="single" w:color="000000" w:sz="4" w:space="0"/>
              <w:right w:val="single" w:color="000000" w:sz="4" w:space="0"/>
            </w:tcBorders>
            <w:tcW w:w="565" w:type="dxa"/>
            <w:vAlign w:val="center"/>
            <w:textDirection w:val="lrTb"/>
            <w:noWrap w:val="false"/>
          </w:tcPr>
          <w:p>
            <w:pPr>
              <w:pStyle w:val="1063"/>
              <w:ind w:left="-109" w:right="-106"/>
              <w:jc w:val="center"/>
              <w:widowControl w:val="off"/>
              <w:rPr>
                <w:sz w:val="20"/>
                <w:szCs w:val="20"/>
              </w:rPr>
            </w:pPr>
            <w:r>
              <w:rPr>
                <w:rFonts w:ascii="Arial Narrow" w:hAnsi="Arial Narrow" w:cs="Calibri"/>
                <w:sz w:val="20"/>
                <w:szCs w:val="20"/>
              </w:rPr>
              <w:t xml:space="preserve">4</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177" w:type="dxa"/>
            <w:vAlign w:val="center"/>
            <w:textDirection w:val="lrTb"/>
            <w:noWrap w:val="false"/>
          </w:tcPr>
          <w:p>
            <w:pPr>
              <w:pStyle w:val="1063"/>
              <w:jc w:val="both"/>
              <w:widowControl w:val="off"/>
              <w:rPr>
                <w:sz w:val="20"/>
                <w:szCs w:val="20"/>
              </w:rPr>
            </w:pPr>
            <w:r>
              <w:rPr>
                <w:rFonts w:ascii="Arial Narrow" w:hAnsi="Arial Narrow" w:cs="Calibri"/>
                <w:sz w:val="20"/>
                <w:szCs w:val="20"/>
              </w:rPr>
              <w:t xml:space="preserve">сверхнормативные потери</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97" w:type="dxa"/>
            <w:vAlign w:val="center"/>
            <w:textDirection w:val="lrTb"/>
            <w:noWrap w:val="false"/>
          </w:tcPr>
          <w:p>
            <w:pPr>
              <w:pStyle w:val="1063"/>
              <w:ind w:left="-103" w:right="-109"/>
              <w:jc w:val="center"/>
              <w:widowControl w:val="off"/>
              <w:rPr>
                <w:sz w:val="20"/>
                <w:szCs w:val="20"/>
              </w:rPr>
            </w:pPr>
            <w:r>
              <w:rPr>
                <w:rFonts w:ascii="Arial Narrow" w:hAnsi="Arial Narrow" w:cs="Calibri"/>
                <w:sz w:val="20"/>
                <w:szCs w:val="20"/>
              </w:rPr>
              <w:t xml:space="preserve">млн. кВтч</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2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18,253</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9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13,585</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53"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-4,668</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81"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3,119</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41"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-10,466</w:t>
            </w:r>
            <w:r>
              <w:rPr>
                <w:sz w:val="20"/>
                <w:szCs w:val="20"/>
              </w:rPr>
            </w:r>
            <w:r>
              <w:rPr>
                <w:sz w:val="20"/>
                <w:szCs w:val="20"/>
              </w:rPr>
            </w:r>
          </w:p>
        </w:tc>
      </w:tr>
      <w:tr>
        <w:trPr>
          <w:jc w:val="center"/>
          <w:trHeight w:val="40"/>
        </w:trPr>
        <w:tc>
          <w:tcPr>
            <w:tcBorders>
              <w:top w:val="single" w:color="000000" w:sz="4" w:space="0"/>
              <w:left w:val="single" w:color="000000" w:sz="4" w:space="0"/>
              <w:bottom w:val="single" w:color="000000" w:sz="4" w:space="0"/>
              <w:right w:val="single" w:color="000000" w:sz="4" w:space="0"/>
            </w:tcBorders>
            <w:tcW w:w="565" w:type="dxa"/>
            <w:vAlign w:val="center"/>
            <w:textDirection w:val="lrTb"/>
            <w:noWrap w:val="false"/>
          </w:tcPr>
          <w:p>
            <w:pPr>
              <w:pStyle w:val="1063"/>
              <w:ind w:left="-109" w:right="-106"/>
              <w:jc w:val="center"/>
              <w:widowControl w:val="off"/>
              <w:rPr>
                <w:sz w:val="20"/>
                <w:szCs w:val="20"/>
              </w:rPr>
            </w:pPr>
            <w:r>
              <w:rPr>
                <w:rFonts w:ascii="Arial Narrow" w:hAnsi="Arial Narrow" w:cs="Calibri"/>
                <w:sz w:val="20"/>
                <w:szCs w:val="20"/>
              </w:rPr>
              <w:t xml:space="preserve">5</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177" w:type="dxa"/>
            <w:vAlign w:val="center"/>
            <w:textDirection w:val="lrTb"/>
            <w:noWrap w:val="false"/>
          </w:tcPr>
          <w:p>
            <w:pPr>
              <w:pStyle w:val="1063"/>
              <w:jc w:val="both"/>
              <w:widowControl w:val="off"/>
              <w:rPr>
                <w:sz w:val="20"/>
                <w:szCs w:val="20"/>
              </w:rPr>
            </w:pPr>
            <w:r>
              <w:rPr>
                <w:rFonts w:ascii="Arial Narrow" w:hAnsi="Arial Narrow" w:cs="Calibri"/>
                <w:sz w:val="20"/>
                <w:szCs w:val="20"/>
              </w:rPr>
              <w:t xml:space="preserve">Потери электроэнергии, % от отпуска в сеть</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97" w:type="dxa"/>
            <w:vAlign w:val="center"/>
            <w:textDirection w:val="lrTb"/>
            <w:noWrap w:val="false"/>
          </w:tcPr>
          <w:p>
            <w:pPr>
              <w:pStyle w:val="1063"/>
              <w:ind w:left="-103" w:right="-109"/>
              <w:jc w:val="center"/>
              <w:widowControl w:val="off"/>
              <w:rPr>
                <w:sz w:val="20"/>
                <w:szCs w:val="20"/>
              </w:rPr>
            </w:pPr>
            <w:r>
              <w:rPr>
                <w:rFonts w:ascii="Arial Narrow" w:hAnsi="Arial Narrow" w:cs="Calibri"/>
                <w:sz w:val="20"/>
                <w:szCs w:val="20"/>
              </w:rPr>
              <w:t xml:space="preserve">%</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2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12,2</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9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11,9</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53"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-0,3</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81"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11,4</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41"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-0,5</w:t>
            </w:r>
            <w:r>
              <w:rPr>
                <w:sz w:val="20"/>
                <w:szCs w:val="20"/>
              </w:rPr>
            </w:r>
            <w:r>
              <w:rPr>
                <w:sz w:val="20"/>
                <w:szCs w:val="20"/>
              </w:rPr>
            </w:r>
          </w:p>
        </w:tc>
      </w:tr>
    </w:tbl>
    <w:p>
      <w:pPr>
        <w:pStyle w:val="1063"/>
        <w:ind w:firstLine="567"/>
        <w:jc w:val="both"/>
        <w:rPr>
          <w:rFonts w:ascii="Arial Narrow" w:hAnsi="Arial Narrow"/>
          <w:color w:val="0f0d29"/>
        </w:rPr>
      </w:pPr>
      <w:r>
        <w:rPr>
          <w:rFonts w:ascii="Arial Narrow" w:hAnsi="Arial Narrow"/>
          <w:color w:val="0f0d29"/>
        </w:rPr>
      </w:r>
      <w:r>
        <w:rPr>
          <w:rFonts w:ascii="Arial Narrow" w:hAnsi="Arial Narrow"/>
          <w:color w:val="0f0d29"/>
        </w:rPr>
      </w:r>
      <w:r>
        <w:rPr>
          <w:rFonts w:ascii="Arial Narrow" w:hAnsi="Arial Narrow"/>
          <w:color w:val="0f0d29"/>
        </w:rPr>
      </w:r>
    </w:p>
    <w:p>
      <w:pPr>
        <w:pStyle w:val="1063"/>
        <w:ind w:firstLine="567"/>
        <w:jc w:val="both"/>
      </w:pPr>
      <w:r>
        <w:rPr>
          <w:rFonts w:ascii="Arial Narrow" w:hAnsi="Arial Narrow"/>
          <w:color w:val="0f0d29"/>
        </w:rPr>
        <w:t xml:space="preserve">Отпуск электроэнергии в сети в 2024 году составил 1 564,328 млн. кВтч, что выше факта 2023 года </w:t>
      </w:r>
      <w:r>
        <w:rPr>
          <w:rFonts w:ascii="Arial Narrow" w:hAnsi="Arial Narrow"/>
          <w:color w:val="0f0d29"/>
        </w:rPr>
        <w:br/>
        <w:t xml:space="preserve">на 3,8 % за счет увеличения потребления электроэнергии.</w:t>
      </w:r>
      <w:r/>
    </w:p>
    <w:p>
      <w:pPr>
        <w:pStyle w:val="1063"/>
        <w:ind w:firstLine="567"/>
        <w:jc w:val="both"/>
      </w:pPr>
      <w:r>
        <w:rPr>
          <w:rFonts w:ascii="Arial Narrow" w:hAnsi="Arial Narrow"/>
          <w:color w:val="0f0d29"/>
        </w:rPr>
        <w:t xml:space="preserve">Увеличение отпуска электрической энергии в сети в 2023 году относительно 2022 года на 4,2 % связано с увеличением потребления электроэнергии.</w:t>
      </w:r>
      <w:r/>
    </w:p>
    <w:p>
      <w:pPr>
        <w:pStyle w:val="1063"/>
        <w:ind w:firstLine="567"/>
        <w:jc w:val="both"/>
      </w:pPr>
      <w:r>
        <w:rPr>
          <w:rFonts w:ascii="Arial Narrow" w:hAnsi="Arial Narrow"/>
          <w:color w:val="0f0d29"/>
        </w:rPr>
        <w:t xml:space="preserve">Потери электроэнергии в 2024 году составили 11,4 %, что на 0,5 % ниже факта 2023 года. Снижение потерь вызвано уменьшением коммерческих потерь.</w:t>
      </w:r>
      <w:r/>
    </w:p>
    <w:p>
      <w:pPr>
        <w:pStyle w:val="1063"/>
        <w:ind w:firstLine="567"/>
        <w:jc w:val="both"/>
      </w:pPr>
      <w:r>
        <w:rPr>
          <w:rFonts w:ascii="Arial Narrow" w:hAnsi="Arial Narrow"/>
          <w:color w:val="0f0d29"/>
        </w:rPr>
        <w:t xml:space="preserve">Процент потерь электроэнергии в 2023 году относительно 2022 года снизился на 0,3 % за счет уменьшения коммерческих потерь.</w:t>
      </w:r>
      <w:r/>
    </w:p>
    <w:p>
      <w:pPr>
        <w:rPr>
          <w:rFonts w:ascii="Arial Narrow" w:hAnsi="Arial Narrow" w:eastAsia="Calibri" w:cs="Calibri"/>
          <w:b/>
          <w:color w:val="314e87"/>
          <w:sz w:val="24"/>
          <w:szCs w:val="24"/>
          <w:lang w:eastAsia="ja-JP"/>
        </w:rPr>
      </w:pPr>
      <w:r>
        <w:br w:type="page" w:clear="all"/>
      </w:r>
      <w:r>
        <w:rPr>
          <w:rFonts w:ascii="Arial Narrow" w:hAnsi="Arial Narrow" w:eastAsia="Calibri" w:cs="Calibri"/>
          <w:b/>
          <w:color w:val="314e87"/>
          <w:sz w:val="24"/>
          <w:szCs w:val="24"/>
          <w:lang w:eastAsia="ja-JP"/>
        </w:rPr>
      </w:r>
      <w:r>
        <w:rPr>
          <w:rFonts w:ascii="Arial Narrow" w:hAnsi="Arial Narrow" w:eastAsia="Calibri" w:cs="Calibri"/>
          <w:b/>
          <w:color w:val="314e87"/>
          <w:sz w:val="24"/>
          <w:szCs w:val="24"/>
          <w:lang w:eastAsia="ja-JP"/>
        </w:rPr>
      </w:r>
    </w:p>
    <w:p>
      <w:pPr>
        <w:pStyle w:val="1096"/>
        <w:ind w:left="0" w:right="-5"/>
        <w:jc w:val="both"/>
        <w:spacing w:after="0" w:line="276" w:lineRule="auto"/>
      </w:pPr>
      <w:r>
        <w:rPr>
          <w:rFonts w:ascii="Arial Narrow" w:hAnsi="Arial Narrow" w:cs="Calibri"/>
          <w:b/>
          <w:color w:val="314e87"/>
          <w:sz w:val="24"/>
          <w:szCs w:val="24"/>
        </w:rPr>
        <w:t xml:space="preserve">Распределительные сети</w:t>
      </w:r>
      <w:r/>
    </w:p>
    <w:p>
      <w:pPr>
        <w:pStyle w:val="1096"/>
        <w:ind w:left="0" w:right="-5"/>
        <w:jc w:val="both"/>
        <w:spacing w:after="0" w:line="276" w:lineRule="auto"/>
      </w:pPr>
      <w:r>
        <w:rPr>
          <w:rFonts w:ascii="Arial Narrow" w:hAnsi="Arial Narrow" w:cs="Calibri"/>
          <w:b/>
          <w:color w:val="314e87"/>
          <w:sz w:val="24"/>
          <w:szCs w:val="24"/>
        </w:rPr>
        <w:t xml:space="preserve">Количество и установленная мощность трансформаторных подстанций</w:t>
      </w:r>
      <w:r/>
    </w:p>
    <w:p>
      <w:pPr>
        <w:pStyle w:val="1063"/>
        <w:jc w:val="right"/>
        <w:rPr>
          <w:lang w:val="en-US"/>
        </w:rPr>
      </w:pPr>
      <w:r>
        <w:rPr>
          <w:rFonts w:ascii="Arial Narrow" w:hAnsi="Arial Narrow" w:eastAsia="Calibri" w:cs="Calibri"/>
          <w:i/>
          <w:lang w:eastAsia="ja-JP"/>
        </w:rPr>
        <w:t xml:space="preserve">Таблица № </w:t>
      </w:r>
      <w:r>
        <w:rPr>
          <w:rFonts w:ascii="Arial Narrow" w:hAnsi="Arial Narrow" w:eastAsia="Calibri" w:cs="Calibri"/>
          <w:i/>
          <w:lang w:val="en-US" w:eastAsia="ja-JP"/>
        </w:rPr>
        <w:t xml:space="preserve">12</w:t>
      </w:r>
      <w:r>
        <w:rPr>
          <w:lang w:val="en-US"/>
        </w:rPr>
      </w:r>
      <w:r>
        <w:rPr>
          <w:lang w:val="en-US"/>
        </w:rPr>
      </w:r>
    </w:p>
    <w:tbl>
      <w:tblPr>
        <w:tblW w:w="10253" w:type="dxa"/>
        <w:jc w:val="center"/>
        <w:tblLayout w:type="fixed"/>
        <w:tblCellMar>
          <w:left w:w="57" w:type="dxa"/>
          <w:right w:w="57" w:type="dxa"/>
        </w:tblCellMar>
        <w:tblLook w:val="04A0" w:firstRow="1" w:lastRow="0" w:firstColumn="1" w:lastColumn="0" w:noHBand="0" w:noVBand="1"/>
      </w:tblPr>
      <w:tblGrid>
        <w:gridCol w:w="3115"/>
        <w:gridCol w:w="1369"/>
        <w:gridCol w:w="960"/>
        <w:gridCol w:w="865"/>
        <w:gridCol w:w="1489"/>
        <w:gridCol w:w="985"/>
        <w:gridCol w:w="1470"/>
      </w:tblGrid>
      <w:tr>
        <w:trPr>
          <w:jc w:val="center"/>
          <w:trHeight w:val="227"/>
        </w:trPr>
        <w:tc>
          <w:tcPr>
            <w:tcBorders>
              <w:top w:val="single" w:color="000000" w:sz="4" w:space="0"/>
              <w:left w:val="single" w:color="000000" w:sz="4" w:space="0"/>
              <w:bottom w:val="single" w:color="000000" w:sz="4" w:space="0"/>
              <w:right w:val="single" w:color="000000" w:sz="4" w:space="0"/>
            </w:tcBorders>
            <w:tcW w:w="3114"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Подстанции</w:t>
            </w:r>
            <w:r>
              <w:rPr>
                <w:sz w:val="20"/>
                <w:szCs w:val="20"/>
              </w:rPr>
            </w:r>
            <w:r>
              <w:rPr>
                <w:sz w:val="20"/>
                <w:szCs w:val="20"/>
              </w:rPr>
            </w:r>
          </w:p>
        </w:tc>
        <w:tc>
          <w:tcPr>
            <w:tcBorders>
              <w:top w:val="single" w:color="000000" w:sz="4" w:space="0"/>
              <w:bottom w:val="single" w:color="000000" w:sz="4" w:space="0"/>
              <w:right w:val="single" w:color="000000" w:sz="4" w:space="0"/>
            </w:tcBorders>
            <w:tcW w:w="136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Единица измерения</w:t>
            </w:r>
            <w:r>
              <w:rPr>
                <w:sz w:val="20"/>
                <w:szCs w:val="20"/>
              </w:rPr>
            </w:r>
            <w:r>
              <w:rPr>
                <w:sz w:val="20"/>
                <w:szCs w:val="20"/>
              </w:rPr>
            </w:r>
          </w:p>
        </w:tc>
        <w:tc>
          <w:tcPr>
            <w:tcBorders>
              <w:top w:val="single" w:color="000000" w:sz="4" w:space="0"/>
              <w:bottom w:val="single" w:color="000000" w:sz="4" w:space="0"/>
              <w:right w:val="single" w:color="000000" w:sz="4" w:space="0"/>
            </w:tcBorders>
            <w:tcW w:w="96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2022 г.</w:t>
            </w:r>
            <w:r>
              <w:rPr>
                <w:sz w:val="20"/>
                <w:szCs w:val="20"/>
              </w:rPr>
            </w:r>
            <w:r>
              <w:rPr>
                <w:sz w:val="20"/>
                <w:szCs w:val="20"/>
              </w:rPr>
            </w:r>
          </w:p>
        </w:tc>
        <w:tc>
          <w:tcPr>
            <w:tcBorders>
              <w:top w:val="single" w:color="000000" w:sz="4" w:space="0"/>
              <w:bottom w:val="single" w:color="000000" w:sz="4" w:space="0"/>
              <w:right w:val="single" w:color="000000" w:sz="4" w:space="0"/>
            </w:tcBorders>
            <w:tcW w:w="86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2023 г.</w:t>
            </w:r>
            <w:r>
              <w:rPr>
                <w:sz w:val="20"/>
                <w:szCs w:val="20"/>
              </w:rPr>
            </w:r>
            <w:r>
              <w:rPr>
                <w:sz w:val="20"/>
                <w:szCs w:val="20"/>
              </w:rPr>
            </w:r>
          </w:p>
        </w:tc>
        <w:tc>
          <w:tcPr>
            <w:tcBorders>
              <w:top w:val="single" w:color="000000" w:sz="4" w:space="0"/>
              <w:bottom w:val="single" w:color="000000" w:sz="4" w:space="0"/>
              <w:right w:val="single" w:color="000000" w:sz="4" w:space="0"/>
            </w:tcBorders>
            <w:tcW w:w="1489"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t xml:space="preserve">Отклонение</w:t>
            </w:r>
            <w:r>
              <w:rPr>
                <w:rFonts w:ascii="Arial Narrow" w:hAnsi="Arial Narrow" w:cs="Calibri"/>
                <w:sz w:val="20"/>
                <w:szCs w:val="20"/>
              </w:rPr>
            </w:r>
            <w:r>
              <w:rPr>
                <w:rFonts w:ascii="Arial Narrow" w:hAnsi="Arial Narrow" w:cs="Calibri"/>
                <w:sz w:val="20"/>
                <w:szCs w:val="20"/>
              </w:rPr>
            </w:r>
          </w:p>
          <w:p>
            <w:pPr>
              <w:pStyle w:val="1063"/>
              <w:jc w:val="center"/>
              <w:widowControl w:val="off"/>
              <w:rPr>
                <w:sz w:val="20"/>
                <w:szCs w:val="20"/>
              </w:rPr>
            </w:pPr>
            <w:r>
              <w:rPr>
                <w:rFonts w:ascii="Arial Narrow" w:hAnsi="Arial Narrow" w:cs="Calibri"/>
                <w:sz w:val="20"/>
                <w:szCs w:val="20"/>
              </w:rPr>
              <w:t xml:space="preserve">2023 г./2022 г.</w:t>
            </w:r>
            <w:r>
              <w:rPr>
                <w:sz w:val="20"/>
                <w:szCs w:val="20"/>
              </w:rPr>
            </w:r>
            <w:r>
              <w:rPr>
                <w:sz w:val="20"/>
                <w:szCs w:val="20"/>
              </w:rPr>
            </w:r>
          </w:p>
        </w:tc>
        <w:tc>
          <w:tcPr>
            <w:tcBorders>
              <w:top w:val="single" w:color="000000" w:sz="4" w:space="0"/>
              <w:bottom w:val="single" w:color="000000" w:sz="4" w:space="0"/>
              <w:right w:val="single" w:color="000000" w:sz="4" w:space="0"/>
            </w:tcBorders>
            <w:tcW w:w="98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2024 г.</w:t>
            </w:r>
            <w:r>
              <w:rPr>
                <w:sz w:val="20"/>
                <w:szCs w:val="20"/>
              </w:rPr>
            </w:r>
            <w:r>
              <w:rPr>
                <w:sz w:val="20"/>
                <w:szCs w:val="20"/>
              </w:rPr>
            </w:r>
          </w:p>
        </w:tc>
        <w:tc>
          <w:tcPr>
            <w:tcBorders>
              <w:top w:val="single" w:color="000000" w:sz="4" w:space="0"/>
              <w:bottom w:val="single" w:color="000000" w:sz="4" w:space="0"/>
              <w:right w:val="single" w:color="000000" w:sz="4" w:space="0"/>
            </w:tcBorders>
            <w:tcW w:w="147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Отклонение</w:t>
            </w:r>
            <w:r>
              <w:rPr>
                <w:sz w:val="20"/>
                <w:szCs w:val="20"/>
              </w:rPr>
            </w:r>
            <w:r>
              <w:rPr>
                <w:sz w:val="20"/>
                <w:szCs w:val="20"/>
              </w:rPr>
            </w:r>
          </w:p>
          <w:p>
            <w:pPr>
              <w:pStyle w:val="1063"/>
              <w:jc w:val="center"/>
              <w:widowControl w:val="off"/>
              <w:rPr>
                <w:sz w:val="20"/>
                <w:szCs w:val="20"/>
              </w:rPr>
            </w:pPr>
            <w:r>
              <w:rPr>
                <w:rFonts w:ascii="Arial Narrow" w:hAnsi="Arial Narrow" w:cs="Calibri"/>
                <w:sz w:val="20"/>
                <w:szCs w:val="20"/>
              </w:rPr>
              <w:t xml:space="preserve">2024 г./2023 г.</w:t>
            </w:r>
            <w:r>
              <w:rPr>
                <w:sz w:val="20"/>
                <w:szCs w:val="20"/>
              </w:rPr>
            </w:r>
            <w:r>
              <w:rPr>
                <w:sz w:val="20"/>
                <w:szCs w:val="20"/>
              </w:rPr>
            </w:r>
          </w:p>
        </w:tc>
      </w:tr>
      <w:tr>
        <w:trPr>
          <w:jc w:val="center"/>
          <w:trHeight w:val="53"/>
        </w:trPr>
        <w:tc>
          <w:tcPr>
            <w:tcBorders>
              <w:top w:val="single" w:color="000000" w:sz="4" w:space="0"/>
              <w:left w:val="single" w:color="000000" w:sz="4" w:space="0"/>
              <w:right w:val="single" w:color="000000" w:sz="4" w:space="0"/>
            </w:tcBorders>
            <w:tcW w:w="3114" w:type="dxa"/>
            <w:vAlign w:val="center"/>
            <w:vMerge w:val="restart"/>
            <w:textDirection w:val="lrTb"/>
            <w:noWrap w:val="false"/>
          </w:tcPr>
          <w:p>
            <w:pPr>
              <w:pStyle w:val="1063"/>
              <w:jc w:val="both"/>
              <w:widowControl w:val="off"/>
              <w:rPr>
                <w:sz w:val="20"/>
                <w:szCs w:val="20"/>
              </w:rPr>
            </w:pPr>
            <w:r>
              <w:rPr>
                <w:rFonts w:ascii="Arial Narrow" w:hAnsi="Arial Narrow" w:cs="Calibri"/>
                <w:bCs/>
                <w:sz w:val="20"/>
                <w:szCs w:val="20"/>
              </w:rPr>
              <w:t xml:space="preserve">ПС, в том числе</w:t>
            </w:r>
            <w:r>
              <w:rPr>
                <w:sz w:val="20"/>
                <w:szCs w:val="20"/>
              </w:rPr>
            </w:r>
            <w:r>
              <w:rPr>
                <w:sz w:val="20"/>
                <w:szCs w:val="20"/>
              </w:rPr>
            </w:r>
          </w:p>
        </w:tc>
        <w:tc>
          <w:tcPr>
            <w:tcBorders>
              <w:top w:val="single" w:color="000000" w:sz="4" w:space="0"/>
              <w:bottom w:val="single" w:color="000000" w:sz="4" w:space="0"/>
              <w:right w:val="single" w:color="000000" w:sz="4" w:space="0"/>
            </w:tcBorders>
            <w:tcW w:w="136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шт.</w:t>
            </w:r>
            <w:r>
              <w:rPr>
                <w:sz w:val="20"/>
                <w:szCs w:val="20"/>
              </w:rPr>
            </w:r>
            <w:r>
              <w:rPr>
                <w:sz w:val="20"/>
                <w:szCs w:val="20"/>
              </w:rPr>
            </w:r>
          </w:p>
        </w:tc>
        <w:tc>
          <w:tcPr>
            <w:tcBorders>
              <w:bottom w:val="single" w:color="000000" w:sz="4" w:space="0"/>
              <w:right w:val="single" w:color="000000" w:sz="4" w:space="0"/>
            </w:tcBorders>
            <w:tcW w:w="96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947</w:t>
            </w:r>
            <w:r>
              <w:rPr>
                <w:sz w:val="20"/>
                <w:szCs w:val="20"/>
              </w:rPr>
            </w:r>
            <w:r>
              <w:rPr>
                <w:sz w:val="20"/>
                <w:szCs w:val="20"/>
              </w:rPr>
            </w:r>
          </w:p>
        </w:tc>
        <w:tc>
          <w:tcPr>
            <w:tcBorders>
              <w:bottom w:val="single" w:color="000000" w:sz="4" w:space="0"/>
              <w:right w:val="single" w:color="000000" w:sz="4" w:space="0"/>
            </w:tcBorders>
            <w:tcW w:w="86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984</w:t>
            </w:r>
            <w:r>
              <w:rPr>
                <w:sz w:val="20"/>
                <w:szCs w:val="20"/>
              </w:rPr>
            </w:r>
            <w:r>
              <w:rPr>
                <w:sz w:val="20"/>
                <w:szCs w:val="20"/>
              </w:rPr>
            </w:r>
          </w:p>
        </w:tc>
        <w:tc>
          <w:tcPr>
            <w:tcBorders>
              <w:bottom w:val="single" w:color="000000" w:sz="4" w:space="0"/>
              <w:right w:val="single" w:color="000000" w:sz="4" w:space="0"/>
            </w:tcBorders>
            <w:tcW w:w="148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37</w:t>
            </w:r>
            <w:r>
              <w:rPr>
                <w:sz w:val="20"/>
                <w:szCs w:val="20"/>
              </w:rPr>
            </w:r>
            <w:r>
              <w:rPr>
                <w:sz w:val="20"/>
                <w:szCs w:val="20"/>
              </w:rPr>
            </w:r>
          </w:p>
        </w:tc>
        <w:tc>
          <w:tcPr>
            <w:tcBorders>
              <w:bottom w:val="single" w:color="000000" w:sz="4" w:space="0"/>
              <w:right w:val="single" w:color="000000" w:sz="4" w:space="0"/>
            </w:tcBorders>
            <w:tcW w:w="98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1049</w:t>
            </w:r>
            <w:r>
              <w:rPr>
                <w:sz w:val="20"/>
                <w:szCs w:val="20"/>
              </w:rPr>
            </w:r>
            <w:r>
              <w:rPr>
                <w:sz w:val="20"/>
                <w:szCs w:val="20"/>
              </w:rPr>
            </w:r>
          </w:p>
        </w:tc>
        <w:tc>
          <w:tcPr>
            <w:tcBorders>
              <w:bottom w:val="single" w:color="000000" w:sz="4" w:space="0"/>
              <w:right w:val="single" w:color="000000" w:sz="4" w:space="0"/>
            </w:tcBorders>
            <w:tcW w:w="147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65</w:t>
            </w:r>
            <w:r>
              <w:rPr>
                <w:sz w:val="20"/>
                <w:szCs w:val="20"/>
              </w:rPr>
            </w:r>
            <w:r>
              <w:rPr>
                <w:sz w:val="20"/>
                <w:szCs w:val="20"/>
              </w:rPr>
            </w:r>
          </w:p>
        </w:tc>
      </w:tr>
      <w:tr>
        <w:trPr>
          <w:jc w:val="center"/>
          <w:trHeight w:val="50"/>
        </w:trPr>
        <w:tc>
          <w:tcPr>
            <w:tcBorders>
              <w:top w:val="single" w:color="000000" w:sz="4" w:space="0"/>
              <w:left w:val="single" w:color="000000" w:sz="4" w:space="0"/>
              <w:right w:val="single" w:color="000000" w:sz="4" w:space="0"/>
            </w:tcBorders>
            <w:tcW w:w="3114"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tcBorders>
              <w:bottom w:val="single" w:color="000000" w:sz="4" w:space="0"/>
              <w:right w:val="single" w:color="000000" w:sz="4" w:space="0"/>
            </w:tcBorders>
            <w:tcW w:w="136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МВА</w:t>
            </w:r>
            <w:r>
              <w:rPr>
                <w:sz w:val="20"/>
                <w:szCs w:val="20"/>
              </w:rPr>
            </w:r>
            <w:r>
              <w:rPr>
                <w:sz w:val="20"/>
                <w:szCs w:val="20"/>
              </w:rPr>
            </w:r>
          </w:p>
        </w:tc>
        <w:tc>
          <w:tcPr>
            <w:tcBorders>
              <w:bottom w:val="single" w:color="000000" w:sz="4" w:space="0"/>
              <w:right w:val="single" w:color="000000" w:sz="4" w:space="0"/>
            </w:tcBorders>
            <w:tcW w:w="96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1 784,46</w:t>
            </w:r>
            <w:r>
              <w:rPr>
                <w:sz w:val="20"/>
                <w:szCs w:val="20"/>
              </w:rPr>
            </w:r>
            <w:r>
              <w:rPr>
                <w:sz w:val="20"/>
                <w:szCs w:val="20"/>
              </w:rPr>
            </w:r>
          </w:p>
        </w:tc>
        <w:tc>
          <w:tcPr>
            <w:tcBorders>
              <w:bottom w:val="single" w:color="000000" w:sz="4" w:space="0"/>
              <w:right w:val="single" w:color="000000" w:sz="4" w:space="0"/>
            </w:tcBorders>
            <w:tcW w:w="86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1856,58</w:t>
            </w:r>
            <w:r>
              <w:rPr>
                <w:sz w:val="20"/>
                <w:szCs w:val="20"/>
              </w:rPr>
            </w:r>
            <w:r>
              <w:rPr>
                <w:sz w:val="20"/>
                <w:szCs w:val="20"/>
              </w:rPr>
            </w:r>
          </w:p>
        </w:tc>
        <w:tc>
          <w:tcPr>
            <w:tcBorders>
              <w:bottom w:val="single" w:color="000000" w:sz="4" w:space="0"/>
              <w:right w:val="single" w:color="000000" w:sz="4" w:space="0"/>
            </w:tcBorders>
            <w:tcW w:w="148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72,12</w:t>
            </w:r>
            <w:r>
              <w:rPr>
                <w:sz w:val="20"/>
                <w:szCs w:val="20"/>
              </w:rPr>
            </w:r>
            <w:r>
              <w:rPr>
                <w:sz w:val="20"/>
                <w:szCs w:val="20"/>
              </w:rPr>
            </w:r>
          </w:p>
        </w:tc>
        <w:tc>
          <w:tcPr>
            <w:tcBorders>
              <w:bottom w:val="single" w:color="000000" w:sz="4" w:space="0"/>
              <w:right w:val="single" w:color="000000" w:sz="4" w:space="0"/>
            </w:tcBorders>
            <w:tcW w:w="98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1 887,25</w:t>
            </w:r>
            <w:r>
              <w:rPr>
                <w:sz w:val="20"/>
                <w:szCs w:val="20"/>
              </w:rPr>
            </w:r>
            <w:r>
              <w:rPr>
                <w:sz w:val="20"/>
                <w:szCs w:val="20"/>
              </w:rPr>
            </w:r>
          </w:p>
        </w:tc>
        <w:tc>
          <w:tcPr>
            <w:tcBorders>
              <w:bottom w:val="single" w:color="000000" w:sz="4" w:space="0"/>
              <w:right w:val="single" w:color="000000" w:sz="4" w:space="0"/>
            </w:tcBorders>
            <w:tcW w:w="147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30,67</w:t>
            </w:r>
            <w:r>
              <w:rPr>
                <w:sz w:val="20"/>
                <w:szCs w:val="20"/>
              </w:rPr>
            </w:r>
            <w:r>
              <w:rPr>
                <w:sz w:val="20"/>
                <w:szCs w:val="20"/>
              </w:rPr>
            </w:r>
          </w:p>
        </w:tc>
      </w:tr>
      <w:tr>
        <w:trPr>
          <w:jc w:val="center"/>
          <w:trHeight w:val="53"/>
        </w:trPr>
        <w:tc>
          <w:tcPr>
            <w:tcBorders>
              <w:top w:val="single" w:color="000000" w:sz="4" w:space="0"/>
              <w:left w:val="single" w:color="000000" w:sz="4" w:space="0"/>
              <w:bottom w:val="single" w:color="000000" w:sz="4" w:space="0"/>
              <w:right w:val="single" w:color="000000" w:sz="4" w:space="0"/>
            </w:tcBorders>
            <w:tcW w:w="3114" w:type="dxa"/>
            <w:vAlign w:val="center"/>
            <w:vMerge w:val="restart"/>
            <w:textDirection w:val="lrTb"/>
            <w:noWrap w:val="false"/>
          </w:tcPr>
          <w:p>
            <w:pPr>
              <w:pStyle w:val="1063"/>
              <w:jc w:val="both"/>
              <w:widowControl w:val="off"/>
              <w:rPr>
                <w:sz w:val="20"/>
                <w:szCs w:val="20"/>
              </w:rPr>
            </w:pPr>
            <w:r>
              <w:rPr>
                <w:rFonts w:ascii="Arial Narrow" w:hAnsi="Arial Narrow" w:cs="Calibri"/>
                <w:sz w:val="20"/>
                <w:szCs w:val="20"/>
              </w:rPr>
              <w:t xml:space="preserve">220 кВ</w:t>
            </w:r>
            <w:r>
              <w:rPr>
                <w:sz w:val="20"/>
                <w:szCs w:val="20"/>
              </w:rPr>
            </w:r>
            <w:r>
              <w:rPr>
                <w:sz w:val="20"/>
                <w:szCs w:val="20"/>
              </w:rPr>
            </w:r>
          </w:p>
        </w:tc>
        <w:tc>
          <w:tcPr>
            <w:tcBorders>
              <w:bottom w:val="single" w:color="000000" w:sz="4" w:space="0"/>
              <w:right w:val="single" w:color="000000" w:sz="4" w:space="0"/>
            </w:tcBorders>
            <w:tcW w:w="136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шт.</w:t>
            </w:r>
            <w:r>
              <w:rPr>
                <w:sz w:val="20"/>
                <w:szCs w:val="20"/>
              </w:rPr>
            </w:r>
            <w:r>
              <w:rPr>
                <w:sz w:val="20"/>
                <w:szCs w:val="20"/>
              </w:rPr>
            </w:r>
          </w:p>
        </w:tc>
        <w:tc>
          <w:tcPr>
            <w:tcBorders>
              <w:bottom w:val="single" w:color="000000" w:sz="4" w:space="0"/>
              <w:right w:val="single" w:color="000000" w:sz="4" w:space="0"/>
            </w:tcBorders>
            <w:tcW w:w="96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w:t>
            </w:r>
            <w:r>
              <w:rPr>
                <w:sz w:val="20"/>
                <w:szCs w:val="20"/>
              </w:rPr>
            </w:r>
            <w:r>
              <w:rPr>
                <w:sz w:val="20"/>
                <w:szCs w:val="20"/>
              </w:rPr>
            </w:r>
          </w:p>
        </w:tc>
        <w:tc>
          <w:tcPr>
            <w:tcBorders>
              <w:bottom w:val="single" w:color="000000" w:sz="4" w:space="0"/>
              <w:right w:val="single" w:color="000000" w:sz="4" w:space="0"/>
            </w:tcBorders>
            <w:tcW w:w="86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w:t>
            </w:r>
            <w:r>
              <w:rPr>
                <w:sz w:val="20"/>
                <w:szCs w:val="20"/>
              </w:rPr>
            </w:r>
            <w:r>
              <w:rPr>
                <w:sz w:val="20"/>
                <w:szCs w:val="20"/>
              </w:rPr>
            </w:r>
          </w:p>
        </w:tc>
        <w:tc>
          <w:tcPr>
            <w:tcBorders>
              <w:bottom w:val="single" w:color="000000" w:sz="4" w:space="0"/>
              <w:right w:val="single" w:color="000000" w:sz="4" w:space="0"/>
            </w:tcBorders>
            <w:tcW w:w="148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w:t>
            </w:r>
            <w:r>
              <w:rPr>
                <w:sz w:val="20"/>
                <w:szCs w:val="20"/>
              </w:rPr>
            </w:r>
            <w:r>
              <w:rPr>
                <w:sz w:val="20"/>
                <w:szCs w:val="20"/>
              </w:rPr>
            </w:r>
          </w:p>
        </w:tc>
        <w:tc>
          <w:tcPr>
            <w:tcBorders>
              <w:bottom w:val="single" w:color="000000" w:sz="4" w:space="0"/>
              <w:right w:val="single" w:color="000000" w:sz="4" w:space="0"/>
            </w:tcBorders>
            <w:tcW w:w="98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w:t>
            </w:r>
            <w:r>
              <w:rPr>
                <w:sz w:val="20"/>
                <w:szCs w:val="20"/>
              </w:rPr>
            </w:r>
            <w:r>
              <w:rPr>
                <w:sz w:val="20"/>
                <w:szCs w:val="20"/>
              </w:rPr>
            </w:r>
          </w:p>
        </w:tc>
        <w:tc>
          <w:tcPr>
            <w:tcBorders>
              <w:bottom w:val="single" w:color="000000" w:sz="4" w:space="0"/>
              <w:right w:val="single" w:color="000000" w:sz="4" w:space="0"/>
            </w:tcBorders>
            <w:tcW w:w="147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w:t>
            </w:r>
            <w:r>
              <w:rPr>
                <w:sz w:val="20"/>
                <w:szCs w:val="20"/>
              </w:rPr>
            </w:r>
            <w:r>
              <w:rPr>
                <w:sz w:val="20"/>
                <w:szCs w:val="20"/>
              </w:rPr>
            </w:r>
          </w:p>
        </w:tc>
      </w:tr>
      <w:tr>
        <w:trPr>
          <w:jc w:val="center"/>
          <w:trHeight w:val="53"/>
        </w:trPr>
        <w:tc>
          <w:tcPr>
            <w:tcBorders>
              <w:top w:val="single" w:color="000000" w:sz="4" w:space="0"/>
              <w:left w:val="single" w:color="000000" w:sz="4" w:space="0"/>
              <w:bottom w:val="single" w:color="000000" w:sz="4" w:space="0"/>
              <w:right w:val="single" w:color="000000" w:sz="4" w:space="0"/>
            </w:tcBorders>
            <w:tcW w:w="3114"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tcBorders>
              <w:bottom w:val="single" w:color="000000" w:sz="4" w:space="0"/>
              <w:right w:val="single" w:color="000000" w:sz="4" w:space="0"/>
            </w:tcBorders>
            <w:tcW w:w="136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МВА</w:t>
            </w:r>
            <w:r>
              <w:rPr>
                <w:sz w:val="20"/>
                <w:szCs w:val="20"/>
              </w:rPr>
            </w:r>
            <w:r>
              <w:rPr>
                <w:sz w:val="20"/>
                <w:szCs w:val="20"/>
              </w:rPr>
            </w:r>
          </w:p>
        </w:tc>
        <w:tc>
          <w:tcPr>
            <w:tcBorders>
              <w:bottom w:val="single" w:color="000000" w:sz="4" w:space="0"/>
              <w:right w:val="single" w:color="000000" w:sz="4" w:space="0"/>
            </w:tcBorders>
            <w:tcW w:w="96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63</w:t>
            </w:r>
            <w:r>
              <w:rPr>
                <w:sz w:val="20"/>
                <w:szCs w:val="20"/>
              </w:rPr>
            </w:r>
            <w:r>
              <w:rPr>
                <w:sz w:val="20"/>
                <w:szCs w:val="20"/>
              </w:rPr>
            </w:r>
          </w:p>
        </w:tc>
        <w:tc>
          <w:tcPr>
            <w:tcBorders>
              <w:bottom w:val="single" w:color="000000" w:sz="4" w:space="0"/>
              <w:right w:val="single" w:color="000000" w:sz="4" w:space="0"/>
            </w:tcBorders>
            <w:tcW w:w="86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63</w:t>
            </w:r>
            <w:r>
              <w:rPr>
                <w:sz w:val="20"/>
                <w:szCs w:val="20"/>
              </w:rPr>
            </w:r>
            <w:r>
              <w:rPr>
                <w:sz w:val="20"/>
                <w:szCs w:val="20"/>
              </w:rPr>
            </w:r>
          </w:p>
        </w:tc>
        <w:tc>
          <w:tcPr>
            <w:tcBorders>
              <w:bottom w:val="single" w:color="000000" w:sz="4" w:space="0"/>
              <w:right w:val="single" w:color="000000" w:sz="4" w:space="0"/>
            </w:tcBorders>
            <w:tcW w:w="148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w:t>
            </w:r>
            <w:r>
              <w:rPr>
                <w:sz w:val="20"/>
                <w:szCs w:val="20"/>
              </w:rPr>
            </w:r>
            <w:r>
              <w:rPr>
                <w:sz w:val="20"/>
                <w:szCs w:val="20"/>
              </w:rPr>
            </w:r>
          </w:p>
        </w:tc>
        <w:tc>
          <w:tcPr>
            <w:tcBorders>
              <w:bottom w:val="single" w:color="000000" w:sz="4" w:space="0"/>
              <w:right w:val="single" w:color="000000" w:sz="4" w:space="0"/>
            </w:tcBorders>
            <w:tcW w:w="98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63</w:t>
            </w:r>
            <w:r>
              <w:rPr>
                <w:sz w:val="20"/>
                <w:szCs w:val="20"/>
              </w:rPr>
            </w:r>
            <w:r>
              <w:rPr>
                <w:sz w:val="20"/>
                <w:szCs w:val="20"/>
              </w:rPr>
            </w:r>
          </w:p>
        </w:tc>
        <w:tc>
          <w:tcPr>
            <w:tcBorders>
              <w:bottom w:val="single" w:color="000000" w:sz="4" w:space="0"/>
              <w:right w:val="single" w:color="000000" w:sz="4" w:space="0"/>
            </w:tcBorders>
            <w:tcW w:w="147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w:t>
            </w:r>
            <w:r>
              <w:rPr>
                <w:sz w:val="20"/>
                <w:szCs w:val="20"/>
              </w:rPr>
            </w:r>
            <w:r>
              <w:rPr>
                <w:sz w:val="20"/>
                <w:szCs w:val="20"/>
              </w:rPr>
            </w:r>
          </w:p>
        </w:tc>
      </w:tr>
      <w:tr>
        <w:trPr>
          <w:jc w:val="center"/>
          <w:trHeight w:val="53"/>
        </w:trPr>
        <w:tc>
          <w:tcPr>
            <w:tcBorders>
              <w:left w:val="single" w:color="000000" w:sz="4" w:space="0"/>
              <w:bottom w:val="single" w:color="000000" w:sz="4" w:space="0"/>
              <w:right w:val="single" w:color="000000" w:sz="4" w:space="0"/>
            </w:tcBorders>
            <w:tcW w:w="3114" w:type="dxa"/>
            <w:vAlign w:val="center"/>
            <w:vMerge w:val="restart"/>
            <w:textDirection w:val="lrTb"/>
            <w:noWrap w:val="false"/>
          </w:tcPr>
          <w:p>
            <w:pPr>
              <w:pStyle w:val="1063"/>
              <w:jc w:val="both"/>
              <w:widowControl w:val="off"/>
              <w:rPr>
                <w:sz w:val="20"/>
                <w:szCs w:val="20"/>
              </w:rPr>
            </w:pPr>
            <w:r>
              <w:rPr>
                <w:rFonts w:ascii="Arial Narrow" w:hAnsi="Arial Narrow" w:cs="Calibri"/>
                <w:sz w:val="20"/>
                <w:szCs w:val="20"/>
              </w:rPr>
              <w:t xml:space="preserve">110 кВ</w:t>
            </w:r>
            <w:r>
              <w:rPr>
                <w:sz w:val="20"/>
                <w:szCs w:val="20"/>
              </w:rPr>
            </w:r>
            <w:r>
              <w:rPr>
                <w:sz w:val="20"/>
                <w:szCs w:val="20"/>
              </w:rPr>
            </w:r>
          </w:p>
        </w:tc>
        <w:tc>
          <w:tcPr>
            <w:tcBorders>
              <w:bottom w:val="single" w:color="000000" w:sz="4" w:space="0"/>
              <w:right w:val="single" w:color="000000" w:sz="4" w:space="0"/>
            </w:tcBorders>
            <w:tcW w:w="136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шт.</w:t>
            </w:r>
            <w:r>
              <w:rPr>
                <w:sz w:val="20"/>
                <w:szCs w:val="20"/>
              </w:rPr>
            </w:r>
            <w:r>
              <w:rPr>
                <w:sz w:val="20"/>
                <w:szCs w:val="20"/>
              </w:rPr>
            </w:r>
          </w:p>
        </w:tc>
        <w:tc>
          <w:tcPr>
            <w:tcBorders>
              <w:bottom w:val="single" w:color="000000" w:sz="4" w:space="0"/>
              <w:right w:val="single" w:color="000000" w:sz="4" w:space="0"/>
            </w:tcBorders>
            <w:tcW w:w="96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22</w:t>
            </w:r>
            <w:r>
              <w:rPr>
                <w:sz w:val="20"/>
                <w:szCs w:val="20"/>
              </w:rPr>
            </w:r>
            <w:r>
              <w:rPr>
                <w:sz w:val="20"/>
                <w:szCs w:val="20"/>
              </w:rPr>
            </w:r>
          </w:p>
        </w:tc>
        <w:tc>
          <w:tcPr>
            <w:tcBorders>
              <w:bottom w:val="single" w:color="000000" w:sz="4" w:space="0"/>
              <w:right w:val="single" w:color="000000" w:sz="4" w:space="0"/>
            </w:tcBorders>
            <w:tcW w:w="86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22</w:t>
            </w:r>
            <w:r>
              <w:rPr>
                <w:sz w:val="20"/>
                <w:szCs w:val="20"/>
              </w:rPr>
            </w:r>
            <w:r>
              <w:rPr>
                <w:sz w:val="20"/>
                <w:szCs w:val="20"/>
              </w:rPr>
            </w:r>
          </w:p>
        </w:tc>
        <w:tc>
          <w:tcPr>
            <w:tcBorders>
              <w:bottom w:val="single" w:color="000000" w:sz="4" w:space="0"/>
              <w:right w:val="single" w:color="000000" w:sz="4" w:space="0"/>
            </w:tcBorders>
            <w:tcW w:w="148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w:t>
            </w:r>
            <w:r>
              <w:rPr>
                <w:sz w:val="20"/>
                <w:szCs w:val="20"/>
              </w:rPr>
            </w:r>
            <w:r>
              <w:rPr>
                <w:sz w:val="20"/>
                <w:szCs w:val="20"/>
              </w:rPr>
            </w:r>
          </w:p>
        </w:tc>
        <w:tc>
          <w:tcPr>
            <w:tcBorders>
              <w:bottom w:val="single" w:color="000000" w:sz="4" w:space="0"/>
              <w:right w:val="single" w:color="000000" w:sz="4" w:space="0"/>
            </w:tcBorders>
            <w:tcW w:w="98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22</w:t>
            </w:r>
            <w:r>
              <w:rPr>
                <w:sz w:val="20"/>
                <w:szCs w:val="20"/>
              </w:rPr>
            </w:r>
            <w:r>
              <w:rPr>
                <w:sz w:val="20"/>
                <w:szCs w:val="20"/>
              </w:rPr>
            </w:r>
          </w:p>
        </w:tc>
        <w:tc>
          <w:tcPr>
            <w:tcBorders>
              <w:bottom w:val="single" w:color="000000" w:sz="4" w:space="0"/>
              <w:right w:val="single" w:color="000000" w:sz="4" w:space="0"/>
            </w:tcBorders>
            <w:tcW w:w="147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w:t>
            </w:r>
            <w:r>
              <w:rPr>
                <w:sz w:val="20"/>
                <w:szCs w:val="20"/>
              </w:rPr>
            </w:r>
            <w:r>
              <w:rPr>
                <w:sz w:val="20"/>
                <w:szCs w:val="20"/>
              </w:rPr>
            </w:r>
          </w:p>
        </w:tc>
      </w:tr>
      <w:tr>
        <w:trPr>
          <w:jc w:val="center"/>
          <w:trHeight w:val="53"/>
        </w:trPr>
        <w:tc>
          <w:tcPr>
            <w:tcBorders>
              <w:left w:val="single" w:color="000000" w:sz="4" w:space="0"/>
              <w:bottom w:val="single" w:color="000000" w:sz="4" w:space="0"/>
              <w:right w:val="single" w:color="000000" w:sz="4" w:space="0"/>
            </w:tcBorders>
            <w:tcW w:w="3114"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tcBorders>
              <w:bottom w:val="single" w:color="000000" w:sz="4" w:space="0"/>
              <w:right w:val="single" w:color="000000" w:sz="4" w:space="0"/>
            </w:tcBorders>
            <w:tcW w:w="136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МВА</w:t>
            </w:r>
            <w:r>
              <w:rPr>
                <w:sz w:val="20"/>
                <w:szCs w:val="20"/>
              </w:rPr>
            </w:r>
            <w:r>
              <w:rPr>
                <w:sz w:val="20"/>
                <w:szCs w:val="20"/>
              </w:rPr>
            </w:r>
          </w:p>
        </w:tc>
        <w:tc>
          <w:tcPr>
            <w:tcBorders>
              <w:bottom w:val="single" w:color="000000" w:sz="4" w:space="0"/>
              <w:right w:val="single" w:color="000000" w:sz="4" w:space="0"/>
            </w:tcBorders>
            <w:tcW w:w="96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899,9</w:t>
            </w:r>
            <w:r>
              <w:rPr>
                <w:sz w:val="20"/>
                <w:szCs w:val="20"/>
              </w:rPr>
            </w:r>
            <w:r>
              <w:rPr>
                <w:sz w:val="20"/>
                <w:szCs w:val="20"/>
              </w:rPr>
            </w:r>
          </w:p>
        </w:tc>
        <w:tc>
          <w:tcPr>
            <w:tcBorders>
              <w:bottom w:val="single" w:color="000000" w:sz="4" w:space="0"/>
              <w:right w:val="single" w:color="000000" w:sz="4" w:space="0"/>
            </w:tcBorders>
            <w:tcW w:w="86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929</w:t>
            </w:r>
            <w:r>
              <w:rPr>
                <w:sz w:val="20"/>
                <w:szCs w:val="20"/>
              </w:rPr>
            </w:r>
            <w:r>
              <w:rPr>
                <w:sz w:val="20"/>
                <w:szCs w:val="20"/>
              </w:rPr>
            </w:r>
          </w:p>
        </w:tc>
        <w:tc>
          <w:tcPr>
            <w:tcBorders>
              <w:bottom w:val="single" w:color="000000" w:sz="4" w:space="0"/>
              <w:right w:val="single" w:color="000000" w:sz="4" w:space="0"/>
            </w:tcBorders>
            <w:tcW w:w="148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29,1</w:t>
            </w:r>
            <w:r>
              <w:rPr>
                <w:sz w:val="20"/>
                <w:szCs w:val="20"/>
              </w:rPr>
            </w:r>
            <w:r>
              <w:rPr>
                <w:sz w:val="20"/>
                <w:szCs w:val="20"/>
              </w:rPr>
            </w:r>
          </w:p>
        </w:tc>
        <w:tc>
          <w:tcPr>
            <w:tcBorders>
              <w:bottom w:val="single" w:color="000000" w:sz="4" w:space="0"/>
              <w:right w:val="single" w:color="000000" w:sz="4" w:space="0"/>
            </w:tcBorders>
            <w:tcW w:w="98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929</w:t>
            </w:r>
            <w:r>
              <w:rPr>
                <w:sz w:val="20"/>
                <w:szCs w:val="20"/>
              </w:rPr>
            </w:r>
            <w:r>
              <w:rPr>
                <w:sz w:val="20"/>
                <w:szCs w:val="20"/>
              </w:rPr>
            </w:r>
          </w:p>
        </w:tc>
        <w:tc>
          <w:tcPr>
            <w:tcBorders>
              <w:bottom w:val="single" w:color="000000" w:sz="4" w:space="0"/>
              <w:right w:val="single" w:color="000000" w:sz="4" w:space="0"/>
            </w:tcBorders>
            <w:tcW w:w="147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w:t>
            </w:r>
            <w:r>
              <w:rPr>
                <w:sz w:val="20"/>
                <w:szCs w:val="20"/>
              </w:rPr>
            </w:r>
            <w:r>
              <w:rPr>
                <w:sz w:val="20"/>
                <w:szCs w:val="20"/>
              </w:rPr>
            </w:r>
          </w:p>
        </w:tc>
      </w:tr>
      <w:tr>
        <w:trPr>
          <w:jc w:val="center"/>
          <w:trHeight w:val="53"/>
        </w:trPr>
        <w:tc>
          <w:tcPr>
            <w:tcBorders>
              <w:left w:val="single" w:color="000000" w:sz="4" w:space="0"/>
              <w:bottom w:val="single" w:color="000000" w:sz="4" w:space="0"/>
              <w:right w:val="single" w:color="000000" w:sz="4" w:space="0"/>
            </w:tcBorders>
            <w:tcW w:w="3114" w:type="dxa"/>
            <w:vAlign w:val="center"/>
            <w:vMerge w:val="restart"/>
            <w:textDirection w:val="lrTb"/>
            <w:noWrap w:val="false"/>
          </w:tcPr>
          <w:p>
            <w:pPr>
              <w:pStyle w:val="1063"/>
              <w:jc w:val="both"/>
              <w:widowControl w:val="off"/>
              <w:rPr>
                <w:sz w:val="20"/>
                <w:szCs w:val="20"/>
              </w:rPr>
            </w:pPr>
            <w:r>
              <w:rPr>
                <w:rFonts w:ascii="Arial Narrow" w:hAnsi="Arial Narrow" w:cs="Calibri"/>
                <w:sz w:val="20"/>
                <w:szCs w:val="20"/>
              </w:rPr>
              <w:t xml:space="preserve">35  кВ</w:t>
            </w:r>
            <w:r>
              <w:rPr>
                <w:sz w:val="20"/>
                <w:szCs w:val="20"/>
              </w:rPr>
            </w:r>
            <w:r>
              <w:rPr>
                <w:sz w:val="20"/>
                <w:szCs w:val="20"/>
              </w:rPr>
            </w:r>
          </w:p>
        </w:tc>
        <w:tc>
          <w:tcPr>
            <w:tcBorders>
              <w:bottom w:val="single" w:color="000000" w:sz="4" w:space="0"/>
              <w:right w:val="single" w:color="000000" w:sz="4" w:space="0"/>
            </w:tcBorders>
            <w:tcW w:w="136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шт.</w:t>
            </w:r>
            <w:r>
              <w:rPr>
                <w:sz w:val="20"/>
                <w:szCs w:val="20"/>
              </w:rPr>
            </w:r>
            <w:r>
              <w:rPr>
                <w:sz w:val="20"/>
                <w:szCs w:val="20"/>
              </w:rPr>
            </w:r>
          </w:p>
        </w:tc>
        <w:tc>
          <w:tcPr>
            <w:tcBorders>
              <w:bottom w:val="single" w:color="000000" w:sz="4" w:space="0"/>
              <w:right w:val="single" w:color="000000" w:sz="4" w:space="0"/>
            </w:tcBorders>
            <w:tcW w:w="96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21</w:t>
            </w:r>
            <w:r>
              <w:rPr>
                <w:sz w:val="20"/>
                <w:szCs w:val="20"/>
              </w:rPr>
            </w:r>
            <w:r>
              <w:rPr>
                <w:sz w:val="20"/>
                <w:szCs w:val="20"/>
              </w:rPr>
            </w:r>
          </w:p>
        </w:tc>
        <w:tc>
          <w:tcPr>
            <w:tcBorders>
              <w:bottom w:val="single" w:color="000000" w:sz="4" w:space="0"/>
              <w:right w:val="single" w:color="000000" w:sz="4" w:space="0"/>
            </w:tcBorders>
            <w:tcW w:w="86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21</w:t>
            </w:r>
            <w:r>
              <w:rPr>
                <w:sz w:val="20"/>
                <w:szCs w:val="20"/>
              </w:rPr>
            </w:r>
            <w:r>
              <w:rPr>
                <w:sz w:val="20"/>
                <w:szCs w:val="20"/>
              </w:rPr>
            </w:r>
          </w:p>
        </w:tc>
        <w:tc>
          <w:tcPr>
            <w:tcBorders>
              <w:bottom w:val="single" w:color="000000" w:sz="4" w:space="0"/>
              <w:right w:val="single" w:color="000000" w:sz="4" w:space="0"/>
            </w:tcBorders>
            <w:tcW w:w="148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w:t>
            </w:r>
            <w:r>
              <w:rPr>
                <w:sz w:val="20"/>
                <w:szCs w:val="20"/>
              </w:rPr>
            </w:r>
            <w:r>
              <w:rPr>
                <w:sz w:val="20"/>
                <w:szCs w:val="20"/>
              </w:rPr>
            </w:r>
          </w:p>
        </w:tc>
        <w:tc>
          <w:tcPr>
            <w:tcBorders>
              <w:bottom w:val="single" w:color="000000" w:sz="4" w:space="0"/>
              <w:right w:val="single" w:color="000000" w:sz="4" w:space="0"/>
            </w:tcBorders>
            <w:tcW w:w="98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21</w:t>
            </w:r>
            <w:r>
              <w:rPr>
                <w:sz w:val="20"/>
                <w:szCs w:val="20"/>
              </w:rPr>
            </w:r>
            <w:r>
              <w:rPr>
                <w:sz w:val="20"/>
                <w:szCs w:val="20"/>
              </w:rPr>
            </w:r>
          </w:p>
        </w:tc>
        <w:tc>
          <w:tcPr>
            <w:tcBorders>
              <w:bottom w:val="single" w:color="000000" w:sz="4" w:space="0"/>
              <w:right w:val="single" w:color="000000" w:sz="4" w:space="0"/>
            </w:tcBorders>
            <w:tcW w:w="147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w:t>
            </w:r>
            <w:r>
              <w:rPr>
                <w:sz w:val="20"/>
                <w:szCs w:val="20"/>
              </w:rPr>
            </w:r>
            <w:r>
              <w:rPr>
                <w:sz w:val="20"/>
                <w:szCs w:val="20"/>
              </w:rPr>
            </w:r>
          </w:p>
        </w:tc>
      </w:tr>
      <w:tr>
        <w:trPr>
          <w:jc w:val="center"/>
          <w:trHeight w:val="300"/>
        </w:trPr>
        <w:tc>
          <w:tcPr>
            <w:tcBorders>
              <w:left w:val="single" w:color="000000" w:sz="4" w:space="0"/>
              <w:bottom w:val="single" w:color="000000" w:sz="4" w:space="0"/>
              <w:right w:val="single" w:color="000000" w:sz="4" w:space="0"/>
            </w:tcBorders>
            <w:tcW w:w="3114"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tcBorders>
              <w:bottom w:val="single" w:color="000000" w:sz="4" w:space="0"/>
              <w:right w:val="single" w:color="000000" w:sz="4" w:space="0"/>
            </w:tcBorders>
            <w:tcW w:w="136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МВА</w:t>
            </w:r>
            <w:r>
              <w:rPr>
                <w:sz w:val="20"/>
                <w:szCs w:val="20"/>
              </w:rPr>
            </w:r>
            <w:r>
              <w:rPr>
                <w:sz w:val="20"/>
                <w:szCs w:val="20"/>
              </w:rPr>
            </w:r>
          </w:p>
        </w:tc>
        <w:tc>
          <w:tcPr>
            <w:tcBorders>
              <w:bottom w:val="single" w:color="000000" w:sz="4" w:space="0"/>
              <w:right w:val="single" w:color="000000" w:sz="4" w:space="0"/>
            </w:tcBorders>
            <w:tcW w:w="96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232,9</w:t>
            </w:r>
            <w:r>
              <w:rPr>
                <w:sz w:val="20"/>
                <w:szCs w:val="20"/>
              </w:rPr>
            </w:r>
            <w:r>
              <w:rPr>
                <w:sz w:val="20"/>
                <w:szCs w:val="20"/>
              </w:rPr>
            </w:r>
          </w:p>
        </w:tc>
        <w:tc>
          <w:tcPr>
            <w:tcBorders>
              <w:bottom w:val="single" w:color="000000" w:sz="4" w:space="0"/>
              <w:right w:val="single" w:color="000000" w:sz="4" w:space="0"/>
            </w:tcBorders>
            <w:tcW w:w="86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232,9</w:t>
            </w:r>
            <w:r>
              <w:rPr>
                <w:sz w:val="20"/>
                <w:szCs w:val="20"/>
              </w:rPr>
            </w:r>
            <w:r>
              <w:rPr>
                <w:sz w:val="20"/>
                <w:szCs w:val="20"/>
              </w:rPr>
            </w:r>
          </w:p>
        </w:tc>
        <w:tc>
          <w:tcPr>
            <w:tcBorders>
              <w:bottom w:val="single" w:color="000000" w:sz="4" w:space="0"/>
              <w:right w:val="single" w:color="000000" w:sz="4" w:space="0"/>
            </w:tcBorders>
            <w:tcW w:w="148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w:t>
            </w:r>
            <w:r>
              <w:rPr>
                <w:sz w:val="20"/>
                <w:szCs w:val="20"/>
              </w:rPr>
            </w:r>
            <w:r>
              <w:rPr>
                <w:sz w:val="20"/>
                <w:szCs w:val="20"/>
              </w:rPr>
            </w:r>
          </w:p>
        </w:tc>
        <w:tc>
          <w:tcPr>
            <w:tcBorders>
              <w:bottom w:val="single" w:color="000000" w:sz="4" w:space="0"/>
              <w:right w:val="single" w:color="000000" w:sz="4" w:space="0"/>
            </w:tcBorders>
            <w:tcW w:w="98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227,6</w:t>
            </w:r>
            <w:r>
              <w:rPr>
                <w:sz w:val="20"/>
                <w:szCs w:val="20"/>
              </w:rPr>
            </w:r>
            <w:r>
              <w:rPr>
                <w:sz w:val="20"/>
                <w:szCs w:val="20"/>
              </w:rPr>
            </w:r>
          </w:p>
        </w:tc>
        <w:tc>
          <w:tcPr>
            <w:tcBorders>
              <w:bottom w:val="single" w:color="000000" w:sz="4" w:space="0"/>
              <w:right w:val="single" w:color="000000" w:sz="4" w:space="0"/>
            </w:tcBorders>
            <w:tcW w:w="147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-5,3</w:t>
            </w:r>
            <w:r>
              <w:rPr>
                <w:sz w:val="20"/>
                <w:szCs w:val="20"/>
              </w:rPr>
            </w:r>
            <w:r>
              <w:rPr>
                <w:sz w:val="20"/>
                <w:szCs w:val="20"/>
              </w:rPr>
            </w:r>
          </w:p>
        </w:tc>
      </w:tr>
      <w:tr>
        <w:trPr>
          <w:jc w:val="center"/>
          <w:trHeight w:val="53"/>
        </w:trPr>
        <w:tc>
          <w:tcPr>
            <w:tcBorders>
              <w:left w:val="single" w:color="000000" w:sz="4" w:space="0"/>
              <w:bottom w:val="single" w:color="000000" w:sz="4" w:space="0"/>
              <w:right w:val="single" w:color="000000" w:sz="4" w:space="0"/>
            </w:tcBorders>
            <w:tcW w:w="3114" w:type="dxa"/>
            <w:vAlign w:val="center"/>
            <w:vMerge w:val="restart"/>
            <w:textDirection w:val="lrTb"/>
            <w:noWrap w:val="false"/>
          </w:tcPr>
          <w:p>
            <w:pPr>
              <w:pStyle w:val="1063"/>
              <w:jc w:val="both"/>
              <w:widowControl w:val="off"/>
              <w:rPr>
                <w:sz w:val="20"/>
                <w:szCs w:val="20"/>
              </w:rPr>
            </w:pPr>
            <w:r>
              <w:rPr>
                <w:rFonts w:ascii="Arial Narrow" w:hAnsi="Arial Narrow" w:cs="Calibri"/>
                <w:sz w:val="20"/>
                <w:szCs w:val="20"/>
              </w:rPr>
              <w:t xml:space="preserve">ТП 6(10)/0,4 кВ</w:t>
            </w:r>
            <w:r>
              <w:rPr>
                <w:sz w:val="20"/>
                <w:szCs w:val="20"/>
              </w:rPr>
            </w:r>
            <w:r>
              <w:rPr>
                <w:sz w:val="20"/>
                <w:szCs w:val="20"/>
              </w:rPr>
            </w:r>
          </w:p>
        </w:tc>
        <w:tc>
          <w:tcPr>
            <w:tcBorders>
              <w:bottom w:val="single" w:color="000000" w:sz="4" w:space="0"/>
              <w:right w:val="single" w:color="000000" w:sz="4" w:space="0"/>
            </w:tcBorders>
            <w:tcW w:w="136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шт.</w:t>
            </w:r>
            <w:r>
              <w:rPr>
                <w:sz w:val="20"/>
                <w:szCs w:val="20"/>
              </w:rPr>
            </w:r>
            <w:r>
              <w:rPr>
                <w:sz w:val="20"/>
                <w:szCs w:val="20"/>
              </w:rPr>
            </w:r>
          </w:p>
        </w:tc>
        <w:tc>
          <w:tcPr>
            <w:tcBorders>
              <w:bottom w:val="single" w:color="000000" w:sz="4" w:space="0"/>
              <w:right w:val="single" w:color="000000" w:sz="4" w:space="0"/>
            </w:tcBorders>
            <w:tcW w:w="96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903</w:t>
            </w:r>
            <w:r>
              <w:rPr>
                <w:sz w:val="20"/>
                <w:szCs w:val="20"/>
              </w:rPr>
            </w:r>
            <w:r>
              <w:rPr>
                <w:sz w:val="20"/>
                <w:szCs w:val="20"/>
              </w:rPr>
            </w:r>
          </w:p>
        </w:tc>
        <w:tc>
          <w:tcPr>
            <w:tcBorders>
              <w:bottom w:val="single" w:color="000000" w:sz="4" w:space="0"/>
              <w:right w:val="single" w:color="000000" w:sz="4" w:space="0"/>
            </w:tcBorders>
            <w:tcW w:w="86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940</w:t>
            </w:r>
            <w:r>
              <w:rPr>
                <w:sz w:val="20"/>
                <w:szCs w:val="20"/>
              </w:rPr>
            </w:r>
            <w:r>
              <w:rPr>
                <w:sz w:val="20"/>
                <w:szCs w:val="20"/>
              </w:rPr>
            </w:r>
          </w:p>
        </w:tc>
        <w:tc>
          <w:tcPr>
            <w:tcBorders>
              <w:bottom w:val="single" w:color="000000" w:sz="4" w:space="0"/>
              <w:right w:val="single" w:color="000000" w:sz="4" w:space="0"/>
            </w:tcBorders>
            <w:tcW w:w="148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37</w:t>
            </w:r>
            <w:r>
              <w:rPr>
                <w:sz w:val="20"/>
                <w:szCs w:val="20"/>
              </w:rPr>
            </w:r>
            <w:r>
              <w:rPr>
                <w:sz w:val="20"/>
                <w:szCs w:val="20"/>
              </w:rPr>
            </w:r>
          </w:p>
        </w:tc>
        <w:tc>
          <w:tcPr>
            <w:tcBorders>
              <w:bottom w:val="single" w:color="000000" w:sz="4" w:space="0"/>
              <w:right w:val="single" w:color="000000" w:sz="4" w:space="0"/>
            </w:tcBorders>
            <w:tcW w:w="98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1005</w:t>
            </w:r>
            <w:r>
              <w:rPr>
                <w:sz w:val="20"/>
                <w:szCs w:val="20"/>
              </w:rPr>
            </w:r>
            <w:r>
              <w:rPr>
                <w:sz w:val="20"/>
                <w:szCs w:val="20"/>
              </w:rPr>
            </w:r>
          </w:p>
        </w:tc>
        <w:tc>
          <w:tcPr>
            <w:tcBorders>
              <w:bottom w:val="single" w:color="000000" w:sz="4" w:space="0"/>
              <w:right w:val="single" w:color="000000" w:sz="4" w:space="0"/>
            </w:tcBorders>
            <w:tcW w:w="147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65</w:t>
            </w:r>
            <w:r>
              <w:rPr>
                <w:sz w:val="20"/>
                <w:szCs w:val="20"/>
              </w:rPr>
            </w:r>
            <w:r>
              <w:rPr>
                <w:sz w:val="20"/>
                <w:szCs w:val="20"/>
              </w:rPr>
            </w:r>
          </w:p>
        </w:tc>
      </w:tr>
      <w:tr>
        <w:trPr>
          <w:jc w:val="center"/>
          <w:trHeight w:val="40"/>
        </w:trPr>
        <w:tc>
          <w:tcPr>
            <w:tcBorders>
              <w:left w:val="single" w:color="000000" w:sz="4" w:space="0"/>
              <w:bottom w:val="single" w:color="000000" w:sz="4" w:space="0"/>
              <w:right w:val="single" w:color="000000" w:sz="4" w:space="0"/>
            </w:tcBorders>
            <w:tcW w:w="3114"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tcBorders>
              <w:bottom w:val="single" w:color="000000" w:sz="4" w:space="0"/>
              <w:right w:val="single" w:color="000000" w:sz="4" w:space="0"/>
            </w:tcBorders>
            <w:tcW w:w="136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МВА</w:t>
            </w:r>
            <w:r>
              <w:rPr>
                <w:sz w:val="20"/>
                <w:szCs w:val="20"/>
              </w:rPr>
            </w:r>
            <w:r>
              <w:rPr>
                <w:sz w:val="20"/>
                <w:szCs w:val="20"/>
              </w:rPr>
            </w:r>
          </w:p>
        </w:tc>
        <w:tc>
          <w:tcPr>
            <w:tcBorders>
              <w:bottom w:val="single" w:color="000000" w:sz="4" w:space="0"/>
              <w:right w:val="single" w:color="000000" w:sz="4" w:space="0"/>
            </w:tcBorders>
            <w:tcW w:w="960" w:type="dxa"/>
            <w:vAlign w:val="center"/>
            <w:textDirection w:val="lrTb"/>
            <w:noWrap w:val="false"/>
          </w:tcPr>
          <w:p>
            <w:pPr>
              <w:pStyle w:val="1063"/>
              <w:jc w:val="center"/>
              <w:widowControl w:val="off"/>
              <w:rPr>
                <w:sz w:val="20"/>
                <w:szCs w:val="20"/>
              </w:rPr>
            </w:pPr>
            <w:r>
              <w:rPr>
                <w:rFonts w:ascii="Arial Narrow" w:hAnsi="Arial Narrow" w:cs="Calibri"/>
                <w:sz w:val="20"/>
                <w:szCs w:val="20"/>
                <w:lang w:val="en-US"/>
              </w:rPr>
              <w:t xml:space="preserve">588</w:t>
            </w:r>
            <w:r>
              <w:rPr>
                <w:rFonts w:ascii="Arial Narrow" w:hAnsi="Arial Narrow" w:cs="Calibri"/>
                <w:sz w:val="20"/>
                <w:szCs w:val="20"/>
              </w:rPr>
              <w:t xml:space="preserve">,66</w:t>
            </w:r>
            <w:r>
              <w:rPr>
                <w:sz w:val="20"/>
                <w:szCs w:val="20"/>
              </w:rPr>
            </w:r>
            <w:r>
              <w:rPr>
                <w:sz w:val="20"/>
                <w:szCs w:val="20"/>
              </w:rPr>
            </w:r>
          </w:p>
        </w:tc>
        <w:tc>
          <w:tcPr>
            <w:tcBorders>
              <w:bottom w:val="single" w:color="000000" w:sz="4" w:space="0"/>
              <w:right w:val="single" w:color="000000" w:sz="4" w:space="0"/>
            </w:tcBorders>
            <w:tcW w:w="86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631,68</w:t>
            </w:r>
            <w:r>
              <w:rPr>
                <w:sz w:val="20"/>
                <w:szCs w:val="20"/>
              </w:rPr>
            </w:r>
            <w:r>
              <w:rPr>
                <w:sz w:val="20"/>
                <w:szCs w:val="20"/>
              </w:rPr>
            </w:r>
          </w:p>
        </w:tc>
        <w:tc>
          <w:tcPr>
            <w:tcBorders>
              <w:bottom w:val="single" w:color="000000" w:sz="4" w:space="0"/>
              <w:right w:val="single" w:color="000000" w:sz="4" w:space="0"/>
            </w:tcBorders>
            <w:tcW w:w="148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43,02</w:t>
            </w:r>
            <w:r>
              <w:rPr>
                <w:sz w:val="20"/>
                <w:szCs w:val="20"/>
              </w:rPr>
            </w:r>
            <w:r>
              <w:rPr>
                <w:sz w:val="20"/>
                <w:szCs w:val="20"/>
              </w:rPr>
            </w:r>
          </w:p>
        </w:tc>
        <w:tc>
          <w:tcPr>
            <w:tcBorders>
              <w:bottom w:val="single" w:color="000000" w:sz="4" w:space="0"/>
              <w:right w:val="single" w:color="000000" w:sz="4" w:space="0"/>
            </w:tcBorders>
            <w:tcW w:w="98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667,65</w:t>
            </w:r>
            <w:r>
              <w:rPr>
                <w:sz w:val="20"/>
                <w:szCs w:val="20"/>
              </w:rPr>
            </w:r>
            <w:r>
              <w:rPr>
                <w:sz w:val="20"/>
                <w:szCs w:val="20"/>
              </w:rPr>
            </w:r>
          </w:p>
        </w:tc>
        <w:tc>
          <w:tcPr>
            <w:tcBorders>
              <w:bottom w:val="single" w:color="000000" w:sz="4" w:space="0"/>
              <w:right w:val="single" w:color="000000" w:sz="4" w:space="0"/>
            </w:tcBorders>
            <w:tcW w:w="147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35,97</w:t>
            </w:r>
            <w:r>
              <w:rPr>
                <w:sz w:val="20"/>
                <w:szCs w:val="20"/>
              </w:rPr>
            </w:r>
            <w:r>
              <w:rPr>
                <w:sz w:val="20"/>
                <w:szCs w:val="20"/>
              </w:rPr>
            </w:r>
          </w:p>
        </w:tc>
      </w:tr>
      <w:tr>
        <w:trPr>
          <w:jc w:val="center"/>
          <w:trHeight w:val="53"/>
        </w:trPr>
        <w:tc>
          <w:tcPr>
            <w:tcBorders>
              <w:left w:val="single" w:color="000000" w:sz="4" w:space="0"/>
              <w:bottom w:val="single" w:color="000000" w:sz="4" w:space="0"/>
              <w:right w:val="single" w:color="000000" w:sz="4" w:space="0"/>
            </w:tcBorders>
            <w:tcW w:w="3114" w:type="dxa"/>
            <w:vAlign w:val="center"/>
            <w:vMerge w:val="restart"/>
            <w:textDirection w:val="lrTb"/>
            <w:noWrap w:val="false"/>
          </w:tcPr>
          <w:p>
            <w:pPr>
              <w:pStyle w:val="1063"/>
              <w:jc w:val="both"/>
              <w:widowControl w:val="off"/>
              <w:rPr>
                <w:sz w:val="20"/>
                <w:szCs w:val="20"/>
              </w:rPr>
            </w:pPr>
            <w:r>
              <w:rPr>
                <w:rFonts w:ascii="Arial Narrow" w:hAnsi="Arial Narrow" w:cs="Calibri"/>
                <w:bCs/>
                <w:sz w:val="20"/>
                <w:szCs w:val="20"/>
              </w:rPr>
              <w:t xml:space="preserve">Итого ПС 35-220 кВ</w:t>
            </w:r>
            <w:r>
              <w:rPr>
                <w:sz w:val="20"/>
                <w:szCs w:val="20"/>
              </w:rPr>
            </w:r>
            <w:r>
              <w:rPr>
                <w:sz w:val="20"/>
                <w:szCs w:val="20"/>
              </w:rPr>
            </w:r>
          </w:p>
        </w:tc>
        <w:tc>
          <w:tcPr>
            <w:tcBorders>
              <w:bottom w:val="single" w:color="000000" w:sz="4" w:space="0"/>
              <w:right w:val="single" w:color="000000" w:sz="4" w:space="0"/>
            </w:tcBorders>
            <w:tcW w:w="1369"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шт.</w:t>
            </w:r>
            <w:r>
              <w:rPr>
                <w:sz w:val="20"/>
                <w:szCs w:val="20"/>
              </w:rPr>
            </w:r>
            <w:r>
              <w:rPr>
                <w:sz w:val="20"/>
                <w:szCs w:val="20"/>
              </w:rPr>
            </w:r>
          </w:p>
        </w:tc>
        <w:tc>
          <w:tcPr>
            <w:tcBorders>
              <w:bottom w:val="single" w:color="000000" w:sz="4" w:space="0"/>
              <w:right w:val="single" w:color="000000" w:sz="4" w:space="0"/>
            </w:tcBorders>
            <w:tcW w:w="96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44</w:t>
            </w:r>
            <w:r>
              <w:rPr>
                <w:sz w:val="20"/>
                <w:szCs w:val="20"/>
              </w:rPr>
            </w:r>
            <w:r>
              <w:rPr>
                <w:sz w:val="20"/>
                <w:szCs w:val="20"/>
              </w:rPr>
            </w:r>
          </w:p>
        </w:tc>
        <w:tc>
          <w:tcPr>
            <w:tcBorders>
              <w:bottom w:val="single" w:color="000000" w:sz="4" w:space="0"/>
              <w:right w:val="single" w:color="000000" w:sz="4" w:space="0"/>
            </w:tcBorders>
            <w:tcW w:w="86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44</w:t>
            </w:r>
            <w:r>
              <w:rPr>
                <w:sz w:val="20"/>
                <w:szCs w:val="20"/>
              </w:rPr>
            </w:r>
            <w:r>
              <w:rPr>
                <w:sz w:val="20"/>
                <w:szCs w:val="20"/>
              </w:rPr>
            </w:r>
          </w:p>
        </w:tc>
        <w:tc>
          <w:tcPr>
            <w:tcBorders>
              <w:bottom w:val="single" w:color="000000" w:sz="4" w:space="0"/>
              <w:right w:val="single" w:color="000000" w:sz="4" w:space="0"/>
            </w:tcBorders>
            <w:tcW w:w="148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w:t>
            </w:r>
            <w:r>
              <w:rPr>
                <w:sz w:val="20"/>
                <w:szCs w:val="20"/>
              </w:rPr>
            </w:r>
            <w:r>
              <w:rPr>
                <w:sz w:val="20"/>
                <w:szCs w:val="20"/>
              </w:rPr>
            </w:r>
          </w:p>
        </w:tc>
        <w:tc>
          <w:tcPr>
            <w:tcBorders>
              <w:bottom w:val="single" w:color="000000" w:sz="4" w:space="0"/>
              <w:right w:val="single" w:color="000000" w:sz="4" w:space="0"/>
            </w:tcBorders>
            <w:tcW w:w="98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44</w:t>
            </w:r>
            <w:r>
              <w:rPr>
                <w:sz w:val="20"/>
                <w:szCs w:val="20"/>
              </w:rPr>
            </w:r>
            <w:r>
              <w:rPr>
                <w:sz w:val="20"/>
                <w:szCs w:val="20"/>
              </w:rPr>
            </w:r>
          </w:p>
        </w:tc>
        <w:tc>
          <w:tcPr>
            <w:tcBorders>
              <w:bottom w:val="single" w:color="000000" w:sz="4" w:space="0"/>
              <w:right w:val="single" w:color="000000" w:sz="4" w:space="0"/>
            </w:tcBorders>
            <w:tcW w:w="147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w:t>
            </w:r>
            <w:r>
              <w:rPr>
                <w:sz w:val="20"/>
                <w:szCs w:val="20"/>
              </w:rPr>
            </w:r>
            <w:r>
              <w:rPr>
                <w:sz w:val="20"/>
                <w:szCs w:val="20"/>
              </w:rPr>
            </w:r>
          </w:p>
        </w:tc>
      </w:tr>
      <w:tr>
        <w:trPr>
          <w:jc w:val="center"/>
          <w:trHeight w:val="53"/>
        </w:trPr>
        <w:tc>
          <w:tcPr>
            <w:tcBorders>
              <w:left w:val="single" w:color="000000" w:sz="4" w:space="0"/>
              <w:bottom w:val="single" w:color="000000" w:sz="4" w:space="0"/>
              <w:right w:val="single" w:color="000000" w:sz="4" w:space="0"/>
            </w:tcBorders>
            <w:tcW w:w="3114"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tcBorders>
              <w:bottom w:val="single" w:color="000000" w:sz="4" w:space="0"/>
              <w:right w:val="single" w:color="000000" w:sz="4" w:space="0"/>
            </w:tcBorders>
            <w:tcW w:w="1369"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МВА</w:t>
            </w:r>
            <w:r>
              <w:rPr>
                <w:sz w:val="20"/>
                <w:szCs w:val="20"/>
              </w:rPr>
            </w:r>
            <w:r>
              <w:rPr>
                <w:sz w:val="20"/>
                <w:szCs w:val="20"/>
              </w:rPr>
            </w:r>
          </w:p>
        </w:tc>
        <w:tc>
          <w:tcPr>
            <w:tcBorders>
              <w:bottom w:val="single" w:color="000000" w:sz="4" w:space="0"/>
              <w:right w:val="single" w:color="000000" w:sz="4" w:space="0"/>
            </w:tcBorders>
            <w:tcW w:w="96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1 195,8</w:t>
            </w:r>
            <w:r>
              <w:rPr>
                <w:sz w:val="20"/>
                <w:szCs w:val="20"/>
              </w:rPr>
            </w:r>
            <w:r>
              <w:rPr>
                <w:sz w:val="20"/>
                <w:szCs w:val="20"/>
              </w:rPr>
            </w:r>
          </w:p>
        </w:tc>
        <w:tc>
          <w:tcPr>
            <w:tcBorders>
              <w:bottom w:val="single" w:color="000000" w:sz="4" w:space="0"/>
              <w:right w:val="single" w:color="000000" w:sz="4" w:space="0"/>
            </w:tcBorders>
            <w:tcW w:w="86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1 224,9</w:t>
            </w:r>
            <w:r>
              <w:rPr>
                <w:sz w:val="20"/>
                <w:szCs w:val="20"/>
              </w:rPr>
            </w:r>
            <w:r>
              <w:rPr>
                <w:sz w:val="20"/>
                <w:szCs w:val="20"/>
              </w:rPr>
            </w:r>
          </w:p>
        </w:tc>
        <w:tc>
          <w:tcPr>
            <w:tcBorders>
              <w:bottom w:val="single" w:color="000000" w:sz="4" w:space="0"/>
              <w:right w:val="single" w:color="000000" w:sz="4" w:space="0"/>
            </w:tcBorders>
            <w:tcW w:w="148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29,1</w:t>
            </w:r>
            <w:r>
              <w:rPr>
                <w:sz w:val="20"/>
                <w:szCs w:val="20"/>
              </w:rPr>
            </w:r>
            <w:r>
              <w:rPr>
                <w:sz w:val="20"/>
                <w:szCs w:val="20"/>
              </w:rPr>
            </w:r>
          </w:p>
        </w:tc>
        <w:tc>
          <w:tcPr>
            <w:tcBorders>
              <w:bottom w:val="single" w:color="000000" w:sz="4" w:space="0"/>
              <w:right w:val="single" w:color="000000" w:sz="4" w:space="0"/>
            </w:tcBorders>
            <w:tcW w:w="98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1 219,8</w:t>
            </w:r>
            <w:r>
              <w:rPr>
                <w:sz w:val="20"/>
                <w:szCs w:val="20"/>
              </w:rPr>
            </w:r>
            <w:r>
              <w:rPr>
                <w:sz w:val="20"/>
                <w:szCs w:val="20"/>
              </w:rPr>
            </w:r>
          </w:p>
        </w:tc>
        <w:tc>
          <w:tcPr>
            <w:tcBorders>
              <w:bottom w:val="single" w:color="000000" w:sz="4" w:space="0"/>
              <w:right w:val="single" w:color="000000" w:sz="4" w:space="0"/>
            </w:tcBorders>
            <w:tcW w:w="147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-5,3</w:t>
            </w:r>
            <w:r>
              <w:rPr>
                <w:sz w:val="20"/>
                <w:szCs w:val="20"/>
              </w:rPr>
            </w:r>
            <w:r>
              <w:rPr>
                <w:sz w:val="20"/>
                <w:szCs w:val="20"/>
              </w:rPr>
            </w:r>
          </w:p>
        </w:tc>
      </w:tr>
      <w:tr>
        <w:trPr>
          <w:jc w:val="center"/>
          <w:trHeight w:val="53"/>
        </w:trPr>
        <w:tc>
          <w:tcPr>
            <w:tcBorders>
              <w:left w:val="single" w:color="000000" w:sz="4" w:space="0"/>
              <w:bottom w:val="single" w:color="000000" w:sz="4" w:space="0"/>
              <w:right w:val="single" w:color="000000" w:sz="4" w:space="0"/>
            </w:tcBorders>
            <w:tcW w:w="3114" w:type="dxa"/>
            <w:vAlign w:val="center"/>
            <w:vMerge w:val="restart"/>
            <w:textDirection w:val="lrTb"/>
            <w:noWrap w:val="false"/>
          </w:tcPr>
          <w:p>
            <w:pPr>
              <w:pStyle w:val="1063"/>
              <w:jc w:val="both"/>
              <w:widowControl w:val="off"/>
              <w:rPr>
                <w:sz w:val="20"/>
                <w:szCs w:val="20"/>
              </w:rPr>
            </w:pPr>
            <w:r>
              <w:rPr>
                <w:rFonts w:ascii="Arial Narrow" w:hAnsi="Arial Narrow" w:cs="Calibri"/>
                <w:bCs/>
                <w:sz w:val="20"/>
                <w:szCs w:val="20"/>
              </w:rPr>
              <w:t xml:space="preserve">Итого ПС (ТП) 6-220 кВ</w:t>
            </w:r>
            <w:r>
              <w:rPr>
                <w:sz w:val="20"/>
                <w:szCs w:val="20"/>
              </w:rPr>
            </w:r>
            <w:r>
              <w:rPr>
                <w:sz w:val="20"/>
                <w:szCs w:val="20"/>
              </w:rPr>
            </w:r>
          </w:p>
        </w:tc>
        <w:tc>
          <w:tcPr>
            <w:tcBorders>
              <w:bottom w:val="single" w:color="000000" w:sz="4" w:space="0"/>
              <w:right w:val="single" w:color="000000" w:sz="4" w:space="0"/>
            </w:tcBorders>
            <w:tcW w:w="1369"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шт.</w:t>
            </w:r>
            <w:r>
              <w:rPr>
                <w:sz w:val="20"/>
                <w:szCs w:val="20"/>
              </w:rPr>
            </w:r>
            <w:r>
              <w:rPr>
                <w:sz w:val="20"/>
                <w:szCs w:val="20"/>
              </w:rPr>
            </w:r>
          </w:p>
        </w:tc>
        <w:tc>
          <w:tcPr>
            <w:tcBorders>
              <w:bottom w:val="single" w:color="000000" w:sz="4" w:space="0"/>
              <w:right w:val="single" w:color="000000" w:sz="4" w:space="0"/>
            </w:tcBorders>
            <w:tcW w:w="96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947</w:t>
            </w:r>
            <w:r>
              <w:rPr>
                <w:sz w:val="20"/>
                <w:szCs w:val="20"/>
              </w:rPr>
            </w:r>
            <w:r>
              <w:rPr>
                <w:sz w:val="20"/>
                <w:szCs w:val="20"/>
              </w:rPr>
            </w:r>
          </w:p>
        </w:tc>
        <w:tc>
          <w:tcPr>
            <w:tcBorders>
              <w:bottom w:val="single" w:color="000000" w:sz="4" w:space="0"/>
              <w:right w:val="single" w:color="000000" w:sz="4" w:space="0"/>
            </w:tcBorders>
            <w:tcW w:w="86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984</w:t>
            </w:r>
            <w:r>
              <w:rPr>
                <w:sz w:val="20"/>
                <w:szCs w:val="20"/>
              </w:rPr>
            </w:r>
            <w:r>
              <w:rPr>
                <w:sz w:val="20"/>
                <w:szCs w:val="20"/>
              </w:rPr>
            </w:r>
          </w:p>
        </w:tc>
        <w:tc>
          <w:tcPr>
            <w:tcBorders>
              <w:bottom w:val="single" w:color="000000" w:sz="4" w:space="0"/>
              <w:right w:val="single" w:color="000000" w:sz="4" w:space="0"/>
            </w:tcBorders>
            <w:tcW w:w="148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37</w:t>
            </w:r>
            <w:r>
              <w:rPr>
                <w:sz w:val="20"/>
                <w:szCs w:val="20"/>
              </w:rPr>
            </w:r>
            <w:r>
              <w:rPr>
                <w:sz w:val="20"/>
                <w:szCs w:val="20"/>
              </w:rPr>
            </w:r>
          </w:p>
        </w:tc>
        <w:tc>
          <w:tcPr>
            <w:tcBorders>
              <w:bottom w:val="single" w:color="000000" w:sz="4" w:space="0"/>
              <w:right w:val="single" w:color="000000" w:sz="4" w:space="0"/>
            </w:tcBorders>
            <w:tcW w:w="98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1 049</w:t>
            </w:r>
            <w:r>
              <w:rPr>
                <w:sz w:val="20"/>
                <w:szCs w:val="20"/>
              </w:rPr>
            </w:r>
            <w:r>
              <w:rPr>
                <w:sz w:val="20"/>
                <w:szCs w:val="20"/>
              </w:rPr>
            </w:r>
          </w:p>
        </w:tc>
        <w:tc>
          <w:tcPr>
            <w:tcBorders>
              <w:bottom w:val="single" w:color="000000" w:sz="4" w:space="0"/>
              <w:right w:val="single" w:color="000000" w:sz="4" w:space="0"/>
            </w:tcBorders>
            <w:tcW w:w="147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65</w:t>
            </w:r>
            <w:r>
              <w:rPr>
                <w:sz w:val="20"/>
                <w:szCs w:val="20"/>
              </w:rPr>
            </w:r>
            <w:r>
              <w:rPr>
                <w:sz w:val="20"/>
                <w:szCs w:val="20"/>
              </w:rPr>
            </w:r>
          </w:p>
        </w:tc>
      </w:tr>
      <w:tr>
        <w:trPr>
          <w:jc w:val="center"/>
          <w:trHeight w:val="53"/>
        </w:trPr>
        <w:tc>
          <w:tcPr>
            <w:tcBorders>
              <w:left w:val="single" w:color="000000" w:sz="4" w:space="0"/>
              <w:bottom w:val="single" w:color="000000" w:sz="4" w:space="0"/>
              <w:right w:val="single" w:color="000000" w:sz="4" w:space="0"/>
            </w:tcBorders>
            <w:tcW w:w="3114"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tcBorders>
              <w:bottom w:val="single" w:color="000000" w:sz="4" w:space="0"/>
              <w:right w:val="single" w:color="000000" w:sz="4" w:space="0"/>
            </w:tcBorders>
            <w:tcW w:w="1369"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МВА</w:t>
            </w:r>
            <w:r>
              <w:rPr>
                <w:sz w:val="20"/>
                <w:szCs w:val="20"/>
              </w:rPr>
            </w:r>
            <w:r>
              <w:rPr>
                <w:sz w:val="20"/>
                <w:szCs w:val="20"/>
              </w:rPr>
            </w:r>
          </w:p>
        </w:tc>
        <w:tc>
          <w:tcPr>
            <w:tcBorders>
              <w:bottom w:val="single" w:color="000000" w:sz="4" w:space="0"/>
              <w:right w:val="single" w:color="000000" w:sz="4" w:space="0"/>
            </w:tcBorders>
            <w:tcW w:w="96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1 784,46</w:t>
            </w:r>
            <w:r>
              <w:rPr>
                <w:sz w:val="20"/>
                <w:szCs w:val="20"/>
              </w:rPr>
            </w:r>
            <w:r>
              <w:rPr>
                <w:sz w:val="20"/>
                <w:szCs w:val="20"/>
              </w:rPr>
            </w:r>
          </w:p>
        </w:tc>
        <w:tc>
          <w:tcPr>
            <w:tcBorders>
              <w:bottom w:val="single" w:color="000000" w:sz="4" w:space="0"/>
              <w:right w:val="single" w:color="000000" w:sz="4" w:space="0"/>
            </w:tcBorders>
            <w:tcW w:w="86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1 856,58</w:t>
            </w:r>
            <w:r>
              <w:rPr>
                <w:sz w:val="20"/>
                <w:szCs w:val="20"/>
              </w:rPr>
            </w:r>
            <w:r>
              <w:rPr>
                <w:sz w:val="20"/>
                <w:szCs w:val="20"/>
              </w:rPr>
            </w:r>
          </w:p>
        </w:tc>
        <w:tc>
          <w:tcPr>
            <w:tcBorders>
              <w:bottom w:val="single" w:color="000000" w:sz="4" w:space="0"/>
              <w:right w:val="single" w:color="000000" w:sz="4" w:space="0"/>
            </w:tcBorders>
            <w:tcW w:w="148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72,12</w:t>
            </w:r>
            <w:r>
              <w:rPr>
                <w:sz w:val="20"/>
                <w:szCs w:val="20"/>
              </w:rPr>
            </w:r>
            <w:r>
              <w:rPr>
                <w:sz w:val="20"/>
                <w:szCs w:val="20"/>
              </w:rPr>
            </w:r>
          </w:p>
        </w:tc>
        <w:tc>
          <w:tcPr>
            <w:tcBorders>
              <w:bottom w:val="single" w:color="000000" w:sz="4" w:space="0"/>
              <w:right w:val="single" w:color="000000" w:sz="4" w:space="0"/>
            </w:tcBorders>
            <w:tcW w:w="98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1 887,25</w:t>
            </w:r>
            <w:r>
              <w:rPr>
                <w:sz w:val="20"/>
                <w:szCs w:val="20"/>
              </w:rPr>
            </w:r>
            <w:r>
              <w:rPr>
                <w:sz w:val="20"/>
                <w:szCs w:val="20"/>
              </w:rPr>
            </w:r>
          </w:p>
        </w:tc>
        <w:tc>
          <w:tcPr>
            <w:tcBorders>
              <w:bottom w:val="single" w:color="000000" w:sz="4" w:space="0"/>
              <w:right w:val="single" w:color="000000" w:sz="4" w:space="0"/>
            </w:tcBorders>
            <w:tcW w:w="147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30,67</w:t>
            </w:r>
            <w:r>
              <w:rPr>
                <w:sz w:val="20"/>
                <w:szCs w:val="20"/>
              </w:rPr>
            </w:r>
            <w:r>
              <w:rPr>
                <w:sz w:val="20"/>
                <w:szCs w:val="20"/>
              </w:rPr>
            </w:r>
          </w:p>
        </w:tc>
      </w:tr>
    </w:tbl>
    <w:p>
      <w:pPr>
        <w:pStyle w:val="1063"/>
        <w:ind w:firstLine="567"/>
        <w:jc w:val="both"/>
        <w:tabs>
          <w:tab w:val="left" w:pos="992" w:leader="none"/>
        </w:tabs>
        <w:rPr>
          <w:rFonts w:ascii="Arial Narrow" w:hAnsi="Arial Narrow" w:cs="Calibri"/>
        </w:rPr>
      </w:pPr>
      <w:r>
        <w:rPr>
          <w:rFonts w:ascii="Arial Narrow" w:hAnsi="Arial Narrow" w:cs="Calibri"/>
        </w:rPr>
        <w:tab/>
      </w:r>
      <w:r>
        <w:rPr>
          <w:rFonts w:ascii="Arial Narrow" w:hAnsi="Arial Narrow" w:cs="Calibri"/>
        </w:rPr>
      </w:r>
      <w:r>
        <w:rPr>
          <w:rFonts w:ascii="Arial Narrow" w:hAnsi="Arial Narrow" w:cs="Calibri"/>
        </w:rPr>
      </w:r>
    </w:p>
    <w:p>
      <w:pPr>
        <w:pStyle w:val="1063"/>
        <w:ind w:firstLine="567"/>
        <w:jc w:val="both"/>
        <w:tabs>
          <w:tab w:val="left" w:pos="992" w:leader="none"/>
        </w:tabs>
      </w:pPr>
      <w:r>
        <w:rPr>
          <w:rFonts w:ascii="Arial Narrow" w:hAnsi="Arial Narrow"/>
          <w:color w:val="0f0d29"/>
        </w:rPr>
        <w:t xml:space="preserve">В 2024 году по сравнению с 2023 годом увеличение трансформаторных подстанций 6(10)/0,4 кВ </w:t>
      </w:r>
      <w:r>
        <w:rPr>
          <w:rFonts w:ascii="Arial Narrow" w:hAnsi="Arial Narrow"/>
          <w:color w:val="0f0d29"/>
        </w:rPr>
        <w:br/>
        <w:t xml:space="preserve">на 65 шт. произошло за счёт реализации договоров на осуществление технологического присоединения к электрическим сетям филиала ПАО «Камчатскэнерго» Центральные электрические сети.</w:t>
      </w:r>
      <w:r/>
    </w:p>
    <w:p>
      <w:pPr>
        <w:pStyle w:val="1063"/>
        <w:ind w:firstLine="567"/>
        <w:jc w:val="both"/>
      </w:pPr>
      <w:r>
        <w:rPr>
          <w:rFonts w:ascii="Arial Narrow" w:hAnsi="Arial Narrow"/>
          <w:color w:val="0f0d29"/>
        </w:rPr>
        <w:t xml:space="preserve">Уменьшение мощности трансформаторов 35 кВ за счёт замены на время ремонта трансформатора </w:t>
      </w:r>
      <w:r>
        <w:rPr>
          <w:rFonts w:ascii="Arial Narrow" w:hAnsi="Arial Narrow"/>
          <w:color w:val="0f0d29"/>
        </w:rPr>
        <w:br/>
        <w:t xml:space="preserve">на ПС ТПК 35 кВ с 6,3 МВА на 1 МВА.</w:t>
      </w:r>
      <w:r/>
    </w:p>
    <w:p>
      <w:pPr>
        <w:pStyle w:val="1063"/>
        <w:ind w:firstLine="567"/>
        <w:jc w:val="both"/>
        <w:tabs>
          <w:tab w:val="left" w:pos="992" w:leader="none"/>
        </w:tabs>
        <w:rPr>
          <w:rFonts w:ascii="Arial Narrow" w:hAnsi="Arial Narrow"/>
          <w:sz w:val="8"/>
          <w:szCs w:val="8"/>
        </w:rPr>
      </w:pPr>
      <w:r>
        <w:rPr>
          <w:rFonts w:ascii="Arial Narrow" w:hAnsi="Arial Narrow"/>
          <w:sz w:val="8"/>
          <w:szCs w:val="8"/>
        </w:rPr>
      </w:r>
      <w:r>
        <w:rPr>
          <w:rFonts w:ascii="Arial Narrow" w:hAnsi="Arial Narrow"/>
          <w:sz w:val="8"/>
          <w:szCs w:val="8"/>
        </w:rPr>
      </w:r>
      <w:r>
        <w:rPr>
          <w:rFonts w:ascii="Arial Narrow" w:hAnsi="Arial Narrow"/>
          <w:sz w:val="8"/>
          <w:szCs w:val="8"/>
        </w:rPr>
      </w:r>
    </w:p>
    <w:p>
      <w:pPr>
        <w:pStyle w:val="1096"/>
        <w:ind w:left="0" w:right="-5"/>
        <w:jc w:val="both"/>
        <w:spacing w:after="0" w:line="276" w:lineRule="auto"/>
      </w:pPr>
      <w:r>
        <w:rPr>
          <w:rFonts w:ascii="Arial Narrow" w:hAnsi="Arial Narrow" w:cs="Calibri"/>
          <w:b/>
          <w:color w:val="314e87"/>
          <w:sz w:val="24"/>
          <w:szCs w:val="24"/>
        </w:rPr>
        <w:t xml:space="preserve">Протяженность линий электропередачи по цепям</w:t>
      </w:r>
      <w:r/>
    </w:p>
    <w:p>
      <w:pPr>
        <w:pStyle w:val="1063"/>
        <w:jc w:val="right"/>
      </w:pPr>
      <w:r>
        <w:rPr>
          <w:rFonts w:ascii="Arial Narrow" w:hAnsi="Arial Narrow" w:eastAsia="Calibri" w:cs="Calibri"/>
          <w:i/>
          <w:lang w:eastAsia="ja-JP"/>
        </w:rPr>
        <w:t xml:space="preserve">Таблица № 13</w:t>
      </w:r>
      <w:r/>
    </w:p>
    <w:tbl>
      <w:tblPr>
        <w:tblW w:w="10342" w:type="dxa"/>
        <w:jc w:val="center"/>
        <w:tblLayout w:type="fixed"/>
        <w:tblCellMar>
          <w:left w:w="57" w:type="dxa"/>
          <w:right w:w="57" w:type="dxa"/>
        </w:tblCellMar>
        <w:tblLook w:val="04A0" w:firstRow="1" w:lastRow="0" w:firstColumn="1" w:lastColumn="0" w:noHBand="0" w:noVBand="1"/>
      </w:tblPr>
      <w:tblGrid>
        <w:gridCol w:w="2828"/>
        <w:gridCol w:w="1261"/>
        <w:gridCol w:w="1228"/>
        <w:gridCol w:w="985"/>
        <w:gridCol w:w="1444"/>
        <w:gridCol w:w="908"/>
        <w:gridCol w:w="1688"/>
      </w:tblGrid>
      <w:tr>
        <w:trPr>
          <w:jc w:val="center"/>
          <w:trHeight w:val="300"/>
        </w:trPr>
        <w:tc>
          <w:tcPr>
            <w:tcBorders>
              <w:top w:val="single" w:color="000000" w:sz="4" w:space="0"/>
              <w:left w:val="single" w:color="000000" w:sz="4" w:space="0"/>
              <w:bottom w:val="single" w:color="000000" w:sz="4" w:space="0"/>
              <w:right w:val="single" w:color="000000" w:sz="4" w:space="0"/>
            </w:tcBorders>
            <w:tcW w:w="2827"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Линии электропередачи</w:t>
            </w:r>
            <w:r>
              <w:rPr>
                <w:rFonts w:ascii="Arial Narrow" w:hAnsi="Arial Narrow"/>
                <w:sz w:val="20"/>
                <w:szCs w:val="20"/>
              </w:rPr>
            </w:r>
            <w:r>
              <w:rPr>
                <w:rFonts w:ascii="Arial Narrow" w:hAnsi="Arial Narrow"/>
                <w:sz w:val="20"/>
                <w:szCs w:val="20"/>
              </w:rPr>
            </w:r>
          </w:p>
        </w:tc>
        <w:tc>
          <w:tcPr>
            <w:tcBorders>
              <w:top w:val="single" w:color="000000" w:sz="4" w:space="0"/>
              <w:bottom w:val="single" w:color="000000" w:sz="4" w:space="0"/>
              <w:right w:val="single" w:color="000000" w:sz="4" w:space="0"/>
            </w:tcBorders>
            <w:tcW w:w="1261"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Единица измерения</w:t>
            </w:r>
            <w:r>
              <w:rPr>
                <w:rFonts w:ascii="Arial Narrow" w:hAnsi="Arial Narrow"/>
                <w:sz w:val="20"/>
                <w:szCs w:val="20"/>
              </w:rPr>
            </w:r>
            <w:r>
              <w:rPr>
                <w:rFonts w:ascii="Arial Narrow" w:hAnsi="Arial Narrow"/>
                <w:sz w:val="20"/>
                <w:szCs w:val="20"/>
              </w:rPr>
            </w:r>
          </w:p>
        </w:tc>
        <w:tc>
          <w:tcPr>
            <w:tcBorders>
              <w:top w:val="single" w:color="000000" w:sz="4" w:space="0"/>
              <w:bottom w:val="single" w:color="000000" w:sz="4" w:space="0"/>
              <w:right w:val="single" w:color="000000" w:sz="4" w:space="0"/>
            </w:tcBorders>
            <w:tcW w:w="1228"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2022 г.</w:t>
            </w:r>
            <w:r>
              <w:rPr>
                <w:rFonts w:ascii="Arial Narrow" w:hAnsi="Arial Narrow"/>
                <w:sz w:val="20"/>
                <w:szCs w:val="20"/>
              </w:rPr>
            </w:r>
            <w:r>
              <w:rPr>
                <w:rFonts w:ascii="Arial Narrow" w:hAnsi="Arial Narrow"/>
                <w:sz w:val="20"/>
                <w:szCs w:val="20"/>
              </w:rPr>
            </w:r>
          </w:p>
        </w:tc>
        <w:tc>
          <w:tcPr>
            <w:tcBorders>
              <w:top w:val="single" w:color="000000" w:sz="4" w:space="0"/>
              <w:bottom w:val="single" w:color="000000" w:sz="4" w:space="0"/>
              <w:right w:val="single" w:color="000000" w:sz="4" w:space="0"/>
            </w:tcBorders>
            <w:tcW w:w="985"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2023 г.</w:t>
            </w:r>
            <w:r>
              <w:rPr>
                <w:rFonts w:ascii="Arial Narrow" w:hAnsi="Arial Narrow"/>
                <w:sz w:val="20"/>
                <w:szCs w:val="20"/>
              </w:rPr>
            </w:r>
            <w:r>
              <w:rPr>
                <w:rFonts w:ascii="Arial Narrow" w:hAnsi="Arial Narrow"/>
                <w:sz w:val="20"/>
                <w:szCs w:val="20"/>
              </w:rPr>
            </w:r>
          </w:p>
        </w:tc>
        <w:tc>
          <w:tcPr>
            <w:tcBorders>
              <w:top w:val="single" w:color="000000" w:sz="4" w:space="0"/>
              <w:bottom w:val="single" w:color="000000" w:sz="4" w:space="0"/>
              <w:right w:val="single" w:color="000000" w:sz="4" w:space="0"/>
            </w:tcBorders>
            <w:tcW w:w="1444"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t xml:space="preserve">Отклонение</w:t>
            </w:r>
            <w:r>
              <w:rPr>
                <w:rFonts w:ascii="Arial Narrow" w:hAnsi="Arial Narrow" w:cs="Calibri"/>
                <w:sz w:val="20"/>
                <w:szCs w:val="20"/>
              </w:rPr>
            </w:r>
            <w:r>
              <w:rPr>
                <w:rFonts w:ascii="Arial Narrow" w:hAnsi="Arial Narrow" w:cs="Calibri"/>
                <w:sz w:val="20"/>
                <w:szCs w:val="20"/>
              </w:rPr>
            </w:r>
          </w:p>
          <w:p>
            <w:pPr>
              <w:pStyle w:val="1063"/>
              <w:jc w:val="center"/>
              <w:widowControl w:val="off"/>
              <w:rPr>
                <w:rFonts w:ascii="Arial Narrow" w:hAnsi="Arial Narrow"/>
                <w:sz w:val="20"/>
                <w:szCs w:val="20"/>
              </w:rPr>
            </w:pPr>
            <w:r>
              <w:rPr>
                <w:rFonts w:ascii="Arial Narrow" w:hAnsi="Arial Narrow" w:cs="Calibri"/>
                <w:sz w:val="20"/>
                <w:szCs w:val="20"/>
              </w:rPr>
              <w:t xml:space="preserve">2023 г./2022 г.</w:t>
            </w:r>
            <w:r>
              <w:rPr>
                <w:rFonts w:ascii="Arial Narrow" w:hAnsi="Arial Narrow"/>
                <w:sz w:val="20"/>
                <w:szCs w:val="20"/>
              </w:rPr>
            </w:r>
            <w:r>
              <w:rPr>
                <w:rFonts w:ascii="Arial Narrow" w:hAnsi="Arial Narrow"/>
                <w:sz w:val="20"/>
                <w:szCs w:val="20"/>
              </w:rPr>
            </w:r>
          </w:p>
        </w:tc>
        <w:tc>
          <w:tcPr>
            <w:tcBorders>
              <w:top w:val="single" w:color="000000" w:sz="4" w:space="0"/>
              <w:bottom w:val="single" w:color="000000" w:sz="4" w:space="0"/>
              <w:right w:val="single" w:color="000000" w:sz="4" w:space="0"/>
            </w:tcBorders>
            <w:tcW w:w="908"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2024 г.</w:t>
            </w:r>
            <w:r>
              <w:rPr>
                <w:rFonts w:ascii="Arial Narrow" w:hAnsi="Arial Narrow"/>
                <w:sz w:val="20"/>
                <w:szCs w:val="20"/>
              </w:rPr>
            </w:r>
            <w:r>
              <w:rPr>
                <w:rFonts w:ascii="Arial Narrow" w:hAnsi="Arial Narrow"/>
                <w:sz w:val="20"/>
                <w:szCs w:val="20"/>
              </w:rPr>
            </w:r>
          </w:p>
        </w:tc>
        <w:tc>
          <w:tcPr>
            <w:tcBorders>
              <w:top w:val="single" w:color="000000" w:sz="4" w:space="0"/>
              <w:bottom w:val="single" w:color="000000" w:sz="4" w:space="0"/>
              <w:right w:val="single" w:color="000000" w:sz="4" w:space="0"/>
            </w:tcBorders>
            <w:tcW w:w="1688"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Отклонение</w:t>
            </w:r>
            <w:r>
              <w:rPr>
                <w:rFonts w:ascii="Arial Narrow" w:hAnsi="Arial Narrow"/>
                <w:sz w:val="20"/>
                <w:szCs w:val="20"/>
              </w:rPr>
            </w:r>
            <w:r>
              <w:rPr>
                <w:rFonts w:ascii="Arial Narrow" w:hAnsi="Arial Narrow"/>
                <w:sz w:val="20"/>
                <w:szCs w:val="20"/>
              </w:rPr>
            </w:r>
          </w:p>
          <w:p>
            <w:pPr>
              <w:pStyle w:val="1063"/>
              <w:jc w:val="center"/>
              <w:widowControl w:val="off"/>
              <w:rPr>
                <w:rFonts w:ascii="Arial Narrow" w:hAnsi="Arial Narrow"/>
                <w:sz w:val="20"/>
                <w:szCs w:val="20"/>
              </w:rPr>
            </w:pPr>
            <w:r>
              <w:rPr>
                <w:rFonts w:ascii="Arial Narrow" w:hAnsi="Arial Narrow" w:cs="Calibri"/>
                <w:sz w:val="20"/>
                <w:szCs w:val="20"/>
              </w:rPr>
              <w:t xml:space="preserve">2024 г./2023 г.</w:t>
            </w:r>
            <w:r>
              <w:rPr>
                <w:rFonts w:ascii="Arial Narrow" w:hAnsi="Arial Narrow"/>
                <w:sz w:val="20"/>
                <w:szCs w:val="20"/>
              </w:rPr>
            </w:r>
            <w:r>
              <w:rPr>
                <w:rFonts w:ascii="Arial Narrow" w:hAnsi="Arial Narrow"/>
                <w:sz w:val="20"/>
                <w:szCs w:val="20"/>
              </w:rPr>
            </w:r>
          </w:p>
        </w:tc>
      </w:tr>
      <w:tr>
        <w:trPr>
          <w:jc w:val="center"/>
          <w:trHeight w:val="40"/>
        </w:trPr>
        <w:tc>
          <w:tcPr>
            <w:tcBorders>
              <w:top w:val="single" w:color="000000" w:sz="4" w:space="0"/>
              <w:left w:val="single" w:color="000000" w:sz="4" w:space="0"/>
              <w:bottom w:val="single" w:color="000000" w:sz="4" w:space="0"/>
              <w:right w:val="single" w:color="000000" w:sz="4" w:space="0"/>
            </w:tcBorders>
            <w:tcW w:w="2827"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bCs/>
                <w:sz w:val="20"/>
                <w:szCs w:val="20"/>
              </w:rPr>
              <w:t xml:space="preserve">ВЛ, в том числе</w:t>
            </w:r>
            <w:r>
              <w:rPr>
                <w:rFonts w:ascii="Arial Narrow" w:hAnsi="Arial Narrow"/>
                <w:sz w:val="20"/>
                <w:szCs w:val="20"/>
              </w:rPr>
            </w:r>
            <w:r>
              <w:rPr>
                <w:rFonts w:ascii="Arial Narrow" w:hAnsi="Arial Narrow"/>
                <w:sz w:val="20"/>
                <w:szCs w:val="20"/>
              </w:rPr>
            </w:r>
          </w:p>
        </w:tc>
        <w:tc>
          <w:tcPr>
            <w:tcBorders>
              <w:top w:val="single" w:color="000000" w:sz="4" w:space="0"/>
              <w:bottom w:val="single" w:color="000000" w:sz="4" w:space="0"/>
              <w:right w:val="single" w:color="000000" w:sz="4" w:space="0"/>
            </w:tcBorders>
            <w:tcW w:w="1261"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bCs/>
                <w:sz w:val="20"/>
                <w:szCs w:val="20"/>
              </w:rPr>
              <w:t xml:space="preserve">км</w:t>
            </w:r>
            <w:r>
              <w:rPr>
                <w:rFonts w:ascii="Arial Narrow" w:hAnsi="Arial Narrow"/>
                <w:sz w:val="20"/>
                <w:szCs w:val="20"/>
              </w:rPr>
            </w:r>
            <w:r>
              <w:rPr>
                <w:rFonts w:ascii="Arial Narrow" w:hAnsi="Arial Narrow"/>
                <w:sz w:val="20"/>
                <w:szCs w:val="20"/>
              </w:rPr>
            </w:r>
          </w:p>
        </w:tc>
        <w:tc>
          <w:tcPr>
            <w:tcBorders>
              <w:bottom w:val="single" w:color="000000" w:sz="4" w:space="0"/>
              <w:right w:val="single" w:color="000000" w:sz="4" w:space="0"/>
            </w:tcBorders>
            <w:tcW w:w="1228" w:type="dxa"/>
            <w:textDirection w:val="lrTb"/>
            <w:noWrap w:val="false"/>
          </w:tcPr>
          <w:p>
            <w:pPr>
              <w:jc w:val="center"/>
              <w:widowControl w:val="off"/>
              <w:rPr>
                <w:rFonts w:ascii="Arial Narrow" w:hAnsi="Arial Narrow"/>
              </w:rPr>
            </w:pPr>
            <w:r>
              <w:rPr>
                <w:rFonts w:ascii="Arial Narrow" w:hAnsi="Arial Narrow"/>
              </w:rPr>
              <w:t xml:space="preserve">2 409,11</w:t>
            </w:r>
            <w:r>
              <w:rPr>
                <w:rFonts w:ascii="Arial Narrow" w:hAnsi="Arial Narrow"/>
              </w:rPr>
            </w:r>
            <w:r>
              <w:rPr>
                <w:rFonts w:ascii="Arial Narrow" w:hAnsi="Arial Narrow"/>
              </w:rPr>
            </w:r>
          </w:p>
        </w:tc>
        <w:tc>
          <w:tcPr>
            <w:tcBorders>
              <w:bottom w:val="single" w:color="000000" w:sz="4" w:space="0"/>
              <w:right w:val="single" w:color="000000" w:sz="4" w:space="0"/>
            </w:tcBorders>
            <w:tcW w:w="985" w:type="dxa"/>
            <w:textDirection w:val="lrTb"/>
            <w:noWrap w:val="false"/>
          </w:tcPr>
          <w:p>
            <w:pPr>
              <w:jc w:val="center"/>
              <w:widowControl w:val="off"/>
              <w:rPr>
                <w:rFonts w:ascii="Arial Narrow" w:hAnsi="Arial Narrow"/>
              </w:rPr>
            </w:pPr>
            <w:r>
              <w:rPr>
                <w:rFonts w:ascii="Arial Narrow" w:hAnsi="Arial Narrow"/>
              </w:rPr>
              <w:t xml:space="preserve">2 425,79</w:t>
            </w:r>
            <w:r>
              <w:rPr>
                <w:rFonts w:ascii="Arial Narrow" w:hAnsi="Arial Narrow"/>
              </w:rPr>
            </w:r>
            <w:r>
              <w:rPr>
                <w:rFonts w:ascii="Arial Narrow" w:hAnsi="Arial Narrow"/>
              </w:rPr>
            </w:r>
          </w:p>
        </w:tc>
        <w:tc>
          <w:tcPr>
            <w:tcBorders>
              <w:bottom w:val="single" w:color="000000" w:sz="4" w:space="0"/>
              <w:right w:val="single" w:color="000000" w:sz="4" w:space="0"/>
            </w:tcBorders>
            <w:tcW w:w="1444" w:type="dxa"/>
            <w:textDirection w:val="lrTb"/>
            <w:noWrap w:val="false"/>
          </w:tcPr>
          <w:p>
            <w:pPr>
              <w:jc w:val="center"/>
              <w:widowControl w:val="off"/>
              <w:rPr>
                <w:rFonts w:ascii="Arial Narrow" w:hAnsi="Arial Narrow"/>
              </w:rPr>
            </w:pPr>
            <w:r>
              <w:rPr>
                <w:rFonts w:ascii="Arial Narrow" w:hAnsi="Arial Narrow"/>
              </w:rPr>
              <w:t xml:space="preserve">16,68</w:t>
            </w:r>
            <w:r>
              <w:rPr>
                <w:rFonts w:ascii="Arial Narrow" w:hAnsi="Arial Narrow"/>
              </w:rPr>
            </w:r>
            <w:r>
              <w:rPr>
                <w:rFonts w:ascii="Arial Narrow" w:hAnsi="Arial Narrow"/>
              </w:rPr>
            </w:r>
          </w:p>
        </w:tc>
        <w:tc>
          <w:tcPr>
            <w:tcBorders>
              <w:bottom w:val="single" w:color="000000" w:sz="4" w:space="0"/>
              <w:right w:val="single" w:color="000000" w:sz="4" w:space="0"/>
            </w:tcBorders>
            <w:tcW w:w="908" w:type="dxa"/>
            <w:textDirection w:val="lrTb"/>
            <w:noWrap w:val="false"/>
          </w:tcPr>
          <w:p>
            <w:pPr>
              <w:jc w:val="center"/>
              <w:widowControl w:val="off"/>
              <w:rPr>
                <w:rFonts w:ascii="Arial Narrow" w:hAnsi="Arial Narrow"/>
              </w:rPr>
            </w:pPr>
            <w:r>
              <w:rPr>
                <w:rFonts w:ascii="Arial Narrow" w:hAnsi="Arial Narrow"/>
              </w:rPr>
              <w:t xml:space="preserve">2500,3</w:t>
            </w:r>
            <w:r>
              <w:rPr>
                <w:rFonts w:ascii="Arial Narrow" w:hAnsi="Arial Narrow"/>
              </w:rPr>
            </w:r>
            <w:r>
              <w:rPr>
                <w:rFonts w:ascii="Arial Narrow" w:hAnsi="Arial Narrow"/>
              </w:rPr>
            </w:r>
          </w:p>
        </w:tc>
        <w:tc>
          <w:tcPr>
            <w:tcBorders>
              <w:bottom w:val="single" w:color="000000" w:sz="4" w:space="0"/>
              <w:right w:val="single" w:color="000000" w:sz="4" w:space="0"/>
            </w:tcBorders>
            <w:tcW w:w="1688" w:type="dxa"/>
            <w:textDirection w:val="lrTb"/>
            <w:noWrap w:val="false"/>
          </w:tcPr>
          <w:p>
            <w:pPr>
              <w:jc w:val="center"/>
              <w:widowControl w:val="off"/>
              <w:rPr>
                <w:rFonts w:ascii="Arial Narrow" w:hAnsi="Arial Narrow"/>
              </w:rPr>
            </w:pPr>
            <w:r>
              <w:rPr>
                <w:rFonts w:ascii="Arial Narrow" w:hAnsi="Arial Narrow"/>
              </w:rPr>
              <w:t xml:space="preserve">74,51</w:t>
            </w:r>
            <w:r>
              <w:rPr>
                <w:rFonts w:ascii="Arial Narrow" w:hAnsi="Arial Narrow"/>
              </w:rPr>
            </w:r>
            <w:r>
              <w:rPr>
                <w:rFonts w:ascii="Arial Narrow" w:hAnsi="Arial Narrow"/>
              </w:rPr>
            </w:r>
          </w:p>
        </w:tc>
      </w:tr>
      <w:tr>
        <w:trPr>
          <w:jc w:val="center"/>
          <w:trHeight w:val="40"/>
        </w:trPr>
        <w:tc>
          <w:tcPr>
            <w:tcBorders>
              <w:top w:val="single" w:color="000000" w:sz="4" w:space="0"/>
              <w:left w:val="single" w:color="000000" w:sz="4" w:space="0"/>
              <w:bottom w:val="single" w:color="000000" w:sz="4" w:space="0"/>
              <w:right w:val="single" w:color="000000" w:sz="4" w:space="0"/>
            </w:tcBorders>
            <w:tcW w:w="2827"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bCs/>
                <w:sz w:val="20"/>
                <w:szCs w:val="20"/>
              </w:rPr>
              <w:t xml:space="preserve">220 кВ</w:t>
            </w:r>
            <w:r>
              <w:rPr>
                <w:rFonts w:ascii="Arial Narrow" w:hAnsi="Arial Narrow"/>
                <w:sz w:val="20"/>
                <w:szCs w:val="20"/>
              </w:rPr>
            </w:r>
            <w:r>
              <w:rPr>
                <w:rFonts w:ascii="Arial Narrow" w:hAnsi="Arial Narrow"/>
                <w:sz w:val="20"/>
                <w:szCs w:val="20"/>
              </w:rPr>
            </w:r>
          </w:p>
        </w:tc>
        <w:tc>
          <w:tcPr>
            <w:tcBorders>
              <w:top w:val="single" w:color="000000" w:sz="4" w:space="0"/>
              <w:bottom w:val="single" w:color="000000" w:sz="4" w:space="0"/>
              <w:right w:val="single" w:color="000000" w:sz="4" w:space="0"/>
            </w:tcBorders>
            <w:tcW w:w="1261"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bCs/>
                <w:sz w:val="20"/>
                <w:szCs w:val="20"/>
              </w:rPr>
              <w:t xml:space="preserve">км</w:t>
            </w:r>
            <w:r>
              <w:rPr>
                <w:rFonts w:ascii="Arial Narrow" w:hAnsi="Arial Narrow"/>
                <w:sz w:val="20"/>
                <w:szCs w:val="20"/>
              </w:rPr>
            </w:r>
            <w:r>
              <w:rPr>
                <w:rFonts w:ascii="Arial Narrow" w:hAnsi="Arial Narrow"/>
                <w:sz w:val="20"/>
                <w:szCs w:val="20"/>
              </w:rPr>
            </w:r>
          </w:p>
        </w:tc>
        <w:tc>
          <w:tcPr>
            <w:tcBorders>
              <w:bottom w:val="single" w:color="000000" w:sz="4" w:space="0"/>
              <w:right w:val="single" w:color="000000" w:sz="4" w:space="0"/>
            </w:tcBorders>
            <w:tcW w:w="1228" w:type="dxa"/>
            <w:textDirection w:val="lrTb"/>
            <w:noWrap w:val="false"/>
          </w:tcPr>
          <w:p>
            <w:pPr>
              <w:jc w:val="center"/>
              <w:widowControl w:val="off"/>
              <w:rPr>
                <w:rFonts w:ascii="Arial Narrow" w:hAnsi="Arial Narrow"/>
              </w:rPr>
            </w:pPr>
            <w:r>
              <w:rPr>
                <w:rFonts w:ascii="Arial Narrow" w:hAnsi="Arial Narrow"/>
              </w:rPr>
              <w:t xml:space="preserve">506,05</w:t>
            </w:r>
            <w:r>
              <w:rPr>
                <w:rFonts w:ascii="Arial Narrow" w:hAnsi="Arial Narrow"/>
              </w:rPr>
            </w:r>
            <w:r>
              <w:rPr>
                <w:rFonts w:ascii="Arial Narrow" w:hAnsi="Arial Narrow"/>
              </w:rPr>
            </w:r>
          </w:p>
        </w:tc>
        <w:tc>
          <w:tcPr>
            <w:tcBorders>
              <w:bottom w:val="single" w:color="000000" w:sz="4" w:space="0"/>
              <w:right w:val="single" w:color="000000" w:sz="4" w:space="0"/>
            </w:tcBorders>
            <w:tcW w:w="985" w:type="dxa"/>
            <w:textDirection w:val="lrTb"/>
            <w:noWrap w:val="false"/>
          </w:tcPr>
          <w:p>
            <w:pPr>
              <w:jc w:val="center"/>
              <w:widowControl w:val="off"/>
              <w:rPr>
                <w:rFonts w:ascii="Arial Narrow" w:hAnsi="Arial Narrow"/>
              </w:rPr>
            </w:pPr>
            <w:r>
              <w:rPr>
                <w:rFonts w:ascii="Arial Narrow" w:hAnsi="Arial Narrow"/>
              </w:rPr>
              <w:t xml:space="preserve">501,25</w:t>
            </w:r>
            <w:r>
              <w:rPr>
                <w:rFonts w:ascii="Arial Narrow" w:hAnsi="Arial Narrow"/>
              </w:rPr>
            </w:r>
            <w:r>
              <w:rPr>
                <w:rFonts w:ascii="Arial Narrow" w:hAnsi="Arial Narrow"/>
              </w:rPr>
            </w:r>
          </w:p>
        </w:tc>
        <w:tc>
          <w:tcPr>
            <w:tcBorders>
              <w:bottom w:val="single" w:color="000000" w:sz="4" w:space="0"/>
              <w:right w:val="single" w:color="000000" w:sz="4" w:space="0"/>
            </w:tcBorders>
            <w:tcW w:w="1444" w:type="dxa"/>
            <w:textDirection w:val="lrTb"/>
            <w:noWrap w:val="false"/>
          </w:tcPr>
          <w:p>
            <w:pPr>
              <w:jc w:val="center"/>
              <w:widowControl w:val="off"/>
              <w:rPr>
                <w:rFonts w:ascii="Arial Narrow" w:hAnsi="Arial Narrow"/>
              </w:rPr>
            </w:pPr>
            <w:r>
              <w:rPr>
                <w:rFonts w:ascii="Arial Narrow" w:hAnsi="Arial Narrow"/>
              </w:rPr>
              <w:t xml:space="preserve">- 4,8</w:t>
            </w:r>
            <w:r>
              <w:rPr>
                <w:rFonts w:ascii="Arial Narrow" w:hAnsi="Arial Narrow"/>
              </w:rPr>
            </w:r>
            <w:r>
              <w:rPr>
                <w:rFonts w:ascii="Arial Narrow" w:hAnsi="Arial Narrow"/>
              </w:rPr>
            </w:r>
          </w:p>
        </w:tc>
        <w:tc>
          <w:tcPr>
            <w:tcBorders>
              <w:bottom w:val="single" w:color="000000" w:sz="4" w:space="0"/>
              <w:right w:val="single" w:color="000000" w:sz="4" w:space="0"/>
            </w:tcBorders>
            <w:tcW w:w="908" w:type="dxa"/>
            <w:textDirection w:val="lrTb"/>
            <w:noWrap w:val="false"/>
          </w:tcPr>
          <w:p>
            <w:pPr>
              <w:jc w:val="center"/>
              <w:widowControl w:val="off"/>
              <w:rPr>
                <w:rFonts w:ascii="Arial Narrow" w:hAnsi="Arial Narrow"/>
              </w:rPr>
            </w:pPr>
            <w:r>
              <w:rPr>
                <w:rFonts w:ascii="Arial Narrow" w:hAnsi="Arial Narrow"/>
              </w:rPr>
              <w:t xml:space="preserve">501,25</w:t>
            </w:r>
            <w:r>
              <w:rPr>
                <w:rFonts w:ascii="Arial Narrow" w:hAnsi="Arial Narrow"/>
              </w:rPr>
            </w:r>
            <w:r>
              <w:rPr>
                <w:rFonts w:ascii="Arial Narrow" w:hAnsi="Arial Narrow"/>
              </w:rPr>
            </w:r>
          </w:p>
        </w:tc>
        <w:tc>
          <w:tcPr>
            <w:tcBorders>
              <w:bottom w:val="single" w:color="000000" w:sz="4" w:space="0"/>
              <w:right w:val="single" w:color="000000" w:sz="4" w:space="0"/>
            </w:tcBorders>
            <w:tcW w:w="1688" w:type="dxa"/>
            <w:textDirection w:val="lrTb"/>
            <w:noWrap w:val="false"/>
          </w:tcPr>
          <w:p>
            <w:pPr>
              <w:jc w:val="center"/>
              <w:widowControl w:val="off"/>
              <w:rPr>
                <w:rFonts w:ascii="Arial Narrow" w:hAnsi="Arial Narrow"/>
              </w:rPr>
            </w:pPr>
            <w:r>
              <w:rPr>
                <w:rFonts w:ascii="Arial Narrow" w:hAnsi="Arial Narrow"/>
              </w:rPr>
              <w:t xml:space="preserve">0</w:t>
            </w:r>
            <w:r>
              <w:rPr>
                <w:rFonts w:ascii="Arial Narrow" w:hAnsi="Arial Narrow"/>
              </w:rPr>
            </w:r>
            <w:r>
              <w:rPr>
                <w:rFonts w:ascii="Arial Narrow" w:hAnsi="Arial Narrow"/>
              </w:rPr>
            </w:r>
          </w:p>
        </w:tc>
      </w:tr>
      <w:tr>
        <w:trPr>
          <w:jc w:val="center"/>
          <w:trHeight w:val="40"/>
        </w:trPr>
        <w:tc>
          <w:tcPr>
            <w:tcBorders>
              <w:top w:val="single" w:color="000000" w:sz="4" w:space="0"/>
              <w:left w:val="single" w:color="000000" w:sz="4" w:space="0"/>
              <w:bottom w:val="single" w:color="000000" w:sz="4" w:space="0"/>
              <w:right w:val="single" w:color="000000" w:sz="4" w:space="0"/>
            </w:tcBorders>
            <w:tcW w:w="2827"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110 кВ</w:t>
            </w:r>
            <w:r>
              <w:rPr>
                <w:rFonts w:ascii="Arial Narrow" w:hAnsi="Arial Narrow"/>
                <w:sz w:val="20"/>
                <w:szCs w:val="20"/>
              </w:rPr>
            </w:r>
            <w:r>
              <w:rPr>
                <w:rFonts w:ascii="Arial Narrow" w:hAnsi="Arial Narrow"/>
                <w:sz w:val="20"/>
                <w:szCs w:val="20"/>
              </w:rPr>
            </w:r>
          </w:p>
        </w:tc>
        <w:tc>
          <w:tcPr>
            <w:tcBorders>
              <w:top w:val="single" w:color="000000" w:sz="4" w:space="0"/>
              <w:bottom w:val="single" w:color="000000" w:sz="4" w:space="0"/>
              <w:right w:val="single" w:color="000000" w:sz="4" w:space="0"/>
            </w:tcBorders>
            <w:tcW w:w="1261"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км</w:t>
            </w:r>
            <w:r>
              <w:rPr>
                <w:rFonts w:ascii="Arial Narrow" w:hAnsi="Arial Narrow"/>
                <w:sz w:val="20"/>
                <w:szCs w:val="20"/>
              </w:rPr>
            </w:r>
            <w:r>
              <w:rPr>
                <w:rFonts w:ascii="Arial Narrow" w:hAnsi="Arial Narrow"/>
                <w:sz w:val="20"/>
                <w:szCs w:val="20"/>
              </w:rPr>
            </w:r>
          </w:p>
        </w:tc>
        <w:tc>
          <w:tcPr>
            <w:tcBorders>
              <w:bottom w:val="single" w:color="000000" w:sz="4" w:space="0"/>
              <w:right w:val="single" w:color="000000" w:sz="4" w:space="0"/>
            </w:tcBorders>
            <w:tcW w:w="1228" w:type="dxa"/>
            <w:textDirection w:val="lrTb"/>
            <w:noWrap w:val="false"/>
          </w:tcPr>
          <w:p>
            <w:pPr>
              <w:jc w:val="center"/>
              <w:widowControl w:val="off"/>
              <w:rPr>
                <w:rFonts w:ascii="Arial Narrow" w:hAnsi="Arial Narrow"/>
              </w:rPr>
            </w:pPr>
            <w:r>
              <w:rPr>
                <w:rFonts w:ascii="Arial Narrow" w:hAnsi="Arial Narrow"/>
              </w:rPr>
              <w:t xml:space="preserve">413,69</w:t>
            </w:r>
            <w:r>
              <w:rPr>
                <w:rFonts w:ascii="Arial Narrow" w:hAnsi="Arial Narrow"/>
              </w:rPr>
            </w:r>
            <w:r>
              <w:rPr>
                <w:rFonts w:ascii="Arial Narrow" w:hAnsi="Arial Narrow"/>
              </w:rPr>
            </w:r>
          </w:p>
        </w:tc>
        <w:tc>
          <w:tcPr>
            <w:tcBorders>
              <w:bottom w:val="single" w:color="000000" w:sz="4" w:space="0"/>
              <w:right w:val="single" w:color="000000" w:sz="4" w:space="0"/>
            </w:tcBorders>
            <w:tcW w:w="985" w:type="dxa"/>
            <w:textDirection w:val="lrTb"/>
            <w:noWrap w:val="false"/>
          </w:tcPr>
          <w:p>
            <w:pPr>
              <w:jc w:val="center"/>
              <w:widowControl w:val="off"/>
              <w:rPr>
                <w:rFonts w:ascii="Arial Narrow" w:hAnsi="Arial Narrow"/>
              </w:rPr>
            </w:pPr>
            <w:r>
              <w:rPr>
                <w:rFonts w:ascii="Arial Narrow" w:hAnsi="Arial Narrow"/>
              </w:rPr>
              <w:t xml:space="preserve">404,68</w:t>
            </w:r>
            <w:r>
              <w:rPr>
                <w:rFonts w:ascii="Arial Narrow" w:hAnsi="Arial Narrow"/>
              </w:rPr>
            </w:r>
            <w:r>
              <w:rPr>
                <w:rFonts w:ascii="Arial Narrow" w:hAnsi="Arial Narrow"/>
              </w:rPr>
            </w:r>
          </w:p>
        </w:tc>
        <w:tc>
          <w:tcPr>
            <w:tcBorders>
              <w:bottom w:val="single" w:color="000000" w:sz="4" w:space="0"/>
              <w:right w:val="single" w:color="000000" w:sz="4" w:space="0"/>
            </w:tcBorders>
            <w:tcW w:w="1444" w:type="dxa"/>
            <w:textDirection w:val="lrTb"/>
            <w:noWrap w:val="false"/>
          </w:tcPr>
          <w:p>
            <w:pPr>
              <w:jc w:val="center"/>
              <w:widowControl w:val="off"/>
              <w:rPr>
                <w:rFonts w:ascii="Arial Narrow" w:hAnsi="Arial Narrow"/>
              </w:rPr>
            </w:pPr>
            <w:r>
              <w:rPr>
                <w:rFonts w:ascii="Arial Narrow" w:hAnsi="Arial Narrow"/>
              </w:rPr>
              <w:t xml:space="preserve">- 9,01</w:t>
            </w:r>
            <w:r>
              <w:rPr>
                <w:rFonts w:ascii="Arial Narrow" w:hAnsi="Arial Narrow"/>
              </w:rPr>
            </w:r>
            <w:r>
              <w:rPr>
                <w:rFonts w:ascii="Arial Narrow" w:hAnsi="Arial Narrow"/>
              </w:rPr>
            </w:r>
          </w:p>
        </w:tc>
        <w:tc>
          <w:tcPr>
            <w:tcBorders>
              <w:bottom w:val="single" w:color="000000" w:sz="4" w:space="0"/>
              <w:right w:val="single" w:color="000000" w:sz="4" w:space="0"/>
            </w:tcBorders>
            <w:tcW w:w="908" w:type="dxa"/>
            <w:textDirection w:val="lrTb"/>
            <w:noWrap w:val="false"/>
          </w:tcPr>
          <w:p>
            <w:pPr>
              <w:jc w:val="center"/>
              <w:widowControl w:val="off"/>
              <w:rPr>
                <w:rFonts w:ascii="Arial Narrow" w:hAnsi="Arial Narrow"/>
              </w:rPr>
            </w:pPr>
            <w:r>
              <w:rPr>
                <w:rFonts w:ascii="Arial Narrow" w:hAnsi="Arial Narrow"/>
              </w:rPr>
              <w:t xml:space="preserve">404,68</w:t>
            </w:r>
            <w:r>
              <w:rPr>
                <w:rFonts w:ascii="Arial Narrow" w:hAnsi="Arial Narrow"/>
              </w:rPr>
            </w:r>
            <w:r>
              <w:rPr>
                <w:rFonts w:ascii="Arial Narrow" w:hAnsi="Arial Narrow"/>
              </w:rPr>
            </w:r>
          </w:p>
        </w:tc>
        <w:tc>
          <w:tcPr>
            <w:tcBorders>
              <w:bottom w:val="single" w:color="000000" w:sz="4" w:space="0"/>
              <w:right w:val="single" w:color="000000" w:sz="4" w:space="0"/>
            </w:tcBorders>
            <w:tcW w:w="1688" w:type="dxa"/>
            <w:textDirection w:val="lrTb"/>
            <w:noWrap w:val="false"/>
          </w:tcPr>
          <w:p>
            <w:pPr>
              <w:jc w:val="center"/>
              <w:widowControl w:val="off"/>
              <w:rPr>
                <w:rFonts w:ascii="Arial Narrow" w:hAnsi="Arial Narrow"/>
              </w:rPr>
            </w:pPr>
            <w:r>
              <w:rPr>
                <w:rFonts w:ascii="Arial Narrow" w:hAnsi="Arial Narrow"/>
              </w:rPr>
              <w:t xml:space="preserve">0</w:t>
            </w:r>
            <w:r>
              <w:rPr>
                <w:rFonts w:ascii="Arial Narrow" w:hAnsi="Arial Narrow"/>
              </w:rPr>
            </w:r>
            <w:r>
              <w:rPr>
                <w:rFonts w:ascii="Arial Narrow" w:hAnsi="Arial Narrow"/>
              </w:rPr>
            </w:r>
          </w:p>
        </w:tc>
      </w:tr>
      <w:tr>
        <w:trPr>
          <w:jc w:val="center"/>
          <w:trHeight w:val="40"/>
        </w:trPr>
        <w:tc>
          <w:tcPr>
            <w:tcBorders>
              <w:left w:val="single" w:color="000000" w:sz="4" w:space="0"/>
              <w:bottom w:val="single" w:color="000000" w:sz="4" w:space="0"/>
              <w:right w:val="single" w:color="000000" w:sz="4" w:space="0"/>
            </w:tcBorders>
            <w:tcW w:w="2827"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35 кВ</w:t>
            </w:r>
            <w:r>
              <w:rPr>
                <w:rFonts w:ascii="Arial Narrow" w:hAnsi="Arial Narrow"/>
                <w:sz w:val="20"/>
                <w:szCs w:val="20"/>
              </w:rPr>
            </w:r>
            <w:r>
              <w:rPr>
                <w:rFonts w:ascii="Arial Narrow" w:hAnsi="Arial Narrow"/>
                <w:sz w:val="20"/>
                <w:szCs w:val="20"/>
              </w:rPr>
            </w:r>
          </w:p>
        </w:tc>
        <w:tc>
          <w:tcPr>
            <w:tcBorders>
              <w:bottom w:val="single" w:color="000000" w:sz="4" w:space="0"/>
              <w:right w:val="single" w:color="000000" w:sz="4" w:space="0"/>
            </w:tcBorders>
            <w:tcW w:w="1261"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км</w:t>
            </w:r>
            <w:r>
              <w:rPr>
                <w:rFonts w:ascii="Arial Narrow" w:hAnsi="Arial Narrow"/>
                <w:sz w:val="20"/>
                <w:szCs w:val="20"/>
              </w:rPr>
            </w:r>
            <w:r>
              <w:rPr>
                <w:rFonts w:ascii="Arial Narrow" w:hAnsi="Arial Narrow"/>
                <w:sz w:val="20"/>
                <w:szCs w:val="20"/>
              </w:rPr>
            </w:r>
          </w:p>
        </w:tc>
        <w:tc>
          <w:tcPr>
            <w:tcBorders>
              <w:bottom w:val="single" w:color="000000" w:sz="4" w:space="0"/>
              <w:right w:val="single" w:color="000000" w:sz="4" w:space="0"/>
            </w:tcBorders>
            <w:tcW w:w="1228" w:type="dxa"/>
            <w:textDirection w:val="lrTb"/>
            <w:noWrap w:val="false"/>
          </w:tcPr>
          <w:p>
            <w:pPr>
              <w:jc w:val="center"/>
              <w:widowControl w:val="off"/>
              <w:rPr>
                <w:rFonts w:ascii="Arial Narrow" w:hAnsi="Arial Narrow"/>
              </w:rPr>
            </w:pPr>
            <w:r>
              <w:rPr>
                <w:rFonts w:ascii="Arial Narrow" w:hAnsi="Arial Narrow"/>
              </w:rPr>
              <w:t xml:space="preserve">387,36</w:t>
            </w:r>
            <w:r>
              <w:rPr>
                <w:rFonts w:ascii="Arial Narrow" w:hAnsi="Arial Narrow"/>
              </w:rPr>
            </w:r>
            <w:r>
              <w:rPr>
                <w:rFonts w:ascii="Arial Narrow" w:hAnsi="Arial Narrow"/>
              </w:rPr>
            </w:r>
          </w:p>
        </w:tc>
        <w:tc>
          <w:tcPr>
            <w:tcBorders>
              <w:bottom w:val="single" w:color="000000" w:sz="4" w:space="0"/>
              <w:right w:val="single" w:color="000000" w:sz="4" w:space="0"/>
            </w:tcBorders>
            <w:tcW w:w="985" w:type="dxa"/>
            <w:textDirection w:val="lrTb"/>
            <w:noWrap w:val="false"/>
          </w:tcPr>
          <w:p>
            <w:pPr>
              <w:jc w:val="center"/>
              <w:widowControl w:val="off"/>
              <w:rPr>
                <w:rFonts w:ascii="Arial Narrow" w:hAnsi="Arial Narrow"/>
              </w:rPr>
            </w:pPr>
            <w:r>
              <w:rPr>
                <w:rFonts w:ascii="Arial Narrow" w:hAnsi="Arial Narrow"/>
              </w:rPr>
              <w:t xml:space="preserve">387,36</w:t>
            </w:r>
            <w:r>
              <w:rPr>
                <w:rFonts w:ascii="Arial Narrow" w:hAnsi="Arial Narrow"/>
              </w:rPr>
            </w:r>
            <w:r>
              <w:rPr>
                <w:rFonts w:ascii="Arial Narrow" w:hAnsi="Arial Narrow"/>
              </w:rPr>
            </w:r>
          </w:p>
        </w:tc>
        <w:tc>
          <w:tcPr>
            <w:tcBorders>
              <w:bottom w:val="single" w:color="000000" w:sz="4" w:space="0"/>
              <w:right w:val="single" w:color="000000" w:sz="4" w:space="0"/>
            </w:tcBorders>
            <w:tcW w:w="1444" w:type="dxa"/>
            <w:textDirection w:val="lrTb"/>
            <w:noWrap w:val="false"/>
          </w:tcPr>
          <w:p>
            <w:pPr>
              <w:jc w:val="center"/>
              <w:widowControl w:val="off"/>
              <w:rPr>
                <w:rFonts w:ascii="Arial Narrow" w:hAnsi="Arial Narrow"/>
              </w:rPr>
            </w:pPr>
            <w:r>
              <w:rPr>
                <w:rFonts w:ascii="Arial Narrow" w:hAnsi="Arial Narrow"/>
              </w:rPr>
              <w:t xml:space="preserve">0</w:t>
            </w:r>
            <w:r>
              <w:rPr>
                <w:rFonts w:ascii="Arial Narrow" w:hAnsi="Arial Narrow"/>
              </w:rPr>
            </w:r>
            <w:r>
              <w:rPr>
                <w:rFonts w:ascii="Arial Narrow" w:hAnsi="Arial Narrow"/>
              </w:rPr>
            </w:r>
          </w:p>
        </w:tc>
        <w:tc>
          <w:tcPr>
            <w:tcBorders>
              <w:bottom w:val="single" w:color="000000" w:sz="4" w:space="0"/>
              <w:right w:val="single" w:color="000000" w:sz="4" w:space="0"/>
            </w:tcBorders>
            <w:tcW w:w="908" w:type="dxa"/>
            <w:textDirection w:val="lrTb"/>
            <w:noWrap w:val="false"/>
          </w:tcPr>
          <w:p>
            <w:pPr>
              <w:jc w:val="center"/>
              <w:widowControl w:val="off"/>
              <w:rPr>
                <w:rFonts w:ascii="Arial Narrow" w:hAnsi="Arial Narrow"/>
              </w:rPr>
            </w:pPr>
            <w:r>
              <w:rPr>
                <w:rFonts w:ascii="Arial Narrow" w:hAnsi="Arial Narrow"/>
              </w:rPr>
              <w:t xml:space="preserve">387,36</w:t>
            </w:r>
            <w:r>
              <w:rPr>
                <w:rFonts w:ascii="Arial Narrow" w:hAnsi="Arial Narrow"/>
              </w:rPr>
            </w:r>
            <w:r>
              <w:rPr>
                <w:rFonts w:ascii="Arial Narrow" w:hAnsi="Arial Narrow"/>
              </w:rPr>
            </w:r>
          </w:p>
        </w:tc>
        <w:tc>
          <w:tcPr>
            <w:tcBorders>
              <w:bottom w:val="single" w:color="000000" w:sz="4" w:space="0"/>
              <w:right w:val="single" w:color="000000" w:sz="4" w:space="0"/>
            </w:tcBorders>
            <w:tcW w:w="1688" w:type="dxa"/>
            <w:textDirection w:val="lrTb"/>
            <w:noWrap w:val="false"/>
          </w:tcPr>
          <w:p>
            <w:pPr>
              <w:jc w:val="center"/>
              <w:widowControl w:val="off"/>
              <w:rPr>
                <w:rFonts w:ascii="Arial Narrow" w:hAnsi="Arial Narrow"/>
              </w:rPr>
            </w:pPr>
            <w:r>
              <w:rPr>
                <w:rFonts w:ascii="Arial Narrow" w:hAnsi="Arial Narrow"/>
              </w:rPr>
              <w:t xml:space="preserve">0</w:t>
            </w:r>
            <w:r>
              <w:rPr>
                <w:rFonts w:ascii="Arial Narrow" w:hAnsi="Arial Narrow"/>
              </w:rPr>
            </w:r>
            <w:r>
              <w:rPr>
                <w:rFonts w:ascii="Arial Narrow" w:hAnsi="Arial Narrow"/>
              </w:rPr>
            </w:r>
          </w:p>
        </w:tc>
      </w:tr>
      <w:tr>
        <w:trPr>
          <w:jc w:val="center"/>
          <w:trHeight w:val="40"/>
        </w:trPr>
        <w:tc>
          <w:tcPr>
            <w:tcBorders>
              <w:left w:val="single" w:color="000000" w:sz="4" w:space="0"/>
              <w:bottom w:val="single" w:color="000000" w:sz="4" w:space="0"/>
              <w:right w:val="single" w:color="000000" w:sz="4" w:space="0"/>
            </w:tcBorders>
            <w:tcW w:w="2827"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10 кВ</w:t>
            </w:r>
            <w:r>
              <w:rPr>
                <w:rFonts w:ascii="Arial Narrow" w:hAnsi="Arial Narrow"/>
                <w:sz w:val="20"/>
                <w:szCs w:val="20"/>
              </w:rPr>
            </w:r>
            <w:r>
              <w:rPr>
                <w:rFonts w:ascii="Arial Narrow" w:hAnsi="Arial Narrow"/>
                <w:sz w:val="20"/>
                <w:szCs w:val="20"/>
              </w:rPr>
            </w:r>
          </w:p>
        </w:tc>
        <w:tc>
          <w:tcPr>
            <w:tcBorders>
              <w:bottom w:val="single" w:color="000000" w:sz="4" w:space="0"/>
              <w:right w:val="single" w:color="000000" w:sz="4" w:space="0"/>
            </w:tcBorders>
            <w:tcW w:w="1261"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км</w:t>
            </w:r>
            <w:r>
              <w:rPr>
                <w:rFonts w:ascii="Arial Narrow" w:hAnsi="Arial Narrow"/>
                <w:sz w:val="20"/>
                <w:szCs w:val="20"/>
              </w:rPr>
            </w:r>
            <w:r>
              <w:rPr>
                <w:rFonts w:ascii="Arial Narrow" w:hAnsi="Arial Narrow"/>
                <w:sz w:val="20"/>
                <w:szCs w:val="20"/>
              </w:rPr>
            </w:r>
          </w:p>
        </w:tc>
        <w:tc>
          <w:tcPr>
            <w:tcBorders>
              <w:bottom w:val="single" w:color="000000" w:sz="4" w:space="0"/>
              <w:right w:val="single" w:color="000000" w:sz="4" w:space="0"/>
            </w:tcBorders>
            <w:tcW w:w="1228" w:type="dxa"/>
            <w:textDirection w:val="lrTb"/>
            <w:noWrap w:val="false"/>
          </w:tcPr>
          <w:p>
            <w:pPr>
              <w:jc w:val="center"/>
              <w:widowControl w:val="off"/>
              <w:rPr>
                <w:rFonts w:ascii="Arial Narrow" w:hAnsi="Arial Narrow"/>
              </w:rPr>
            </w:pPr>
            <w:r>
              <w:rPr>
                <w:rFonts w:ascii="Arial Narrow" w:hAnsi="Arial Narrow"/>
              </w:rPr>
              <w:t xml:space="preserve">370,62</w:t>
            </w:r>
            <w:r>
              <w:rPr>
                <w:rFonts w:ascii="Arial Narrow" w:hAnsi="Arial Narrow"/>
              </w:rPr>
            </w:r>
            <w:r>
              <w:rPr>
                <w:rFonts w:ascii="Arial Narrow" w:hAnsi="Arial Narrow"/>
              </w:rPr>
            </w:r>
          </w:p>
        </w:tc>
        <w:tc>
          <w:tcPr>
            <w:tcBorders>
              <w:bottom w:val="single" w:color="000000" w:sz="4" w:space="0"/>
              <w:right w:val="single" w:color="000000" w:sz="4" w:space="0"/>
            </w:tcBorders>
            <w:tcW w:w="985" w:type="dxa"/>
            <w:textDirection w:val="lrTb"/>
            <w:noWrap w:val="false"/>
          </w:tcPr>
          <w:p>
            <w:pPr>
              <w:jc w:val="center"/>
              <w:widowControl w:val="off"/>
              <w:rPr>
                <w:rFonts w:ascii="Arial Narrow" w:hAnsi="Arial Narrow"/>
              </w:rPr>
            </w:pPr>
            <w:r>
              <w:rPr>
                <w:rFonts w:ascii="Arial Narrow" w:hAnsi="Arial Narrow"/>
              </w:rPr>
              <w:t xml:space="preserve">393,77</w:t>
            </w:r>
            <w:r>
              <w:rPr>
                <w:rFonts w:ascii="Arial Narrow" w:hAnsi="Arial Narrow"/>
              </w:rPr>
            </w:r>
            <w:r>
              <w:rPr>
                <w:rFonts w:ascii="Arial Narrow" w:hAnsi="Arial Narrow"/>
              </w:rPr>
            </w:r>
          </w:p>
        </w:tc>
        <w:tc>
          <w:tcPr>
            <w:tcBorders>
              <w:bottom w:val="single" w:color="000000" w:sz="4" w:space="0"/>
              <w:right w:val="single" w:color="000000" w:sz="4" w:space="0"/>
            </w:tcBorders>
            <w:tcW w:w="1444" w:type="dxa"/>
            <w:textDirection w:val="lrTb"/>
            <w:noWrap w:val="false"/>
          </w:tcPr>
          <w:p>
            <w:pPr>
              <w:jc w:val="center"/>
              <w:widowControl w:val="off"/>
              <w:rPr>
                <w:rFonts w:ascii="Arial Narrow" w:hAnsi="Arial Narrow"/>
              </w:rPr>
            </w:pPr>
            <w:r>
              <w:rPr>
                <w:rFonts w:ascii="Arial Narrow" w:hAnsi="Arial Narrow"/>
              </w:rPr>
              <w:t xml:space="preserve">23,15</w:t>
            </w:r>
            <w:r>
              <w:rPr>
                <w:rFonts w:ascii="Arial Narrow" w:hAnsi="Arial Narrow"/>
              </w:rPr>
            </w:r>
            <w:r>
              <w:rPr>
                <w:rFonts w:ascii="Arial Narrow" w:hAnsi="Arial Narrow"/>
              </w:rPr>
            </w:r>
          </w:p>
        </w:tc>
        <w:tc>
          <w:tcPr>
            <w:tcBorders>
              <w:bottom w:val="single" w:color="000000" w:sz="4" w:space="0"/>
              <w:right w:val="single" w:color="000000" w:sz="4" w:space="0"/>
            </w:tcBorders>
            <w:tcW w:w="908" w:type="dxa"/>
            <w:textDirection w:val="lrTb"/>
            <w:noWrap w:val="false"/>
          </w:tcPr>
          <w:p>
            <w:pPr>
              <w:jc w:val="center"/>
              <w:widowControl w:val="off"/>
              <w:rPr>
                <w:rFonts w:ascii="Arial Narrow" w:hAnsi="Arial Narrow"/>
              </w:rPr>
            </w:pPr>
            <w:r>
              <w:rPr>
                <w:rFonts w:ascii="Arial Narrow" w:hAnsi="Arial Narrow"/>
              </w:rPr>
              <w:t xml:space="preserve">434,24</w:t>
            </w:r>
            <w:r>
              <w:rPr>
                <w:rFonts w:ascii="Arial Narrow" w:hAnsi="Arial Narrow"/>
              </w:rPr>
            </w:r>
            <w:r>
              <w:rPr>
                <w:rFonts w:ascii="Arial Narrow" w:hAnsi="Arial Narrow"/>
              </w:rPr>
            </w:r>
          </w:p>
        </w:tc>
        <w:tc>
          <w:tcPr>
            <w:tcBorders>
              <w:bottom w:val="single" w:color="000000" w:sz="4" w:space="0"/>
              <w:right w:val="single" w:color="000000" w:sz="4" w:space="0"/>
            </w:tcBorders>
            <w:tcW w:w="1688" w:type="dxa"/>
            <w:textDirection w:val="lrTb"/>
            <w:noWrap w:val="false"/>
          </w:tcPr>
          <w:p>
            <w:pPr>
              <w:jc w:val="center"/>
              <w:widowControl w:val="off"/>
              <w:rPr>
                <w:rFonts w:ascii="Arial Narrow" w:hAnsi="Arial Narrow"/>
              </w:rPr>
            </w:pPr>
            <w:r>
              <w:rPr>
                <w:rFonts w:ascii="Arial Narrow" w:hAnsi="Arial Narrow"/>
              </w:rPr>
              <w:t xml:space="preserve">40,47</w:t>
            </w:r>
            <w:r>
              <w:rPr>
                <w:rFonts w:ascii="Arial Narrow" w:hAnsi="Arial Narrow"/>
              </w:rPr>
            </w:r>
            <w:r>
              <w:rPr>
                <w:rFonts w:ascii="Arial Narrow" w:hAnsi="Arial Narrow"/>
              </w:rPr>
            </w:r>
          </w:p>
        </w:tc>
      </w:tr>
      <w:tr>
        <w:trPr>
          <w:jc w:val="center"/>
          <w:trHeight w:val="40"/>
        </w:trPr>
        <w:tc>
          <w:tcPr>
            <w:tcBorders>
              <w:left w:val="single" w:color="000000" w:sz="4" w:space="0"/>
              <w:bottom w:val="single" w:color="000000" w:sz="4" w:space="0"/>
              <w:right w:val="single" w:color="000000" w:sz="4" w:space="0"/>
            </w:tcBorders>
            <w:tcW w:w="2827"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6 кВ</w:t>
            </w:r>
            <w:r>
              <w:rPr>
                <w:rFonts w:ascii="Arial Narrow" w:hAnsi="Arial Narrow"/>
                <w:sz w:val="20"/>
                <w:szCs w:val="20"/>
              </w:rPr>
            </w:r>
            <w:r>
              <w:rPr>
                <w:rFonts w:ascii="Arial Narrow" w:hAnsi="Arial Narrow"/>
                <w:sz w:val="20"/>
                <w:szCs w:val="20"/>
              </w:rPr>
            </w:r>
          </w:p>
        </w:tc>
        <w:tc>
          <w:tcPr>
            <w:tcBorders>
              <w:bottom w:val="single" w:color="000000" w:sz="4" w:space="0"/>
              <w:right w:val="single" w:color="000000" w:sz="4" w:space="0"/>
            </w:tcBorders>
            <w:tcW w:w="1261"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км</w:t>
            </w:r>
            <w:r>
              <w:rPr>
                <w:rFonts w:ascii="Arial Narrow" w:hAnsi="Arial Narrow"/>
                <w:sz w:val="20"/>
                <w:szCs w:val="20"/>
              </w:rPr>
            </w:r>
            <w:r>
              <w:rPr>
                <w:rFonts w:ascii="Arial Narrow" w:hAnsi="Arial Narrow"/>
                <w:sz w:val="20"/>
                <w:szCs w:val="20"/>
              </w:rPr>
            </w:r>
          </w:p>
        </w:tc>
        <w:tc>
          <w:tcPr>
            <w:tcBorders>
              <w:bottom w:val="single" w:color="000000" w:sz="4" w:space="0"/>
              <w:right w:val="single" w:color="000000" w:sz="4" w:space="0"/>
            </w:tcBorders>
            <w:tcW w:w="1228" w:type="dxa"/>
            <w:textDirection w:val="lrTb"/>
            <w:noWrap w:val="false"/>
          </w:tcPr>
          <w:p>
            <w:pPr>
              <w:jc w:val="center"/>
              <w:widowControl w:val="off"/>
              <w:rPr>
                <w:rFonts w:ascii="Arial Narrow" w:hAnsi="Arial Narrow"/>
              </w:rPr>
            </w:pPr>
            <w:r>
              <w:rPr>
                <w:rFonts w:ascii="Arial Narrow" w:hAnsi="Arial Narrow"/>
              </w:rPr>
              <w:t xml:space="preserve">102,44</w:t>
            </w:r>
            <w:r>
              <w:rPr>
                <w:rFonts w:ascii="Arial Narrow" w:hAnsi="Arial Narrow"/>
              </w:rPr>
            </w:r>
            <w:r>
              <w:rPr>
                <w:rFonts w:ascii="Arial Narrow" w:hAnsi="Arial Narrow"/>
              </w:rPr>
            </w:r>
          </w:p>
        </w:tc>
        <w:tc>
          <w:tcPr>
            <w:tcBorders>
              <w:bottom w:val="single" w:color="000000" w:sz="4" w:space="0"/>
              <w:right w:val="single" w:color="000000" w:sz="4" w:space="0"/>
            </w:tcBorders>
            <w:tcW w:w="985" w:type="dxa"/>
            <w:textDirection w:val="lrTb"/>
            <w:noWrap w:val="false"/>
          </w:tcPr>
          <w:p>
            <w:pPr>
              <w:jc w:val="center"/>
              <w:widowControl w:val="off"/>
              <w:rPr>
                <w:rFonts w:ascii="Arial Narrow" w:hAnsi="Arial Narrow"/>
              </w:rPr>
            </w:pPr>
            <w:r>
              <w:rPr>
                <w:rFonts w:ascii="Arial Narrow" w:hAnsi="Arial Narrow"/>
              </w:rPr>
              <w:t xml:space="preserve">105,59</w:t>
            </w:r>
            <w:r>
              <w:rPr>
                <w:rFonts w:ascii="Arial Narrow" w:hAnsi="Arial Narrow"/>
              </w:rPr>
            </w:r>
            <w:r>
              <w:rPr>
                <w:rFonts w:ascii="Arial Narrow" w:hAnsi="Arial Narrow"/>
              </w:rPr>
            </w:r>
          </w:p>
        </w:tc>
        <w:tc>
          <w:tcPr>
            <w:tcBorders>
              <w:bottom w:val="single" w:color="000000" w:sz="4" w:space="0"/>
              <w:right w:val="single" w:color="000000" w:sz="4" w:space="0"/>
            </w:tcBorders>
            <w:tcW w:w="1444" w:type="dxa"/>
            <w:textDirection w:val="lrTb"/>
            <w:noWrap w:val="false"/>
          </w:tcPr>
          <w:p>
            <w:pPr>
              <w:jc w:val="center"/>
              <w:widowControl w:val="off"/>
              <w:rPr>
                <w:rFonts w:ascii="Arial Narrow" w:hAnsi="Arial Narrow"/>
              </w:rPr>
            </w:pPr>
            <w:r>
              <w:rPr>
                <w:rFonts w:ascii="Arial Narrow" w:hAnsi="Arial Narrow"/>
              </w:rPr>
              <w:t xml:space="preserve">3,15</w:t>
            </w:r>
            <w:r>
              <w:rPr>
                <w:rFonts w:ascii="Arial Narrow" w:hAnsi="Arial Narrow"/>
              </w:rPr>
            </w:r>
            <w:r>
              <w:rPr>
                <w:rFonts w:ascii="Arial Narrow" w:hAnsi="Arial Narrow"/>
              </w:rPr>
            </w:r>
          </w:p>
        </w:tc>
        <w:tc>
          <w:tcPr>
            <w:tcBorders>
              <w:bottom w:val="single" w:color="000000" w:sz="4" w:space="0"/>
              <w:right w:val="single" w:color="000000" w:sz="4" w:space="0"/>
            </w:tcBorders>
            <w:tcW w:w="908" w:type="dxa"/>
            <w:textDirection w:val="lrTb"/>
            <w:noWrap w:val="false"/>
          </w:tcPr>
          <w:p>
            <w:pPr>
              <w:jc w:val="center"/>
              <w:widowControl w:val="off"/>
              <w:rPr>
                <w:rFonts w:ascii="Arial Narrow" w:hAnsi="Arial Narrow"/>
              </w:rPr>
            </w:pPr>
            <w:r>
              <w:rPr>
                <w:rFonts w:ascii="Arial Narrow" w:hAnsi="Arial Narrow"/>
              </w:rPr>
              <w:t xml:space="preserve">113,95</w:t>
            </w:r>
            <w:r>
              <w:rPr>
                <w:rFonts w:ascii="Arial Narrow" w:hAnsi="Arial Narrow"/>
              </w:rPr>
            </w:r>
            <w:r>
              <w:rPr>
                <w:rFonts w:ascii="Arial Narrow" w:hAnsi="Arial Narrow"/>
              </w:rPr>
            </w:r>
          </w:p>
        </w:tc>
        <w:tc>
          <w:tcPr>
            <w:tcBorders>
              <w:bottom w:val="single" w:color="000000" w:sz="4" w:space="0"/>
              <w:right w:val="single" w:color="000000" w:sz="4" w:space="0"/>
            </w:tcBorders>
            <w:tcW w:w="1688" w:type="dxa"/>
            <w:textDirection w:val="lrTb"/>
            <w:noWrap w:val="false"/>
          </w:tcPr>
          <w:p>
            <w:pPr>
              <w:jc w:val="center"/>
              <w:widowControl w:val="off"/>
              <w:rPr>
                <w:rFonts w:ascii="Arial Narrow" w:hAnsi="Arial Narrow"/>
              </w:rPr>
            </w:pPr>
            <w:r>
              <w:rPr>
                <w:rFonts w:ascii="Arial Narrow" w:hAnsi="Arial Narrow"/>
              </w:rPr>
              <w:t xml:space="preserve">8,36</w:t>
            </w:r>
            <w:r>
              <w:rPr>
                <w:rFonts w:ascii="Arial Narrow" w:hAnsi="Arial Narrow"/>
              </w:rPr>
            </w:r>
            <w:r>
              <w:rPr>
                <w:rFonts w:ascii="Arial Narrow" w:hAnsi="Arial Narrow"/>
              </w:rPr>
            </w:r>
          </w:p>
        </w:tc>
      </w:tr>
      <w:tr>
        <w:trPr>
          <w:jc w:val="center"/>
          <w:trHeight w:val="40"/>
        </w:trPr>
        <w:tc>
          <w:tcPr>
            <w:tcBorders>
              <w:left w:val="single" w:color="000000" w:sz="4" w:space="0"/>
              <w:bottom w:val="single" w:color="000000" w:sz="4" w:space="0"/>
              <w:right w:val="single" w:color="000000" w:sz="4" w:space="0"/>
            </w:tcBorders>
            <w:tcW w:w="2827"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0,4 кВ и ниже</w:t>
            </w:r>
            <w:r>
              <w:rPr>
                <w:rFonts w:ascii="Arial Narrow" w:hAnsi="Arial Narrow"/>
                <w:sz w:val="20"/>
                <w:szCs w:val="20"/>
              </w:rPr>
            </w:r>
            <w:r>
              <w:rPr>
                <w:rFonts w:ascii="Arial Narrow" w:hAnsi="Arial Narrow"/>
                <w:sz w:val="20"/>
                <w:szCs w:val="20"/>
              </w:rPr>
            </w:r>
          </w:p>
        </w:tc>
        <w:tc>
          <w:tcPr>
            <w:tcBorders>
              <w:bottom w:val="single" w:color="000000" w:sz="4" w:space="0"/>
              <w:right w:val="single" w:color="000000" w:sz="4" w:space="0"/>
            </w:tcBorders>
            <w:tcW w:w="1261"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км</w:t>
            </w:r>
            <w:r>
              <w:rPr>
                <w:rFonts w:ascii="Arial Narrow" w:hAnsi="Arial Narrow"/>
                <w:sz w:val="20"/>
                <w:szCs w:val="20"/>
              </w:rPr>
            </w:r>
            <w:r>
              <w:rPr>
                <w:rFonts w:ascii="Arial Narrow" w:hAnsi="Arial Narrow"/>
                <w:sz w:val="20"/>
                <w:szCs w:val="20"/>
              </w:rPr>
            </w:r>
          </w:p>
        </w:tc>
        <w:tc>
          <w:tcPr>
            <w:tcBorders>
              <w:bottom w:val="single" w:color="000000" w:sz="4" w:space="0"/>
              <w:right w:val="single" w:color="000000" w:sz="4" w:space="0"/>
            </w:tcBorders>
            <w:tcW w:w="1228" w:type="dxa"/>
            <w:textDirection w:val="lrTb"/>
            <w:noWrap w:val="false"/>
          </w:tcPr>
          <w:p>
            <w:pPr>
              <w:jc w:val="center"/>
              <w:widowControl w:val="off"/>
              <w:rPr>
                <w:rFonts w:ascii="Arial Narrow" w:hAnsi="Arial Narrow"/>
              </w:rPr>
            </w:pPr>
            <w:r>
              <w:rPr>
                <w:rFonts w:ascii="Arial Narrow" w:hAnsi="Arial Narrow"/>
              </w:rPr>
              <w:t xml:space="preserve">628,95</w:t>
            </w:r>
            <w:r>
              <w:rPr>
                <w:rFonts w:ascii="Arial Narrow" w:hAnsi="Arial Narrow"/>
              </w:rPr>
            </w:r>
            <w:r>
              <w:rPr>
                <w:rFonts w:ascii="Arial Narrow" w:hAnsi="Arial Narrow"/>
              </w:rPr>
            </w:r>
          </w:p>
        </w:tc>
        <w:tc>
          <w:tcPr>
            <w:tcBorders>
              <w:bottom w:val="single" w:color="000000" w:sz="4" w:space="0"/>
              <w:right w:val="single" w:color="000000" w:sz="4" w:space="0"/>
            </w:tcBorders>
            <w:tcW w:w="985" w:type="dxa"/>
            <w:textDirection w:val="lrTb"/>
            <w:noWrap w:val="false"/>
          </w:tcPr>
          <w:p>
            <w:pPr>
              <w:jc w:val="center"/>
              <w:widowControl w:val="off"/>
              <w:rPr>
                <w:rFonts w:ascii="Arial Narrow" w:hAnsi="Arial Narrow"/>
              </w:rPr>
            </w:pPr>
            <w:r>
              <w:rPr>
                <w:rFonts w:ascii="Arial Narrow" w:hAnsi="Arial Narrow"/>
              </w:rPr>
              <w:t xml:space="preserve">633,14</w:t>
            </w:r>
            <w:r>
              <w:rPr>
                <w:rFonts w:ascii="Arial Narrow" w:hAnsi="Arial Narrow"/>
              </w:rPr>
            </w:r>
            <w:r>
              <w:rPr>
                <w:rFonts w:ascii="Arial Narrow" w:hAnsi="Arial Narrow"/>
              </w:rPr>
            </w:r>
          </w:p>
        </w:tc>
        <w:tc>
          <w:tcPr>
            <w:tcBorders>
              <w:bottom w:val="single" w:color="000000" w:sz="4" w:space="0"/>
              <w:right w:val="single" w:color="000000" w:sz="4" w:space="0"/>
            </w:tcBorders>
            <w:tcW w:w="1444" w:type="dxa"/>
            <w:textDirection w:val="lrTb"/>
            <w:noWrap w:val="false"/>
          </w:tcPr>
          <w:p>
            <w:pPr>
              <w:jc w:val="center"/>
              <w:widowControl w:val="off"/>
              <w:rPr>
                <w:rFonts w:ascii="Arial Narrow" w:hAnsi="Arial Narrow"/>
              </w:rPr>
            </w:pPr>
            <w:r>
              <w:rPr>
                <w:rFonts w:ascii="Arial Narrow" w:hAnsi="Arial Narrow"/>
              </w:rPr>
              <w:t xml:space="preserve">4,19</w:t>
            </w:r>
            <w:r>
              <w:rPr>
                <w:rFonts w:ascii="Arial Narrow" w:hAnsi="Arial Narrow"/>
              </w:rPr>
            </w:r>
            <w:r>
              <w:rPr>
                <w:rFonts w:ascii="Arial Narrow" w:hAnsi="Arial Narrow"/>
              </w:rPr>
            </w:r>
          </w:p>
        </w:tc>
        <w:tc>
          <w:tcPr>
            <w:tcBorders>
              <w:bottom w:val="single" w:color="000000" w:sz="4" w:space="0"/>
              <w:right w:val="single" w:color="000000" w:sz="4" w:space="0"/>
            </w:tcBorders>
            <w:tcW w:w="908" w:type="dxa"/>
            <w:textDirection w:val="lrTb"/>
            <w:noWrap w:val="false"/>
          </w:tcPr>
          <w:p>
            <w:pPr>
              <w:jc w:val="center"/>
              <w:widowControl w:val="off"/>
              <w:rPr>
                <w:rFonts w:ascii="Arial Narrow" w:hAnsi="Arial Narrow"/>
              </w:rPr>
            </w:pPr>
            <w:r>
              <w:rPr>
                <w:rFonts w:ascii="Arial Narrow" w:hAnsi="Arial Narrow"/>
              </w:rPr>
              <w:t xml:space="preserve">658,82</w:t>
            </w:r>
            <w:r>
              <w:rPr>
                <w:rFonts w:ascii="Arial Narrow" w:hAnsi="Arial Narrow"/>
              </w:rPr>
            </w:r>
            <w:r>
              <w:rPr>
                <w:rFonts w:ascii="Arial Narrow" w:hAnsi="Arial Narrow"/>
              </w:rPr>
            </w:r>
          </w:p>
        </w:tc>
        <w:tc>
          <w:tcPr>
            <w:tcBorders>
              <w:bottom w:val="single" w:color="000000" w:sz="4" w:space="0"/>
              <w:right w:val="single" w:color="000000" w:sz="4" w:space="0"/>
            </w:tcBorders>
            <w:tcW w:w="1688" w:type="dxa"/>
            <w:textDirection w:val="lrTb"/>
            <w:noWrap w:val="false"/>
          </w:tcPr>
          <w:p>
            <w:pPr>
              <w:jc w:val="center"/>
              <w:widowControl w:val="off"/>
              <w:rPr>
                <w:rFonts w:ascii="Arial Narrow" w:hAnsi="Arial Narrow"/>
              </w:rPr>
            </w:pPr>
            <w:r>
              <w:rPr>
                <w:rFonts w:ascii="Arial Narrow" w:hAnsi="Arial Narrow"/>
              </w:rPr>
              <w:t xml:space="preserve">25,68</w:t>
            </w:r>
            <w:r>
              <w:rPr>
                <w:rFonts w:ascii="Arial Narrow" w:hAnsi="Arial Narrow"/>
              </w:rPr>
            </w:r>
            <w:r>
              <w:rPr>
                <w:rFonts w:ascii="Arial Narrow" w:hAnsi="Arial Narrow"/>
              </w:rPr>
            </w:r>
          </w:p>
        </w:tc>
      </w:tr>
      <w:tr>
        <w:trPr>
          <w:jc w:val="center"/>
          <w:trHeight w:val="40"/>
        </w:trPr>
        <w:tc>
          <w:tcPr>
            <w:tcBorders>
              <w:left w:val="single" w:color="000000" w:sz="4" w:space="0"/>
              <w:bottom w:val="single" w:color="000000" w:sz="4" w:space="0"/>
              <w:right w:val="single" w:color="000000" w:sz="4" w:space="0"/>
            </w:tcBorders>
            <w:tcW w:w="2827"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bCs/>
                <w:sz w:val="20"/>
                <w:szCs w:val="20"/>
              </w:rPr>
              <w:t xml:space="preserve">КЛ, в т.ч.</w:t>
            </w:r>
            <w:r>
              <w:rPr>
                <w:rFonts w:ascii="Arial Narrow" w:hAnsi="Arial Narrow"/>
                <w:sz w:val="20"/>
                <w:szCs w:val="20"/>
              </w:rPr>
            </w:r>
            <w:r>
              <w:rPr>
                <w:rFonts w:ascii="Arial Narrow" w:hAnsi="Arial Narrow"/>
                <w:sz w:val="20"/>
                <w:szCs w:val="20"/>
              </w:rPr>
            </w:r>
          </w:p>
        </w:tc>
        <w:tc>
          <w:tcPr>
            <w:tcBorders>
              <w:bottom w:val="single" w:color="000000" w:sz="4" w:space="0"/>
              <w:right w:val="single" w:color="000000" w:sz="4" w:space="0"/>
            </w:tcBorders>
            <w:tcW w:w="1261"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bCs/>
                <w:sz w:val="20"/>
                <w:szCs w:val="20"/>
              </w:rPr>
              <w:t xml:space="preserve">км</w:t>
            </w:r>
            <w:r>
              <w:rPr>
                <w:rFonts w:ascii="Arial Narrow" w:hAnsi="Arial Narrow"/>
                <w:sz w:val="20"/>
                <w:szCs w:val="20"/>
              </w:rPr>
            </w:r>
            <w:r>
              <w:rPr>
                <w:rFonts w:ascii="Arial Narrow" w:hAnsi="Arial Narrow"/>
                <w:sz w:val="20"/>
                <w:szCs w:val="20"/>
              </w:rPr>
            </w:r>
          </w:p>
        </w:tc>
        <w:tc>
          <w:tcPr>
            <w:tcBorders>
              <w:bottom w:val="single" w:color="000000" w:sz="4" w:space="0"/>
              <w:right w:val="single" w:color="000000" w:sz="4" w:space="0"/>
            </w:tcBorders>
            <w:tcW w:w="1228" w:type="dxa"/>
            <w:textDirection w:val="lrTb"/>
            <w:noWrap w:val="false"/>
          </w:tcPr>
          <w:p>
            <w:pPr>
              <w:jc w:val="center"/>
              <w:widowControl w:val="off"/>
              <w:rPr>
                <w:rFonts w:ascii="Arial Narrow" w:hAnsi="Arial Narrow"/>
              </w:rPr>
            </w:pPr>
            <w:r>
              <w:rPr>
                <w:rFonts w:ascii="Arial Narrow" w:hAnsi="Arial Narrow"/>
              </w:rPr>
              <w:t xml:space="preserve">1 427,89</w:t>
            </w:r>
            <w:r>
              <w:rPr>
                <w:rFonts w:ascii="Arial Narrow" w:hAnsi="Arial Narrow"/>
              </w:rPr>
            </w:r>
            <w:r>
              <w:rPr>
                <w:rFonts w:ascii="Arial Narrow" w:hAnsi="Arial Narrow"/>
              </w:rPr>
            </w:r>
          </w:p>
        </w:tc>
        <w:tc>
          <w:tcPr>
            <w:tcBorders>
              <w:bottom w:val="single" w:color="000000" w:sz="4" w:space="0"/>
              <w:right w:val="single" w:color="000000" w:sz="4" w:space="0"/>
            </w:tcBorders>
            <w:tcW w:w="985" w:type="dxa"/>
            <w:textDirection w:val="lrTb"/>
            <w:noWrap w:val="false"/>
          </w:tcPr>
          <w:p>
            <w:pPr>
              <w:jc w:val="center"/>
              <w:widowControl w:val="off"/>
              <w:rPr>
                <w:rFonts w:ascii="Arial Narrow" w:hAnsi="Arial Narrow"/>
              </w:rPr>
            </w:pPr>
            <w:r>
              <w:rPr>
                <w:rFonts w:ascii="Arial Narrow" w:hAnsi="Arial Narrow"/>
              </w:rPr>
              <w:t xml:space="preserve">1 549,74</w:t>
            </w:r>
            <w:r>
              <w:rPr>
                <w:rFonts w:ascii="Arial Narrow" w:hAnsi="Arial Narrow"/>
              </w:rPr>
            </w:r>
            <w:r>
              <w:rPr>
                <w:rFonts w:ascii="Arial Narrow" w:hAnsi="Arial Narrow"/>
              </w:rPr>
            </w:r>
          </w:p>
        </w:tc>
        <w:tc>
          <w:tcPr>
            <w:tcBorders>
              <w:bottom w:val="single" w:color="000000" w:sz="4" w:space="0"/>
              <w:right w:val="single" w:color="000000" w:sz="4" w:space="0"/>
            </w:tcBorders>
            <w:tcW w:w="1444" w:type="dxa"/>
            <w:textDirection w:val="lrTb"/>
            <w:noWrap w:val="false"/>
          </w:tcPr>
          <w:p>
            <w:pPr>
              <w:jc w:val="center"/>
              <w:widowControl w:val="off"/>
              <w:rPr>
                <w:rFonts w:ascii="Arial Narrow" w:hAnsi="Arial Narrow"/>
              </w:rPr>
            </w:pPr>
            <w:r>
              <w:rPr>
                <w:rFonts w:ascii="Arial Narrow" w:hAnsi="Arial Narrow"/>
              </w:rPr>
              <w:t xml:space="preserve">121,85</w:t>
            </w:r>
            <w:r>
              <w:rPr>
                <w:rFonts w:ascii="Arial Narrow" w:hAnsi="Arial Narrow"/>
              </w:rPr>
            </w:r>
            <w:r>
              <w:rPr>
                <w:rFonts w:ascii="Arial Narrow" w:hAnsi="Arial Narrow"/>
              </w:rPr>
            </w:r>
          </w:p>
        </w:tc>
        <w:tc>
          <w:tcPr>
            <w:tcBorders>
              <w:bottom w:val="single" w:color="000000" w:sz="4" w:space="0"/>
              <w:right w:val="single" w:color="000000" w:sz="4" w:space="0"/>
            </w:tcBorders>
            <w:tcW w:w="908" w:type="dxa"/>
            <w:textDirection w:val="lrTb"/>
            <w:noWrap w:val="false"/>
          </w:tcPr>
          <w:p>
            <w:pPr>
              <w:jc w:val="center"/>
              <w:widowControl w:val="off"/>
              <w:rPr>
                <w:rFonts w:ascii="Arial Narrow" w:hAnsi="Arial Narrow"/>
              </w:rPr>
            </w:pPr>
            <w:r>
              <w:rPr>
                <w:rFonts w:ascii="Arial Narrow" w:hAnsi="Arial Narrow"/>
              </w:rPr>
              <w:t xml:space="preserve">1 615,93</w:t>
            </w:r>
            <w:r>
              <w:rPr>
                <w:rFonts w:ascii="Arial Narrow" w:hAnsi="Arial Narrow"/>
              </w:rPr>
            </w:r>
            <w:r>
              <w:rPr>
                <w:rFonts w:ascii="Arial Narrow" w:hAnsi="Arial Narrow"/>
              </w:rPr>
            </w:r>
          </w:p>
        </w:tc>
        <w:tc>
          <w:tcPr>
            <w:tcBorders>
              <w:bottom w:val="single" w:color="000000" w:sz="4" w:space="0"/>
              <w:right w:val="single" w:color="000000" w:sz="4" w:space="0"/>
            </w:tcBorders>
            <w:tcW w:w="1688" w:type="dxa"/>
            <w:textDirection w:val="lrTb"/>
            <w:noWrap w:val="false"/>
          </w:tcPr>
          <w:p>
            <w:pPr>
              <w:jc w:val="center"/>
              <w:widowControl w:val="off"/>
              <w:rPr>
                <w:rFonts w:ascii="Arial Narrow" w:hAnsi="Arial Narrow"/>
              </w:rPr>
            </w:pPr>
            <w:r>
              <w:rPr>
                <w:rFonts w:ascii="Arial Narrow" w:hAnsi="Arial Narrow"/>
              </w:rPr>
              <w:t xml:space="preserve">66,19</w:t>
            </w:r>
            <w:r>
              <w:rPr>
                <w:rFonts w:ascii="Arial Narrow" w:hAnsi="Arial Narrow"/>
              </w:rPr>
            </w:r>
            <w:r>
              <w:rPr>
                <w:rFonts w:ascii="Arial Narrow" w:hAnsi="Arial Narrow"/>
              </w:rPr>
            </w:r>
          </w:p>
        </w:tc>
      </w:tr>
      <w:tr>
        <w:trPr>
          <w:jc w:val="center"/>
          <w:trHeight w:val="40"/>
        </w:trPr>
        <w:tc>
          <w:tcPr>
            <w:tcBorders>
              <w:left w:val="single" w:color="000000" w:sz="4" w:space="0"/>
              <w:bottom w:val="single" w:color="000000" w:sz="4" w:space="0"/>
              <w:right w:val="single" w:color="000000" w:sz="4" w:space="0"/>
            </w:tcBorders>
            <w:tcW w:w="2827"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bCs/>
                <w:sz w:val="20"/>
                <w:szCs w:val="20"/>
              </w:rPr>
              <w:t xml:space="preserve">110 кВ</w:t>
            </w:r>
            <w:r>
              <w:rPr>
                <w:rFonts w:ascii="Arial Narrow" w:hAnsi="Arial Narrow"/>
                <w:sz w:val="20"/>
                <w:szCs w:val="20"/>
              </w:rPr>
            </w:r>
            <w:r>
              <w:rPr>
                <w:rFonts w:ascii="Arial Narrow" w:hAnsi="Arial Narrow"/>
                <w:sz w:val="20"/>
                <w:szCs w:val="20"/>
              </w:rPr>
            </w:r>
          </w:p>
        </w:tc>
        <w:tc>
          <w:tcPr>
            <w:tcBorders>
              <w:bottom w:val="single" w:color="000000" w:sz="4" w:space="0"/>
              <w:right w:val="single" w:color="000000" w:sz="4" w:space="0"/>
            </w:tcBorders>
            <w:tcW w:w="1261"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bCs/>
                <w:sz w:val="20"/>
                <w:szCs w:val="20"/>
              </w:rPr>
              <w:t xml:space="preserve">км</w:t>
            </w:r>
            <w:r>
              <w:rPr>
                <w:rFonts w:ascii="Arial Narrow" w:hAnsi="Arial Narrow"/>
                <w:sz w:val="20"/>
                <w:szCs w:val="20"/>
              </w:rPr>
            </w:r>
            <w:r>
              <w:rPr>
                <w:rFonts w:ascii="Arial Narrow" w:hAnsi="Arial Narrow"/>
                <w:sz w:val="20"/>
                <w:szCs w:val="20"/>
              </w:rPr>
            </w:r>
          </w:p>
        </w:tc>
        <w:tc>
          <w:tcPr>
            <w:tcBorders>
              <w:bottom w:val="single" w:color="000000" w:sz="4" w:space="0"/>
              <w:right w:val="single" w:color="000000" w:sz="4" w:space="0"/>
            </w:tcBorders>
            <w:tcW w:w="1228" w:type="dxa"/>
            <w:textDirection w:val="lrTb"/>
            <w:noWrap w:val="false"/>
          </w:tcPr>
          <w:p>
            <w:pPr>
              <w:jc w:val="center"/>
              <w:widowControl w:val="off"/>
              <w:rPr>
                <w:rFonts w:ascii="Arial Narrow" w:hAnsi="Arial Narrow"/>
              </w:rPr>
            </w:pPr>
            <w:r>
              <w:rPr>
                <w:rFonts w:ascii="Arial Narrow" w:hAnsi="Arial Narrow"/>
              </w:rPr>
              <w:t xml:space="preserve">-</w:t>
            </w:r>
            <w:r>
              <w:rPr>
                <w:rFonts w:ascii="Arial Narrow" w:hAnsi="Arial Narrow"/>
              </w:rPr>
            </w:r>
            <w:r>
              <w:rPr>
                <w:rFonts w:ascii="Arial Narrow" w:hAnsi="Arial Narrow"/>
              </w:rPr>
            </w:r>
          </w:p>
        </w:tc>
        <w:tc>
          <w:tcPr>
            <w:tcBorders>
              <w:bottom w:val="single" w:color="000000" w:sz="4" w:space="0"/>
              <w:right w:val="single" w:color="000000" w:sz="4" w:space="0"/>
            </w:tcBorders>
            <w:tcW w:w="985" w:type="dxa"/>
            <w:textDirection w:val="lrTb"/>
            <w:noWrap w:val="false"/>
          </w:tcPr>
          <w:p>
            <w:pPr>
              <w:jc w:val="center"/>
              <w:widowControl w:val="off"/>
              <w:rPr>
                <w:rFonts w:ascii="Arial Narrow" w:hAnsi="Arial Narrow"/>
              </w:rPr>
            </w:pPr>
            <w:r>
              <w:rPr>
                <w:rFonts w:ascii="Arial Narrow" w:hAnsi="Arial Narrow"/>
              </w:rPr>
              <w:t xml:space="preserve">-</w:t>
            </w:r>
            <w:r>
              <w:rPr>
                <w:rFonts w:ascii="Arial Narrow" w:hAnsi="Arial Narrow"/>
              </w:rPr>
            </w:r>
            <w:r>
              <w:rPr>
                <w:rFonts w:ascii="Arial Narrow" w:hAnsi="Arial Narrow"/>
              </w:rPr>
            </w:r>
          </w:p>
        </w:tc>
        <w:tc>
          <w:tcPr>
            <w:tcBorders>
              <w:bottom w:val="single" w:color="000000" w:sz="4" w:space="0"/>
              <w:right w:val="single" w:color="000000" w:sz="4" w:space="0"/>
            </w:tcBorders>
            <w:tcW w:w="1444" w:type="dxa"/>
            <w:textDirection w:val="lrTb"/>
            <w:noWrap w:val="false"/>
          </w:tcPr>
          <w:p>
            <w:pPr>
              <w:jc w:val="center"/>
              <w:widowControl w:val="off"/>
              <w:rPr>
                <w:rFonts w:ascii="Arial Narrow" w:hAnsi="Arial Narrow"/>
              </w:rPr>
            </w:pPr>
            <w:r>
              <w:rPr>
                <w:rFonts w:ascii="Arial Narrow" w:hAnsi="Arial Narrow"/>
              </w:rPr>
              <w:t xml:space="preserve">-</w:t>
            </w:r>
            <w:r>
              <w:rPr>
                <w:rFonts w:ascii="Arial Narrow" w:hAnsi="Arial Narrow"/>
              </w:rPr>
            </w:r>
            <w:r>
              <w:rPr>
                <w:rFonts w:ascii="Arial Narrow" w:hAnsi="Arial Narrow"/>
              </w:rPr>
            </w:r>
          </w:p>
        </w:tc>
        <w:tc>
          <w:tcPr>
            <w:tcBorders>
              <w:bottom w:val="single" w:color="000000" w:sz="4" w:space="0"/>
              <w:right w:val="single" w:color="000000" w:sz="4" w:space="0"/>
            </w:tcBorders>
            <w:tcW w:w="908" w:type="dxa"/>
            <w:textDirection w:val="lrTb"/>
            <w:noWrap w:val="false"/>
          </w:tcPr>
          <w:p>
            <w:pPr>
              <w:jc w:val="center"/>
              <w:widowControl w:val="off"/>
              <w:rPr>
                <w:rFonts w:ascii="Arial Narrow" w:hAnsi="Arial Narrow"/>
              </w:rPr>
            </w:pPr>
            <w:r>
              <w:rPr>
                <w:rFonts w:ascii="Arial Narrow" w:hAnsi="Arial Narrow"/>
              </w:rPr>
              <w:t xml:space="preserve">-</w:t>
            </w:r>
            <w:r>
              <w:rPr>
                <w:rFonts w:ascii="Arial Narrow" w:hAnsi="Arial Narrow"/>
              </w:rPr>
            </w:r>
            <w:r>
              <w:rPr>
                <w:rFonts w:ascii="Arial Narrow" w:hAnsi="Arial Narrow"/>
              </w:rPr>
            </w:r>
          </w:p>
        </w:tc>
        <w:tc>
          <w:tcPr>
            <w:tcBorders>
              <w:bottom w:val="single" w:color="000000" w:sz="4" w:space="0"/>
              <w:right w:val="single" w:color="000000" w:sz="4" w:space="0"/>
            </w:tcBorders>
            <w:tcW w:w="1688" w:type="dxa"/>
            <w:textDirection w:val="lrTb"/>
            <w:noWrap w:val="false"/>
          </w:tcPr>
          <w:p>
            <w:pPr>
              <w:jc w:val="center"/>
              <w:widowControl w:val="off"/>
              <w:rPr>
                <w:rFonts w:ascii="Arial Narrow" w:hAnsi="Arial Narrow"/>
              </w:rPr>
            </w:pPr>
            <w:r>
              <w:rPr>
                <w:rFonts w:ascii="Arial Narrow" w:hAnsi="Arial Narrow"/>
              </w:rPr>
              <w:t xml:space="preserve">-</w:t>
            </w:r>
            <w:r>
              <w:rPr>
                <w:rFonts w:ascii="Arial Narrow" w:hAnsi="Arial Narrow"/>
              </w:rPr>
            </w:r>
            <w:r>
              <w:rPr>
                <w:rFonts w:ascii="Arial Narrow" w:hAnsi="Arial Narrow"/>
              </w:rPr>
            </w:r>
          </w:p>
        </w:tc>
      </w:tr>
      <w:tr>
        <w:trPr>
          <w:jc w:val="center"/>
          <w:trHeight w:val="40"/>
        </w:trPr>
        <w:tc>
          <w:tcPr>
            <w:tcBorders>
              <w:left w:val="single" w:color="000000" w:sz="4" w:space="0"/>
              <w:bottom w:val="single" w:color="000000" w:sz="4" w:space="0"/>
              <w:right w:val="single" w:color="000000" w:sz="4" w:space="0"/>
            </w:tcBorders>
            <w:tcW w:w="2827"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35 кВ</w:t>
            </w:r>
            <w:r>
              <w:rPr>
                <w:rFonts w:ascii="Arial Narrow" w:hAnsi="Arial Narrow"/>
                <w:sz w:val="20"/>
                <w:szCs w:val="20"/>
              </w:rPr>
            </w:r>
            <w:r>
              <w:rPr>
                <w:rFonts w:ascii="Arial Narrow" w:hAnsi="Arial Narrow"/>
                <w:sz w:val="20"/>
                <w:szCs w:val="20"/>
              </w:rPr>
            </w:r>
          </w:p>
        </w:tc>
        <w:tc>
          <w:tcPr>
            <w:tcBorders>
              <w:bottom w:val="single" w:color="000000" w:sz="4" w:space="0"/>
              <w:right w:val="single" w:color="000000" w:sz="4" w:space="0"/>
            </w:tcBorders>
            <w:tcW w:w="1261"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км</w:t>
            </w:r>
            <w:r>
              <w:rPr>
                <w:rFonts w:ascii="Arial Narrow" w:hAnsi="Arial Narrow"/>
                <w:sz w:val="20"/>
                <w:szCs w:val="20"/>
              </w:rPr>
            </w:r>
            <w:r>
              <w:rPr>
                <w:rFonts w:ascii="Arial Narrow" w:hAnsi="Arial Narrow"/>
                <w:sz w:val="20"/>
                <w:szCs w:val="20"/>
              </w:rPr>
            </w:r>
          </w:p>
        </w:tc>
        <w:tc>
          <w:tcPr>
            <w:tcBorders>
              <w:bottom w:val="single" w:color="000000" w:sz="4" w:space="0"/>
              <w:right w:val="single" w:color="000000" w:sz="4" w:space="0"/>
            </w:tcBorders>
            <w:tcW w:w="1228" w:type="dxa"/>
            <w:textDirection w:val="lrTb"/>
            <w:noWrap w:val="false"/>
          </w:tcPr>
          <w:p>
            <w:pPr>
              <w:jc w:val="center"/>
              <w:widowControl w:val="off"/>
              <w:rPr>
                <w:rFonts w:ascii="Arial Narrow" w:hAnsi="Arial Narrow"/>
              </w:rPr>
            </w:pPr>
            <w:r>
              <w:rPr>
                <w:rFonts w:ascii="Arial Narrow" w:hAnsi="Arial Narrow"/>
              </w:rPr>
              <w:t xml:space="preserve">-</w:t>
            </w:r>
            <w:r>
              <w:rPr>
                <w:rFonts w:ascii="Arial Narrow" w:hAnsi="Arial Narrow"/>
              </w:rPr>
            </w:r>
            <w:r>
              <w:rPr>
                <w:rFonts w:ascii="Arial Narrow" w:hAnsi="Arial Narrow"/>
              </w:rPr>
            </w:r>
          </w:p>
        </w:tc>
        <w:tc>
          <w:tcPr>
            <w:tcBorders>
              <w:bottom w:val="single" w:color="000000" w:sz="4" w:space="0"/>
              <w:right w:val="single" w:color="000000" w:sz="4" w:space="0"/>
            </w:tcBorders>
            <w:tcW w:w="985" w:type="dxa"/>
            <w:textDirection w:val="lrTb"/>
            <w:noWrap w:val="false"/>
          </w:tcPr>
          <w:p>
            <w:pPr>
              <w:jc w:val="center"/>
              <w:widowControl w:val="off"/>
              <w:rPr>
                <w:rFonts w:ascii="Arial Narrow" w:hAnsi="Arial Narrow"/>
              </w:rPr>
            </w:pPr>
            <w:r>
              <w:rPr>
                <w:rFonts w:ascii="Arial Narrow" w:hAnsi="Arial Narrow"/>
              </w:rPr>
              <w:t xml:space="preserve">-</w:t>
            </w:r>
            <w:r>
              <w:rPr>
                <w:rFonts w:ascii="Arial Narrow" w:hAnsi="Arial Narrow"/>
              </w:rPr>
            </w:r>
            <w:r>
              <w:rPr>
                <w:rFonts w:ascii="Arial Narrow" w:hAnsi="Arial Narrow"/>
              </w:rPr>
            </w:r>
          </w:p>
        </w:tc>
        <w:tc>
          <w:tcPr>
            <w:tcBorders>
              <w:bottom w:val="single" w:color="000000" w:sz="4" w:space="0"/>
              <w:right w:val="single" w:color="000000" w:sz="4" w:space="0"/>
            </w:tcBorders>
            <w:tcW w:w="1444" w:type="dxa"/>
            <w:textDirection w:val="lrTb"/>
            <w:noWrap w:val="false"/>
          </w:tcPr>
          <w:p>
            <w:pPr>
              <w:jc w:val="center"/>
              <w:widowControl w:val="off"/>
              <w:rPr>
                <w:rFonts w:ascii="Arial Narrow" w:hAnsi="Arial Narrow"/>
              </w:rPr>
            </w:pPr>
            <w:r>
              <w:rPr>
                <w:rFonts w:ascii="Arial Narrow" w:hAnsi="Arial Narrow"/>
              </w:rPr>
              <w:t xml:space="preserve">-</w:t>
            </w:r>
            <w:r>
              <w:rPr>
                <w:rFonts w:ascii="Arial Narrow" w:hAnsi="Arial Narrow"/>
              </w:rPr>
            </w:r>
            <w:r>
              <w:rPr>
                <w:rFonts w:ascii="Arial Narrow" w:hAnsi="Arial Narrow"/>
              </w:rPr>
            </w:r>
          </w:p>
        </w:tc>
        <w:tc>
          <w:tcPr>
            <w:tcBorders>
              <w:bottom w:val="single" w:color="000000" w:sz="4" w:space="0"/>
              <w:right w:val="single" w:color="000000" w:sz="4" w:space="0"/>
            </w:tcBorders>
            <w:tcW w:w="908" w:type="dxa"/>
            <w:textDirection w:val="lrTb"/>
            <w:noWrap w:val="false"/>
          </w:tcPr>
          <w:p>
            <w:pPr>
              <w:jc w:val="center"/>
              <w:widowControl w:val="off"/>
              <w:rPr>
                <w:rFonts w:ascii="Arial Narrow" w:hAnsi="Arial Narrow"/>
              </w:rPr>
            </w:pPr>
            <w:r>
              <w:rPr>
                <w:rFonts w:ascii="Arial Narrow" w:hAnsi="Arial Narrow"/>
              </w:rPr>
              <w:t xml:space="preserve">-</w:t>
            </w:r>
            <w:r>
              <w:rPr>
                <w:rFonts w:ascii="Arial Narrow" w:hAnsi="Arial Narrow"/>
              </w:rPr>
            </w:r>
            <w:r>
              <w:rPr>
                <w:rFonts w:ascii="Arial Narrow" w:hAnsi="Arial Narrow"/>
              </w:rPr>
            </w:r>
          </w:p>
        </w:tc>
        <w:tc>
          <w:tcPr>
            <w:tcBorders>
              <w:bottom w:val="single" w:color="000000" w:sz="4" w:space="0"/>
              <w:right w:val="single" w:color="000000" w:sz="4" w:space="0"/>
            </w:tcBorders>
            <w:tcW w:w="1688" w:type="dxa"/>
            <w:textDirection w:val="lrTb"/>
            <w:noWrap w:val="false"/>
          </w:tcPr>
          <w:p>
            <w:pPr>
              <w:jc w:val="center"/>
              <w:widowControl w:val="off"/>
              <w:rPr>
                <w:rFonts w:ascii="Arial Narrow" w:hAnsi="Arial Narrow"/>
              </w:rPr>
            </w:pPr>
            <w:r>
              <w:rPr>
                <w:rFonts w:ascii="Arial Narrow" w:hAnsi="Arial Narrow"/>
              </w:rPr>
              <w:t xml:space="preserve">-</w:t>
            </w:r>
            <w:r>
              <w:rPr>
                <w:rFonts w:ascii="Arial Narrow" w:hAnsi="Arial Narrow"/>
              </w:rPr>
            </w:r>
            <w:r>
              <w:rPr>
                <w:rFonts w:ascii="Arial Narrow" w:hAnsi="Arial Narrow"/>
              </w:rPr>
            </w:r>
          </w:p>
        </w:tc>
      </w:tr>
      <w:tr>
        <w:trPr>
          <w:jc w:val="center"/>
          <w:trHeight w:val="40"/>
        </w:trPr>
        <w:tc>
          <w:tcPr>
            <w:tcBorders>
              <w:left w:val="single" w:color="000000" w:sz="4" w:space="0"/>
              <w:bottom w:val="single" w:color="000000" w:sz="4" w:space="0"/>
              <w:right w:val="single" w:color="000000" w:sz="4" w:space="0"/>
            </w:tcBorders>
            <w:tcW w:w="2827"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bCs/>
                <w:sz w:val="20"/>
                <w:szCs w:val="20"/>
              </w:rPr>
              <w:t xml:space="preserve">10/6/0,4 кВ, в т.ч.:</w:t>
            </w:r>
            <w:r>
              <w:rPr>
                <w:rFonts w:ascii="Arial Narrow" w:hAnsi="Arial Narrow"/>
                <w:sz w:val="20"/>
                <w:szCs w:val="20"/>
              </w:rPr>
            </w:r>
            <w:r>
              <w:rPr>
                <w:rFonts w:ascii="Arial Narrow" w:hAnsi="Arial Narrow"/>
                <w:sz w:val="20"/>
                <w:szCs w:val="20"/>
              </w:rPr>
            </w:r>
          </w:p>
        </w:tc>
        <w:tc>
          <w:tcPr>
            <w:tcBorders>
              <w:bottom w:val="single" w:color="000000" w:sz="4" w:space="0"/>
              <w:right w:val="single" w:color="000000" w:sz="4" w:space="0"/>
            </w:tcBorders>
            <w:tcW w:w="1261"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bCs/>
                <w:sz w:val="20"/>
                <w:szCs w:val="20"/>
              </w:rPr>
              <w:t xml:space="preserve">км</w:t>
            </w:r>
            <w:r>
              <w:rPr>
                <w:rFonts w:ascii="Arial Narrow" w:hAnsi="Arial Narrow"/>
                <w:sz w:val="20"/>
                <w:szCs w:val="20"/>
              </w:rPr>
            </w:r>
            <w:r>
              <w:rPr>
                <w:rFonts w:ascii="Arial Narrow" w:hAnsi="Arial Narrow"/>
                <w:sz w:val="20"/>
                <w:szCs w:val="20"/>
              </w:rPr>
            </w:r>
          </w:p>
        </w:tc>
        <w:tc>
          <w:tcPr>
            <w:tcBorders>
              <w:bottom w:val="single" w:color="000000" w:sz="4" w:space="0"/>
              <w:right w:val="single" w:color="000000" w:sz="4" w:space="0"/>
            </w:tcBorders>
            <w:tcW w:w="1228" w:type="dxa"/>
            <w:textDirection w:val="lrTb"/>
            <w:noWrap w:val="false"/>
          </w:tcPr>
          <w:p>
            <w:pPr>
              <w:jc w:val="center"/>
              <w:widowControl w:val="off"/>
              <w:rPr>
                <w:rFonts w:ascii="Arial Narrow" w:hAnsi="Arial Narrow"/>
              </w:rPr>
            </w:pPr>
            <w:r>
              <w:rPr>
                <w:rFonts w:ascii="Arial Narrow" w:hAnsi="Arial Narrow"/>
              </w:rPr>
              <w:t xml:space="preserve">1 427,89</w:t>
            </w:r>
            <w:r>
              <w:rPr>
                <w:rFonts w:ascii="Arial Narrow" w:hAnsi="Arial Narrow"/>
              </w:rPr>
            </w:r>
            <w:r>
              <w:rPr>
                <w:rFonts w:ascii="Arial Narrow" w:hAnsi="Arial Narrow"/>
              </w:rPr>
            </w:r>
          </w:p>
        </w:tc>
        <w:tc>
          <w:tcPr>
            <w:tcBorders>
              <w:bottom w:val="single" w:color="000000" w:sz="4" w:space="0"/>
              <w:right w:val="single" w:color="000000" w:sz="4" w:space="0"/>
            </w:tcBorders>
            <w:tcW w:w="985" w:type="dxa"/>
            <w:textDirection w:val="lrTb"/>
            <w:noWrap w:val="false"/>
          </w:tcPr>
          <w:p>
            <w:pPr>
              <w:jc w:val="center"/>
              <w:widowControl w:val="off"/>
              <w:rPr>
                <w:rFonts w:ascii="Arial Narrow" w:hAnsi="Arial Narrow"/>
              </w:rPr>
            </w:pPr>
            <w:r>
              <w:rPr>
                <w:rFonts w:ascii="Arial Narrow" w:hAnsi="Arial Narrow"/>
              </w:rPr>
              <w:t xml:space="preserve">1 549,74</w:t>
            </w:r>
            <w:r>
              <w:rPr>
                <w:rFonts w:ascii="Arial Narrow" w:hAnsi="Arial Narrow"/>
              </w:rPr>
            </w:r>
            <w:r>
              <w:rPr>
                <w:rFonts w:ascii="Arial Narrow" w:hAnsi="Arial Narrow"/>
              </w:rPr>
            </w:r>
          </w:p>
        </w:tc>
        <w:tc>
          <w:tcPr>
            <w:tcBorders>
              <w:bottom w:val="single" w:color="000000" w:sz="4" w:space="0"/>
              <w:right w:val="single" w:color="000000" w:sz="4" w:space="0"/>
            </w:tcBorders>
            <w:tcW w:w="1444" w:type="dxa"/>
            <w:textDirection w:val="lrTb"/>
            <w:noWrap w:val="false"/>
          </w:tcPr>
          <w:p>
            <w:pPr>
              <w:jc w:val="center"/>
              <w:widowControl w:val="off"/>
              <w:rPr>
                <w:rFonts w:ascii="Arial Narrow" w:hAnsi="Arial Narrow"/>
              </w:rPr>
            </w:pPr>
            <w:r>
              <w:rPr>
                <w:rFonts w:ascii="Arial Narrow" w:hAnsi="Arial Narrow"/>
              </w:rPr>
              <w:t xml:space="preserve">121,85</w:t>
            </w:r>
            <w:r>
              <w:rPr>
                <w:rFonts w:ascii="Arial Narrow" w:hAnsi="Arial Narrow"/>
              </w:rPr>
            </w:r>
            <w:r>
              <w:rPr>
                <w:rFonts w:ascii="Arial Narrow" w:hAnsi="Arial Narrow"/>
              </w:rPr>
            </w:r>
          </w:p>
        </w:tc>
        <w:tc>
          <w:tcPr>
            <w:tcBorders>
              <w:bottom w:val="single" w:color="000000" w:sz="4" w:space="0"/>
              <w:right w:val="single" w:color="000000" w:sz="4" w:space="0"/>
            </w:tcBorders>
            <w:tcW w:w="908" w:type="dxa"/>
            <w:textDirection w:val="lrTb"/>
            <w:noWrap w:val="false"/>
          </w:tcPr>
          <w:p>
            <w:pPr>
              <w:jc w:val="center"/>
              <w:widowControl w:val="off"/>
              <w:rPr>
                <w:rFonts w:ascii="Arial Narrow" w:hAnsi="Arial Narrow"/>
              </w:rPr>
            </w:pPr>
            <w:r>
              <w:rPr>
                <w:rFonts w:ascii="Arial Narrow" w:hAnsi="Arial Narrow"/>
              </w:rPr>
              <w:t xml:space="preserve">1 615,93</w:t>
            </w:r>
            <w:r>
              <w:rPr>
                <w:rFonts w:ascii="Arial Narrow" w:hAnsi="Arial Narrow"/>
              </w:rPr>
            </w:r>
            <w:r>
              <w:rPr>
                <w:rFonts w:ascii="Arial Narrow" w:hAnsi="Arial Narrow"/>
              </w:rPr>
            </w:r>
          </w:p>
        </w:tc>
        <w:tc>
          <w:tcPr>
            <w:tcBorders>
              <w:bottom w:val="single" w:color="000000" w:sz="4" w:space="0"/>
              <w:right w:val="single" w:color="000000" w:sz="4" w:space="0"/>
            </w:tcBorders>
            <w:tcW w:w="1688" w:type="dxa"/>
            <w:textDirection w:val="lrTb"/>
            <w:noWrap w:val="false"/>
          </w:tcPr>
          <w:p>
            <w:pPr>
              <w:jc w:val="center"/>
              <w:widowControl w:val="off"/>
              <w:rPr>
                <w:rFonts w:ascii="Arial Narrow" w:hAnsi="Arial Narrow"/>
              </w:rPr>
            </w:pPr>
            <w:r>
              <w:rPr>
                <w:rFonts w:ascii="Arial Narrow" w:hAnsi="Arial Narrow"/>
              </w:rPr>
              <w:t xml:space="preserve">66,19</w:t>
            </w:r>
            <w:r>
              <w:rPr>
                <w:rFonts w:ascii="Arial Narrow" w:hAnsi="Arial Narrow"/>
              </w:rPr>
            </w:r>
            <w:r>
              <w:rPr>
                <w:rFonts w:ascii="Arial Narrow" w:hAnsi="Arial Narrow"/>
              </w:rPr>
            </w:r>
          </w:p>
        </w:tc>
      </w:tr>
      <w:tr>
        <w:trPr>
          <w:jc w:val="center"/>
          <w:trHeight w:val="40"/>
        </w:trPr>
        <w:tc>
          <w:tcPr>
            <w:tcBorders>
              <w:left w:val="single" w:color="000000" w:sz="4" w:space="0"/>
              <w:bottom w:val="single" w:color="000000" w:sz="4" w:space="0"/>
              <w:right w:val="single" w:color="000000" w:sz="4" w:space="0"/>
            </w:tcBorders>
            <w:tcW w:w="2827"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10 кВ</w:t>
            </w:r>
            <w:r>
              <w:rPr>
                <w:rFonts w:ascii="Arial Narrow" w:hAnsi="Arial Narrow"/>
                <w:sz w:val="20"/>
                <w:szCs w:val="20"/>
              </w:rPr>
            </w:r>
            <w:r>
              <w:rPr>
                <w:rFonts w:ascii="Arial Narrow" w:hAnsi="Arial Narrow"/>
                <w:sz w:val="20"/>
                <w:szCs w:val="20"/>
              </w:rPr>
            </w:r>
          </w:p>
        </w:tc>
        <w:tc>
          <w:tcPr>
            <w:tcBorders>
              <w:bottom w:val="single" w:color="000000" w:sz="4" w:space="0"/>
              <w:right w:val="single" w:color="000000" w:sz="4" w:space="0"/>
            </w:tcBorders>
            <w:tcW w:w="1261"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км</w:t>
            </w:r>
            <w:r>
              <w:rPr>
                <w:rFonts w:ascii="Arial Narrow" w:hAnsi="Arial Narrow"/>
                <w:sz w:val="20"/>
                <w:szCs w:val="20"/>
              </w:rPr>
            </w:r>
            <w:r>
              <w:rPr>
                <w:rFonts w:ascii="Arial Narrow" w:hAnsi="Arial Narrow"/>
                <w:sz w:val="20"/>
                <w:szCs w:val="20"/>
              </w:rPr>
            </w:r>
          </w:p>
        </w:tc>
        <w:tc>
          <w:tcPr>
            <w:tcBorders>
              <w:bottom w:val="single" w:color="000000" w:sz="4" w:space="0"/>
              <w:right w:val="single" w:color="000000" w:sz="4" w:space="0"/>
            </w:tcBorders>
            <w:tcW w:w="1228" w:type="dxa"/>
            <w:textDirection w:val="lrTb"/>
            <w:noWrap w:val="false"/>
          </w:tcPr>
          <w:p>
            <w:pPr>
              <w:jc w:val="center"/>
              <w:widowControl w:val="off"/>
              <w:rPr>
                <w:rFonts w:ascii="Arial Narrow" w:hAnsi="Arial Narrow"/>
              </w:rPr>
            </w:pPr>
            <w:r>
              <w:rPr>
                <w:rFonts w:ascii="Arial Narrow" w:hAnsi="Arial Narrow"/>
              </w:rPr>
              <w:t xml:space="preserve">559,54</w:t>
            </w:r>
            <w:r>
              <w:rPr>
                <w:rFonts w:ascii="Arial Narrow" w:hAnsi="Arial Narrow"/>
              </w:rPr>
            </w:r>
            <w:r>
              <w:rPr>
                <w:rFonts w:ascii="Arial Narrow" w:hAnsi="Arial Narrow"/>
              </w:rPr>
            </w:r>
          </w:p>
        </w:tc>
        <w:tc>
          <w:tcPr>
            <w:tcBorders>
              <w:bottom w:val="single" w:color="000000" w:sz="4" w:space="0"/>
              <w:right w:val="single" w:color="000000" w:sz="4" w:space="0"/>
            </w:tcBorders>
            <w:tcW w:w="985" w:type="dxa"/>
            <w:textDirection w:val="lrTb"/>
            <w:noWrap w:val="false"/>
          </w:tcPr>
          <w:p>
            <w:pPr>
              <w:jc w:val="center"/>
              <w:widowControl w:val="off"/>
              <w:rPr>
                <w:rFonts w:ascii="Arial Narrow" w:hAnsi="Arial Narrow"/>
              </w:rPr>
            </w:pPr>
            <w:r>
              <w:rPr>
                <w:rFonts w:ascii="Arial Narrow" w:hAnsi="Arial Narrow"/>
              </w:rPr>
              <w:t xml:space="preserve">619,19</w:t>
            </w:r>
            <w:r>
              <w:rPr>
                <w:rFonts w:ascii="Arial Narrow" w:hAnsi="Arial Narrow"/>
              </w:rPr>
            </w:r>
            <w:r>
              <w:rPr>
                <w:rFonts w:ascii="Arial Narrow" w:hAnsi="Arial Narrow"/>
              </w:rPr>
            </w:r>
          </w:p>
        </w:tc>
        <w:tc>
          <w:tcPr>
            <w:tcBorders>
              <w:bottom w:val="single" w:color="000000" w:sz="4" w:space="0"/>
              <w:right w:val="single" w:color="000000" w:sz="4" w:space="0"/>
            </w:tcBorders>
            <w:tcW w:w="1444" w:type="dxa"/>
            <w:textDirection w:val="lrTb"/>
            <w:noWrap w:val="false"/>
          </w:tcPr>
          <w:p>
            <w:pPr>
              <w:jc w:val="center"/>
              <w:widowControl w:val="off"/>
              <w:rPr>
                <w:rFonts w:ascii="Arial Narrow" w:hAnsi="Arial Narrow"/>
              </w:rPr>
            </w:pPr>
            <w:r>
              <w:rPr>
                <w:rFonts w:ascii="Arial Narrow" w:hAnsi="Arial Narrow"/>
              </w:rPr>
              <w:t xml:space="preserve">59,65</w:t>
            </w:r>
            <w:r>
              <w:rPr>
                <w:rFonts w:ascii="Arial Narrow" w:hAnsi="Arial Narrow"/>
              </w:rPr>
            </w:r>
            <w:r>
              <w:rPr>
                <w:rFonts w:ascii="Arial Narrow" w:hAnsi="Arial Narrow"/>
              </w:rPr>
            </w:r>
          </w:p>
        </w:tc>
        <w:tc>
          <w:tcPr>
            <w:tcBorders>
              <w:bottom w:val="single" w:color="000000" w:sz="4" w:space="0"/>
              <w:right w:val="single" w:color="000000" w:sz="4" w:space="0"/>
            </w:tcBorders>
            <w:tcW w:w="908" w:type="dxa"/>
            <w:textDirection w:val="lrTb"/>
            <w:noWrap w:val="false"/>
          </w:tcPr>
          <w:p>
            <w:pPr>
              <w:jc w:val="center"/>
              <w:widowControl w:val="off"/>
              <w:rPr>
                <w:rFonts w:ascii="Arial Narrow" w:hAnsi="Arial Narrow"/>
              </w:rPr>
            </w:pPr>
            <w:r>
              <w:rPr>
                <w:rFonts w:ascii="Arial Narrow" w:hAnsi="Arial Narrow"/>
              </w:rPr>
              <w:t xml:space="preserve">654,62</w:t>
            </w:r>
            <w:r>
              <w:rPr>
                <w:rFonts w:ascii="Arial Narrow" w:hAnsi="Arial Narrow"/>
              </w:rPr>
            </w:r>
            <w:r>
              <w:rPr>
                <w:rFonts w:ascii="Arial Narrow" w:hAnsi="Arial Narrow"/>
              </w:rPr>
            </w:r>
          </w:p>
        </w:tc>
        <w:tc>
          <w:tcPr>
            <w:tcBorders>
              <w:bottom w:val="single" w:color="000000" w:sz="4" w:space="0"/>
              <w:right w:val="single" w:color="000000" w:sz="4" w:space="0"/>
            </w:tcBorders>
            <w:tcW w:w="1688" w:type="dxa"/>
            <w:textDirection w:val="lrTb"/>
            <w:noWrap w:val="false"/>
          </w:tcPr>
          <w:p>
            <w:pPr>
              <w:jc w:val="center"/>
              <w:widowControl w:val="off"/>
              <w:rPr>
                <w:rFonts w:ascii="Arial Narrow" w:hAnsi="Arial Narrow"/>
              </w:rPr>
            </w:pPr>
            <w:r>
              <w:rPr>
                <w:rFonts w:ascii="Arial Narrow" w:hAnsi="Arial Narrow"/>
              </w:rPr>
              <w:t xml:space="preserve">35,43</w:t>
            </w:r>
            <w:r>
              <w:rPr>
                <w:rFonts w:ascii="Arial Narrow" w:hAnsi="Arial Narrow"/>
              </w:rPr>
            </w:r>
            <w:r>
              <w:rPr>
                <w:rFonts w:ascii="Arial Narrow" w:hAnsi="Arial Narrow"/>
              </w:rPr>
            </w:r>
          </w:p>
        </w:tc>
      </w:tr>
      <w:tr>
        <w:trPr>
          <w:jc w:val="center"/>
          <w:trHeight w:val="40"/>
        </w:trPr>
        <w:tc>
          <w:tcPr>
            <w:tcBorders>
              <w:left w:val="single" w:color="000000" w:sz="4" w:space="0"/>
              <w:bottom w:val="single" w:color="000000" w:sz="4" w:space="0"/>
              <w:right w:val="single" w:color="000000" w:sz="4" w:space="0"/>
            </w:tcBorders>
            <w:tcW w:w="2827"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6(3) кВ</w:t>
            </w:r>
            <w:r>
              <w:rPr>
                <w:rFonts w:ascii="Arial Narrow" w:hAnsi="Arial Narrow"/>
                <w:sz w:val="20"/>
                <w:szCs w:val="20"/>
              </w:rPr>
            </w:r>
            <w:r>
              <w:rPr>
                <w:rFonts w:ascii="Arial Narrow" w:hAnsi="Arial Narrow"/>
                <w:sz w:val="20"/>
                <w:szCs w:val="20"/>
              </w:rPr>
            </w:r>
          </w:p>
        </w:tc>
        <w:tc>
          <w:tcPr>
            <w:tcBorders>
              <w:bottom w:val="single" w:color="000000" w:sz="4" w:space="0"/>
              <w:right w:val="single" w:color="000000" w:sz="4" w:space="0"/>
            </w:tcBorders>
            <w:tcW w:w="1261"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км</w:t>
            </w:r>
            <w:r>
              <w:rPr>
                <w:rFonts w:ascii="Arial Narrow" w:hAnsi="Arial Narrow"/>
                <w:sz w:val="20"/>
                <w:szCs w:val="20"/>
              </w:rPr>
            </w:r>
            <w:r>
              <w:rPr>
                <w:rFonts w:ascii="Arial Narrow" w:hAnsi="Arial Narrow"/>
                <w:sz w:val="20"/>
                <w:szCs w:val="20"/>
              </w:rPr>
            </w:r>
          </w:p>
        </w:tc>
        <w:tc>
          <w:tcPr>
            <w:tcBorders>
              <w:bottom w:val="single" w:color="000000" w:sz="4" w:space="0"/>
              <w:right w:val="single" w:color="000000" w:sz="4" w:space="0"/>
            </w:tcBorders>
            <w:tcW w:w="1228" w:type="dxa"/>
            <w:textDirection w:val="lrTb"/>
            <w:noWrap w:val="false"/>
          </w:tcPr>
          <w:p>
            <w:pPr>
              <w:jc w:val="center"/>
              <w:widowControl w:val="off"/>
              <w:rPr>
                <w:rFonts w:ascii="Arial Narrow" w:hAnsi="Arial Narrow"/>
              </w:rPr>
            </w:pPr>
            <w:r>
              <w:rPr>
                <w:rFonts w:ascii="Arial Narrow" w:hAnsi="Arial Narrow"/>
              </w:rPr>
              <w:t xml:space="preserve">246,64</w:t>
            </w:r>
            <w:r>
              <w:rPr>
                <w:rFonts w:ascii="Arial Narrow" w:hAnsi="Arial Narrow"/>
              </w:rPr>
            </w:r>
            <w:r>
              <w:rPr>
                <w:rFonts w:ascii="Arial Narrow" w:hAnsi="Arial Narrow"/>
              </w:rPr>
            </w:r>
          </w:p>
        </w:tc>
        <w:tc>
          <w:tcPr>
            <w:tcBorders>
              <w:bottom w:val="single" w:color="000000" w:sz="4" w:space="0"/>
              <w:right w:val="single" w:color="000000" w:sz="4" w:space="0"/>
            </w:tcBorders>
            <w:tcW w:w="985" w:type="dxa"/>
            <w:textDirection w:val="lrTb"/>
            <w:noWrap w:val="false"/>
          </w:tcPr>
          <w:p>
            <w:pPr>
              <w:jc w:val="center"/>
              <w:widowControl w:val="off"/>
              <w:rPr>
                <w:rFonts w:ascii="Arial Narrow" w:hAnsi="Arial Narrow"/>
              </w:rPr>
            </w:pPr>
            <w:r>
              <w:rPr>
                <w:rFonts w:ascii="Arial Narrow" w:hAnsi="Arial Narrow"/>
              </w:rPr>
              <w:t xml:space="preserve">276,62</w:t>
            </w:r>
            <w:r>
              <w:rPr>
                <w:rFonts w:ascii="Arial Narrow" w:hAnsi="Arial Narrow"/>
              </w:rPr>
            </w:r>
            <w:r>
              <w:rPr>
                <w:rFonts w:ascii="Arial Narrow" w:hAnsi="Arial Narrow"/>
              </w:rPr>
            </w:r>
          </w:p>
        </w:tc>
        <w:tc>
          <w:tcPr>
            <w:tcBorders>
              <w:bottom w:val="single" w:color="000000" w:sz="4" w:space="0"/>
              <w:right w:val="single" w:color="000000" w:sz="4" w:space="0"/>
            </w:tcBorders>
            <w:tcW w:w="1444" w:type="dxa"/>
            <w:textDirection w:val="lrTb"/>
            <w:noWrap w:val="false"/>
          </w:tcPr>
          <w:p>
            <w:pPr>
              <w:jc w:val="center"/>
              <w:widowControl w:val="off"/>
              <w:rPr>
                <w:rFonts w:ascii="Arial Narrow" w:hAnsi="Arial Narrow"/>
              </w:rPr>
            </w:pPr>
            <w:r>
              <w:rPr>
                <w:rFonts w:ascii="Arial Narrow" w:hAnsi="Arial Narrow"/>
              </w:rPr>
              <w:t xml:space="preserve">29,98</w:t>
            </w:r>
            <w:r>
              <w:rPr>
                <w:rFonts w:ascii="Arial Narrow" w:hAnsi="Arial Narrow"/>
              </w:rPr>
            </w:r>
            <w:r>
              <w:rPr>
                <w:rFonts w:ascii="Arial Narrow" w:hAnsi="Arial Narrow"/>
              </w:rPr>
            </w:r>
          </w:p>
        </w:tc>
        <w:tc>
          <w:tcPr>
            <w:tcBorders>
              <w:bottom w:val="single" w:color="000000" w:sz="4" w:space="0"/>
              <w:right w:val="single" w:color="000000" w:sz="4" w:space="0"/>
            </w:tcBorders>
            <w:tcW w:w="908" w:type="dxa"/>
            <w:textDirection w:val="lrTb"/>
            <w:noWrap w:val="false"/>
          </w:tcPr>
          <w:p>
            <w:pPr>
              <w:jc w:val="center"/>
              <w:widowControl w:val="off"/>
              <w:rPr>
                <w:rFonts w:ascii="Arial Narrow" w:hAnsi="Arial Narrow"/>
              </w:rPr>
            </w:pPr>
            <w:r>
              <w:rPr>
                <w:rFonts w:ascii="Arial Narrow" w:hAnsi="Arial Narrow"/>
              </w:rPr>
              <w:t xml:space="preserve">278,07</w:t>
            </w:r>
            <w:r>
              <w:rPr>
                <w:rFonts w:ascii="Arial Narrow" w:hAnsi="Arial Narrow"/>
              </w:rPr>
            </w:r>
            <w:r>
              <w:rPr>
                <w:rFonts w:ascii="Arial Narrow" w:hAnsi="Arial Narrow"/>
              </w:rPr>
            </w:r>
          </w:p>
        </w:tc>
        <w:tc>
          <w:tcPr>
            <w:tcBorders>
              <w:bottom w:val="single" w:color="000000" w:sz="4" w:space="0"/>
              <w:right w:val="single" w:color="000000" w:sz="4" w:space="0"/>
            </w:tcBorders>
            <w:tcW w:w="1688" w:type="dxa"/>
            <w:textDirection w:val="lrTb"/>
            <w:noWrap w:val="false"/>
          </w:tcPr>
          <w:p>
            <w:pPr>
              <w:jc w:val="center"/>
              <w:widowControl w:val="off"/>
              <w:rPr>
                <w:rFonts w:ascii="Arial Narrow" w:hAnsi="Arial Narrow"/>
              </w:rPr>
            </w:pPr>
            <w:r>
              <w:rPr>
                <w:rFonts w:ascii="Arial Narrow" w:hAnsi="Arial Narrow"/>
              </w:rPr>
              <w:t xml:space="preserve">1,45</w:t>
            </w:r>
            <w:r>
              <w:rPr>
                <w:rFonts w:ascii="Arial Narrow" w:hAnsi="Arial Narrow"/>
              </w:rPr>
            </w:r>
            <w:r>
              <w:rPr>
                <w:rFonts w:ascii="Arial Narrow" w:hAnsi="Arial Narrow"/>
              </w:rPr>
            </w:r>
          </w:p>
        </w:tc>
      </w:tr>
      <w:tr>
        <w:trPr>
          <w:jc w:val="center"/>
          <w:trHeight w:val="40"/>
        </w:trPr>
        <w:tc>
          <w:tcPr>
            <w:tcBorders>
              <w:left w:val="single" w:color="000000" w:sz="4" w:space="0"/>
              <w:bottom w:val="single" w:color="000000" w:sz="4" w:space="0"/>
              <w:right w:val="single" w:color="000000" w:sz="4" w:space="0"/>
            </w:tcBorders>
            <w:tcW w:w="2827"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0,4 кВ</w:t>
            </w:r>
            <w:r>
              <w:rPr>
                <w:rFonts w:ascii="Arial Narrow" w:hAnsi="Arial Narrow"/>
                <w:sz w:val="20"/>
                <w:szCs w:val="20"/>
              </w:rPr>
            </w:r>
            <w:r>
              <w:rPr>
                <w:rFonts w:ascii="Arial Narrow" w:hAnsi="Arial Narrow"/>
                <w:sz w:val="20"/>
                <w:szCs w:val="20"/>
              </w:rPr>
            </w:r>
          </w:p>
        </w:tc>
        <w:tc>
          <w:tcPr>
            <w:tcBorders>
              <w:bottom w:val="single" w:color="000000" w:sz="4" w:space="0"/>
              <w:right w:val="single" w:color="000000" w:sz="4" w:space="0"/>
            </w:tcBorders>
            <w:tcW w:w="1261"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км</w:t>
            </w:r>
            <w:r>
              <w:rPr>
                <w:rFonts w:ascii="Arial Narrow" w:hAnsi="Arial Narrow"/>
                <w:sz w:val="20"/>
                <w:szCs w:val="20"/>
              </w:rPr>
            </w:r>
            <w:r>
              <w:rPr>
                <w:rFonts w:ascii="Arial Narrow" w:hAnsi="Arial Narrow"/>
                <w:sz w:val="20"/>
                <w:szCs w:val="20"/>
              </w:rPr>
            </w:r>
          </w:p>
        </w:tc>
        <w:tc>
          <w:tcPr>
            <w:tcBorders>
              <w:bottom w:val="single" w:color="000000" w:sz="4" w:space="0"/>
              <w:right w:val="single" w:color="000000" w:sz="4" w:space="0"/>
            </w:tcBorders>
            <w:tcW w:w="1228" w:type="dxa"/>
            <w:textDirection w:val="lrTb"/>
            <w:noWrap w:val="false"/>
          </w:tcPr>
          <w:p>
            <w:pPr>
              <w:jc w:val="center"/>
              <w:widowControl w:val="off"/>
              <w:rPr>
                <w:rFonts w:ascii="Arial Narrow" w:hAnsi="Arial Narrow"/>
              </w:rPr>
            </w:pPr>
            <w:r>
              <w:rPr>
                <w:rFonts w:ascii="Arial Narrow" w:hAnsi="Arial Narrow"/>
              </w:rPr>
              <w:t xml:space="preserve">593,79</w:t>
            </w:r>
            <w:r>
              <w:rPr>
                <w:rFonts w:ascii="Arial Narrow" w:hAnsi="Arial Narrow"/>
              </w:rPr>
            </w:r>
            <w:r>
              <w:rPr>
                <w:rFonts w:ascii="Arial Narrow" w:hAnsi="Arial Narrow"/>
              </w:rPr>
            </w:r>
          </w:p>
        </w:tc>
        <w:tc>
          <w:tcPr>
            <w:tcBorders>
              <w:bottom w:val="single" w:color="000000" w:sz="4" w:space="0"/>
              <w:right w:val="single" w:color="000000" w:sz="4" w:space="0"/>
            </w:tcBorders>
            <w:tcW w:w="985" w:type="dxa"/>
            <w:textDirection w:val="lrTb"/>
            <w:noWrap w:val="false"/>
          </w:tcPr>
          <w:p>
            <w:pPr>
              <w:jc w:val="center"/>
              <w:widowControl w:val="off"/>
              <w:rPr>
                <w:rFonts w:ascii="Arial Narrow" w:hAnsi="Arial Narrow"/>
              </w:rPr>
            </w:pPr>
            <w:r>
              <w:rPr>
                <w:rFonts w:ascii="Arial Narrow" w:hAnsi="Arial Narrow"/>
              </w:rPr>
              <w:t xml:space="preserve">653,93</w:t>
            </w:r>
            <w:r>
              <w:rPr>
                <w:rFonts w:ascii="Arial Narrow" w:hAnsi="Arial Narrow"/>
              </w:rPr>
            </w:r>
            <w:r>
              <w:rPr>
                <w:rFonts w:ascii="Arial Narrow" w:hAnsi="Arial Narrow"/>
              </w:rPr>
            </w:r>
          </w:p>
        </w:tc>
        <w:tc>
          <w:tcPr>
            <w:tcBorders>
              <w:bottom w:val="single" w:color="000000" w:sz="4" w:space="0"/>
              <w:right w:val="single" w:color="000000" w:sz="4" w:space="0"/>
            </w:tcBorders>
            <w:tcW w:w="1444" w:type="dxa"/>
            <w:textDirection w:val="lrTb"/>
            <w:noWrap w:val="false"/>
          </w:tcPr>
          <w:p>
            <w:pPr>
              <w:jc w:val="center"/>
              <w:widowControl w:val="off"/>
              <w:rPr>
                <w:rFonts w:ascii="Arial Narrow" w:hAnsi="Arial Narrow"/>
              </w:rPr>
            </w:pPr>
            <w:r>
              <w:rPr>
                <w:rFonts w:ascii="Arial Narrow" w:hAnsi="Arial Narrow"/>
              </w:rPr>
              <w:t xml:space="preserve">32,22</w:t>
            </w:r>
            <w:r>
              <w:rPr>
                <w:rFonts w:ascii="Arial Narrow" w:hAnsi="Arial Narrow"/>
              </w:rPr>
            </w:r>
            <w:r>
              <w:rPr>
                <w:rFonts w:ascii="Arial Narrow" w:hAnsi="Arial Narrow"/>
              </w:rPr>
            </w:r>
          </w:p>
        </w:tc>
        <w:tc>
          <w:tcPr>
            <w:tcBorders>
              <w:bottom w:val="single" w:color="000000" w:sz="4" w:space="0"/>
              <w:right w:val="single" w:color="000000" w:sz="4" w:space="0"/>
            </w:tcBorders>
            <w:tcW w:w="908" w:type="dxa"/>
            <w:textDirection w:val="lrTb"/>
            <w:noWrap w:val="false"/>
          </w:tcPr>
          <w:p>
            <w:pPr>
              <w:jc w:val="center"/>
              <w:widowControl w:val="off"/>
              <w:rPr>
                <w:rFonts w:ascii="Arial Narrow" w:hAnsi="Arial Narrow"/>
              </w:rPr>
            </w:pPr>
            <w:r>
              <w:rPr>
                <w:rFonts w:ascii="Arial Narrow" w:hAnsi="Arial Narrow"/>
              </w:rPr>
              <w:t xml:space="preserve">683,24</w:t>
            </w:r>
            <w:r>
              <w:rPr>
                <w:rFonts w:ascii="Arial Narrow" w:hAnsi="Arial Narrow"/>
              </w:rPr>
            </w:r>
            <w:r>
              <w:rPr>
                <w:rFonts w:ascii="Arial Narrow" w:hAnsi="Arial Narrow"/>
              </w:rPr>
            </w:r>
          </w:p>
        </w:tc>
        <w:tc>
          <w:tcPr>
            <w:tcBorders>
              <w:bottom w:val="single" w:color="000000" w:sz="4" w:space="0"/>
              <w:right w:val="single" w:color="000000" w:sz="4" w:space="0"/>
            </w:tcBorders>
            <w:tcW w:w="1688" w:type="dxa"/>
            <w:textDirection w:val="lrTb"/>
            <w:noWrap w:val="false"/>
          </w:tcPr>
          <w:p>
            <w:pPr>
              <w:jc w:val="center"/>
              <w:widowControl w:val="off"/>
              <w:rPr>
                <w:rFonts w:ascii="Arial Narrow" w:hAnsi="Arial Narrow"/>
              </w:rPr>
            </w:pPr>
            <w:r>
              <w:rPr>
                <w:rFonts w:ascii="Arial Narrow" w:hAnsi="Arial Narrow"/>
              </w:rPr>
              <w:t xml:space="preserve">29,31</w:t>
            </w:r>
            <w:r>
              <w:rPr>
                <w:rFonts w:ascii="Arial Narrow" w:hAnsi="Arial Narrow"/>
              </w:rPr>
            </w:r>
            <w:r>
              <w:rPr>
                <w:rFonts w:ascii="Arial Narrow" w:hAnsi="Arial Narrow"/>
              </w:rPr>
            </w:r>
          </w:p>
        </w:tc>
      </w:tr>
    </w:tbl>
    <w:p>
      <w:pPr>
        <w:pStyle w:val="1063"/>
        <w:ind w:firstLine="567"/>
        <w:jc w:val="both"/>
        <w:rPr>
          <w:rFonts w:ascii="Arial Narrow" w:hAnsi="Arial Narrow"/>
          <w:color w:val="0f0d29"/>
        </w:rPr>
      </w:pPr>
      <w:r>
        <w:rPr>
          <w:rFonts w:ascii="Arial Narrow" w:hAnsi="Arial Narrow"/>
          <w:color w:val="0f0d29"/>
        </w:rPr>
      </w:r>
      <w:r>
        <w:rPr>
          <w:rFonts w:ascii="Arial Narrow" w:hAnsi="Arial Narrow"/>
          <w:color w:val="0f0d29"/>
        </w:rPr>
      </w:r>
      <w:r>
        <w:rPr>
          <w:rFonts w:ascii="Arial Narrow" w:hAnsi="Arial Narrow"/>
          <w:color w:val="0f0d29"/>
        </w:rPr>
      </w:r>
    </w:p>
    <w:p>
      <w:pPr>
        <w:pStyle w:val="1063"/>
        <w:ind w:firstLine="567"/>
        <w:jc w:val="both"/>
        <w:rPr>
          <w:rFonts w:ascii="Arial Narrow" w:hAnsi="Arial Narrow"/>
          <w:color w:val="0f0d29"/>
        </w:rPr>
      </w:pPr>
      <w:r>
        <w:rPr>
          <w:rFonts w:ascii="Arial Narrow" w:hAnsi="Arial Narrow"/>
          <w:color w:val="0f0d29"/>
        </w:rPr>
        <w:t xml:space="preserve">В 2024 году по сравнению с 2023 годом увеличение протяженности ЛЭП произошло за счет подключения потребителей по договорам технологического присоединения.</w:t>
      </w:r>
      <w:r>
        <w:br w:type="page" w:clear="all"/>
      </w:r>
      <w:r>
        <w:rPr>
          <w:rFonts w:ascii="Arial Narrow" w:hAnsi="Arial Narrow"/>
          <w:color w:val="0f0d29"/>
        </w:rPr>
      </w:r>
      <w:r>
        <w:rPr>
          <w:rFonts w:ascii="Arial Narrow" w:hAnsi="Arial Narrow"/>
          <w:color w:val="0f0d29"/>
        </w:rPr>
      </w:r>
    </w:p>
    <w:p>
      <w:pPr>
        <w:pStyle w:val="762"/>
        <w:jc w:val="center"/>
        <w:keepLines w:val="0"/>
        <w:spacing w:before="0" w:after="0" w:line="276" w:lineRule="auto"/>
        <w:rPr>
          <w:rFonts w:ascii="Arial Narrow" w:hAnsi="Arial Narrow" w:eastAsiaTheme="majorEastAsia" w:cstheme="minorHAnsi"/>
          <w:color w:val="314e87"/>
          <w:lang w:eastAsia="en-US"/>
        </w:rPr>
      </w:pPr>
      <w:r/>
      <w:bookmarkStart w:id="39" w:name="_Toc193883485"/>
      <w:r/>
      <w:bookmarkStart w:id="40" w:name="_Toc196126985"/>
      <w:r/>
      <w:bookmarkStart w:id="41" w:name="_Toc410205351"/>
      <w:r>
        <w:rPr>
          <w:rFonts w:ascii="Arial Narrow" w:hAnsi="Arial Narrow" w:eastAsiaTheme="majorEastAsia" w:cstheme="minorHAnsi"/>
          <w:b/>
          <w:color w:val="314e87"/>
          <w:sz w:val="28"/>
          <w:szCs w:val="28"/>
          <w:lang w:eastAsia="en-US"/>
        </w:rPr>
        <w:t xml:space="preserve">Раздел 3. УПРАВЛЕНИЕ СОСТОЯНИЕМ ОСНОВНЫХ ФОНДОВ</w:t>
      </w:r>
      <w:bookmarkEnd w:id="39"/>
      <w:r/>
      <w:bookmarkEnd w:id="40"/>
      <w:r>
        <w:rPr>
          <w:rFonts w:ascii="Arial Narrow" w:hAnsi="Arial Narrow" w:eastAsiaTheme="majorEastAsia" w:cstheme="minorHAnsi"/>
          <w:color w:val="314e87"/>
          <w:lang w:eastAsia="en-US"/>
        </w:rPr>
      </w:r>
      <w:r>
        <w:rPr>
          <w:rFonts w:ascii="Arial Narrow" w:hAnsi="Arial Narrow" w:eastAsiaTheme="majorEastAsia" w:cstheme="minorHAnsi"/>
          <w:color w:val="314e87"/>
          <w:lang w:eastAsia="en-US"/>
        </w:rPr>
      </w:r>
    </w:p>
    <w:p>
      <w:pPr>
        <w:pStyle w:val="1066"/>
        <w:jc w:val="both"/>
        <w:keepLines/>
        <w:spacing w:before="0" w:after="0" w:line="276" w:lineRule="auto"/>
        <w:rPr>
          <w:rFonts w:ascii="Arial Narrow" w:hAnsi="Arial Narrow"/>
          <w:sz w:val="8"/>
          <w:szCs w:val="8"/>
        </w:rPr>
      </w:pPr>
      <w:r>
        <w:rPr>
          <w:rFonts w:ascii="Arial Narrow" w:hAnsi="Arial Narrow"/>
          <w:sz w:val="8"/>
          <w:szCs w:val="8"/>
        </w:rPr>
      </w:r>
      <w:r>
        <w:rPr>
          <w:rFonts w:ascii="Arial Narrow" w:hAnsi="Arial Narrow"/>
          <w:sz w:val="8"/>
          <w:szCs w:val="8"/>
        </w:rPr>
      </w:r>
      <w:r>
        <w:rPr>
          <w:rFonts w:ascii="Arial Narrow" w:hAnsi="Arial Narrow"/>
          <w:sz w:val="8"/>
          <w:szCs w:val="8"/>
        </w:rPr>
      </w:r>
    </w:p>
    <w:p>
      <w:pPr>
        <w:pStyle w:val="763"/>
        <w:jc w:val="both"/>
        <w:keepLines/>
        <w:spacing w:after="0" w:line="276" w:lineRule="auto"/>
        <w:rPr>
          <w:rFonts w:ascii="Arial Narrow" w:hAnsi="Arial Narrow" w:eastAsiaTheme="majorEastAsia" w:cstheme="minorHAnsi"/>
          <w:color w:val="314e87"/>
          <w:lang w:eastAsia="en-US" w:bidi="ru-RU"/>
        </w:rPr>
      </w:pPr>
      <w:r/>
      <w:bookmarkStart w:id="42" w:name="_Toc193883486"/>
      <w:r/>
      <w:bookmarkStart w:id="43" w:name="_Toc196126986"/>
      <w:r>
        <w:rPr>
          <w:rFonts w:ascii="Arial Narrow" w:hAnsi="Arial Narrow" w:eastAsiaTheme="majorEastAsia" w:cstheme="minorHAnsi"/>
          <w:b/>
          <w:color w:val="314e87"/>
          <w:sz w:val="24"/>
          <w:szCs w:val="24"/>
          <w:lang w:eastAsia="en-US" w:bidi="ru-RU"/>
        </w:rPr>
        <w:t xml:space="preserve">3.1. Управление состоянием основных фондов – техническое обслуживание, ремонт, техническое перевооружение</w:t>
      </w:r>
      <w:bookmarkEnd w:id="41"/>
      <w:r/>
      <w:bookmarkEnd w:id="42"/>
      <w:r/>
      <w:bookmarkEnd w:id="43"/>
      <w:r>
        <w:rPr>
          <w:rFonts w:ascii="Arial Narrow" w:hAnsi="Arial Narrow" w:eastAsiaTheme="majorEastAsia" w:cstheme="minorHAnsi"/>
          <w:color w:val="314e87"/>
          <w:lang w:eastAsia="en-US" w:bidi="ru-RU"/>
        </w:rPr>
      </w:r>
      <w:r>
        <w:rPr>
          <w:rFonts w:ascii="Arial Narrow" w:hAnsi="Arial Narrow" w:eastAsiaTheme="majorEastAsia" w:cstheme="minorHAnsi"/>
          <w:color w:val="314e87"/>
          <w:lang w:eastAsia="en-US" w:bidi="ru-RU"/>
        </w:rPr>
      </w:r>
    </w:p>
    <w:p>
      <w:pPr>
        <w:pStyle w:val="1063"/>
        <w:ind w:firstLine="720"/>
        <w:jc w:val="both"/>
        <w:rPr>
          <w:rFonts w:ascii="Arial Narrow" w:hAnsi="Arial Narrow" w:cs="Calibri"/>
          <w:sz w:val="12"/>
          <w:szCs w:val="12"/>
        </w:rPr>
      </w:pPr>
      <w:r>
        <w:rPr>
          <w:rFonts w:ascii="Arial Narrow" w:hAnsi="Arial Narrow" w:cs="Calibri"/>
          <w:sz w:val="12"/>
          <w:szCs w:val="12"/>
        </w:rPr>
      </w:r>
      <w:r>
        <w:rPr>
          <w:rFonts w:ascii="Arial Narrow" w:hAnsi="Arial Narrow" w:cs="Calibri"/>
          <w:sz w:val="12"/>
          <w:szCs w:val="12"/>
        </w:rPr>
      </w:r>
      <w:r>
        <w:rPr>
          <w:rFonts w:ascii="Arial Narrow" w:hAnsi="Arial Narrow" w:cs="Calibri"/>
          <w:sz w:val="12"/>
          <w:szCs w:val="12"/>
        </w:rPr>
      </w:r>
    </w:p>
    <w:p>
      <w:pPr>
        <w:pStyle w:val="1063"/>
        <w:ind w:firstLine="567"/>
        <w:jc w:val="both"/>
      </w:pPr>
      <w:r>
        <w:rPr>
          <w:rFonts w:ascii="Arial Narrow" w:hAnsi="Arial Narrow"/>
          <w:color w:val="0f0d29"/>
        </w:rPr>
        <w:t xml:space="preserve">Выполнение годовой программы ремонтов основного оборудования станций, тепловых и электрических сетей.</w:t>
      </w:r>
      <w:r/>
    </w:p>
    <w:p>
      <w:pPr>
        <w:pStyle w:val="1063"/>
        <w:ind w:firstLine="567"/>
        <w:jc w:val="both"/>
      </w:pPr>
      <w:r>
        <w:rPr>
          <w:rFonts w:ascii="Arial Narrow" w:hAnsi="Arial Narrow"/>
          <w:color w:val="0f0d29"/>
        </w:rPr>
        <w:t xml:space="preserve">В рамках подготовки энергооборудования к бесперебойной работе в осенне-зимний период </w:t>
      </w:r>
      <w:r>
        <w:rPr>
          <w:rFonts w:ascii="Arial Narrow" w:hAnsi="Arial Narrow"/>
          <w:color w:val="0f0d29"/>
        </w:rPr>
        <w:br/>
        <w:t xml:space="preserve">2024-2025 гг., филиалами ПАО «Камчатскэнерго» выполнены капитальные и текущие ремонты 18 турбин, 18 генераторов, 9 котлоагрегатов, капитальные ремонты 5 трансформаторов, 1,7 км тепловых сетей, </w:t>
      </w:r>
      <w:r>
        <w:rPr>
          <w:rFonts w:ascii="Arial Narrow" w:hAnsi="Arial Narrow"/>
          <w:color w:val="0f0d29"/>
        </w:rPr>
        <w:br/>
        <w:t xml:space="preserve">40,6 км электрических сетей 110 кВ и выше.</w:t>
      </w:r>
      <w:r/>
    </w:p>
    <w:p>
      <w:pPr>
        <w:pStyle w:val="1063"/>
        <w:jc w:val="right"/>
        <w:rPr>
          <w:lang w:val="en-US"/>
        </w:rPr>
      </w:pPr>
      <w:r>
        <w:rPr>
          <w:rFonts w:ascii="Arial Narrow" w:hAnsi="Arial Narrow" w:eastAsia="Calibri" w:cs="Calibri"/>
          <w:i/>
          <w:lang w:eastAsia="ja-JP"/>
        </w:rPr>
        <w:t xml:space="preserve">Таблица № 1</w:t>
      </w:r>
      <w:r>
        <w:rPr>
          <w:rFonts w:ascii="Arial Narrow" w:hAnsi="Arial Narrow" w:eastAsia="Calibri" w:cs="Calibri"/>
          <w:i/>
          <w:lang w:val="en-US" w:eastAsia="ja-JP"/>
        </w:rPr>
        <w:t xml:space="preserve">4</w:t>
      </w:r>
      <w:r>
        <w:rPr>
          <w:lang w:val="en-US"/>
        </w:rPr>
      </w:r>
      <w:r>
        <w:rPr>
          <w:lang w:val="en-US"/>
        </w:rPr>
      </w:r>
    </w:p>
    <w:tbl>
      <w:tblPr>
        <w:tblW w:w="4939" w:type="pct"/>
        <w:jc w:val="center"/>
        <w:tblLayout w:type="fixed"/>
        <w:tblLook w:val="04A0" w:firstRow="1" w:lastRow="0" w:firstColumn="1" w:lastColumn="0" w:noHBand="0" w:noVBand="1"/>
      </w:tblPr>
      <w:tblGrid>
        <w:gridCol w:w="3062"/>
        <w:gridCol w:w="866"/>
        <w:gridCol w:w="757"/>
        <w:gridCol w:w="768"/>
        <w:gridCol w:w="1243"/>
        <w:gridCol w:w="859"/>
        <w:gridCol w:w="1374"/>
        <w:gridCol w:w="1225"/>
      </w:tblGrid>
      <w:tr>
        <w:trPr>
          <w:jc w:val="center"/>
          <w:trHeight w:val="50"/>
        </w:trPr>
        <w:tc>
          <w:tcPr>
            <w:tcBorders>
              <w:top w:val="single" w:color="000000" w:sz="4" w:space="0"/>
              <w:left w:val="single" w:color="000000" w:sz="4" w:space="0"/>
              <w:bottom w:val="single" w:color="000000" w:sz="4" w:space="0"/>
              <w:right w:val="single" w:color="000000" w:sz="4" w:space="0"/>
            </w:tcBorders>
            <w:tcW w:w="3061" w:type="dxa"/>
            <w:vAlign w:val="center"/>
            <w:vMerge w:val="restart"/>
            <w:textDirection w:val="lrTb"/>
            <w:noWrap w:val="false"/>
          </w:tcPr>
          <w:p>
            <w:pPr>
              <w:pStyle w:val="1063"/>
              <w:jc w:val="center"/>
              <w:widowControl w:val="off"/>
              <w:rPr>
                <w:sz w:val="20"/>
                <w:szCs w:val="20"/>
              </w:rPr>
            </w:pPr>
            <w:r>
              <w:rPr>
                <w:rFonts w:ascii="Arial Narrow" w:hAnsi="Arial Narrow" w:cs="Calibri"/>
                <w:sz w:val="20"/>
                <w:szCs w:val="20"/>
              </w:rPr>
              <w:t xml:space="preserve">Наименование оборудования</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66" w:type="dxa"/>
            <w:vAlign w:val="center"/>
            <w:vMerge w:val="restart"/>
            <w:textDirection w:val="lrTb"/>
            <w:noWrap w:val="false"/>
          </w:tcPr>
          <w:p>
            <w:pPr>
              <w:pStyle w:val="1063"/>
              <w:jc w:val="center"/>
              <w:widowControl w:val="off"/>
              <w:rPr>
                <w:sz w:val="20"/>
                <w:szCs w:val="20"/>
              </w:rPr>
            </w:pPr>
            <w:r>
              <w:rPr>
                <w:rFonts w:ascii="Arial Narrow" w:hAnsi="Arial Narrow" w:cs="Calibri"/>
                <w:sz w:val="20"/>
                <w:szCs w:val="20"/>
              </w:rPr>
              <w:t xml:space="preserve">Ед. изм.</w:t>
            </w:r>
            <w:r>
              <w:rPr>
                <w:sz w:val="20"/>
                <w:szCs w:val="20"/>
              </w:rPr>
            </w:r>
            <w:r>
              <w:rPr>
                <w:sz w:val="20"/>
                <w:szCs w:val="20"/>
              </w:rPr>
            </w:r>
          </w:p>
        </w:tc>
        <w:tc>
          <w:tcPr>
            <w:gridSpan w:val="3"/>
            <w:tcBorders>
              <w:top w:val="single" w:color="000000" w:sz="4" w:space="0"/>
              <w:left w:val="single" w:color="000000" w:sz="4" w:space="0"/>
              <w:bottom w:val="single" w:color="000000" w:sz="4" w:space="0"/>
              <w:right w:val="single" w:color="000000" w:sz="4" w:space="0"/>
            </w:tcBorders>
            <w:tcW w:w="2768" w:type="dxa"/>
            <w:vAlign w:val="bottom"/>
            <w:textDirection w:val="lrTb"/>
            <w:noWrap w:val="false"/>
          </w:tcPr>
          <w:p>
            <w:pPr>
              <w:pStyle w:val="1063"/>
              <w:jc w:val="center"/>
              <w:widowControl w:val="off"/>
              <w:rPr>
                <w:sz w:val="20"/>
                <w:szCs w:val="20"/>
              </w:rPr>
            </w:pPr>
            <w:r>
              <w:rPr>
                <w:rFonts w:ascii="Arial Narrow" w:hAnsi="Arial Narrow" w:cs="Calibri"/>
                <w:sz w:val="20"/>
                <w:szCs w:val="20"/>
              </w:rPr>
              <w:t xml:space="preserve">2023 г.</w:t>
            </w:r>
            <w:r>
              <w:rPr>
                <w:sz w:val="20"/>
                <w:szCs w:val="20"/>
              </w:rPr>
            </w:r>
            <w:r>
              <w:rPr>
                <w:sz w:val="20"/>
                <w:szCs w:val="20"/>
              </w:rPr>
            </w:r>
          </w:p>
        </w:tc>
        <w:tc>
          <w:tcPr>
            <w:gridSpan w:val="3"/>
            <w:tcBorders>
              <w:top w:val="single" w:color="000000" w:sz="4" w:space="0"/>
              <w:left w:val="single" w:color="000000" w:sz="4" w:space="0"/>
              <w:bottom w:val="single" w:color="000000" w:sz="4" w:space="0"/>
              <w:right w:val="single" w:color="000000" w:sz="4" w:space="0"/>
            </w:tcBorders>
            <w:tcW w:w="3458" w:type="dxa"/>
            <w:vAlign w:val="bottom"/>
            <w:textDirection w:val="lrTb"/>
            <w:noWrap w:val="false"/>
          </w:tcPr>
          <w:p>
            <w:pPr>
              <w:pStyle w:val="1063"/>
              <w:ind w:right="-279"/>
              <w:jc w:val="center"/>
              <w:widowControl w:val="off"/>
              <w:rPr>
                <w:sz w:val="20"/>
                <w:szCs w:val="20"/>
              </w:rPr>
            </w:pPr>
            <w:r>
              <w:rPr>
                <w:rFonts w:ascii="Arial Narrow" w:hAnsi="Arial Narrow" w:cs="Calibri"/>
                <w:sz w:val="20"/>
                <w:szCs w:val="20"/>
              </w:rPr>
              <w:t xml:space="preserve">2024 г.</w:t>
            </w:r>
            <w:r>
              <w:rPr>
                <w:sz w:val="20"/>
                <w:szCs w:val="20"/>
              </w:rPr>
            </w:r>
            <w:r>
              <w:rPr>
                <w:sz w:val="20"/>
                <w:szCs w:val="20"/>
              </w:rPr>
            </w:r>
          </w:p>
        </w:tc>
      </w:tr>
      <w:tr>
        <w:trPr>
          <w:jc w:val="center"/>
          <w:trHeight w:val="171"/>
        </w:trPr>
        <w:tc>
          <w:tcPr>
            <w:tcBorders>
              <w:top w:val="single" w:color="000000" w:sz="4" w:space="0"/>
              <w:left w:val="single" w:color="000000" w:sz="4" w:space="0"/>
              <w:bottom w:val="single" w:color="000000" w:sz="4" w:space="0"/>
              <w:right w:val="single" w:color="000000" w:sz="4" w:space="0"/>
            </w:tcBorders>
            <w:tcW w:w="3061"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66"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75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 План</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76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Факт</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43"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 выполнения</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85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 План</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37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Ожидаемый факт</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2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 выполнения</w:t>
            </w:r>
            <w:r>
              <w:rPr>
                <w:sz w:val="20"/>
                <w:szCs w:val="20"/>
              </w:rPr>
            </w:r>
            <w:r>
              <w:rPr>
                <w:sz w:val="20"/>
                <w:szCs w:val="20"/>
              </w:rPr>
            </w:r>
          </w:p>
        </w:tc>
      </w:tr>
      <w:tr>
        <w:trPr>
          <w:jc w:val="center"/>
          <w:trHeight w:val="40"/>
        </w:trPr>
        <w:tc>
          <w:tcPr>
            <w:tcBorders>
              <w:top w:val="single" w:color="000000" w:sz="4" w:space="0"/>
              <w:left w:val="single" w:color="000000" w:sz="4" w:space="0"/>
              <w:bottom w:val="single" w:color="000000" w:sz="4" w:space="0"/>
              <w:right w:val="single" w:color="000000" w:sz="4" w:space="0"/>
            </w:tcBorders>
            <w:tcW w:w="3061" w:type="dxa"/>
            <w:vAlign w:val="center"/>
            <w:vMerge w:val="restart"/>
            <w:textDirection w:val="lrTb"/>
            <w:noWrap w:val="false"/>
          </w:tcPr>
          <w:p>
            <w:pPr>
              <w:pStyle w:val="1063"/>
              <w:widowControl w:val="off"/>
              <w:rPr>
                <w:sz w:val="20"/>
                <w:szCs w:val="20"/>
              </w:rPr>
            </w:pPr>
            <w:r>
              <w:rPr>
                <w:rFonts w:ascii="Arial Narrow" w:hAnsi="Arial Narrow" w:cs="Calibri"/>
                <w:sz w:val="20"/>
                <w:szCs w:val="20"/>
              </w:rPr>
              <w:t xml:space="preserve">Турбоагрегаты (всего)</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86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ед.</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75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19</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76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19</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243" w:type="dxa"/>
            <w:vAlign w:val="center"/>
            <w:vMerge w:val="restart"/>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100</w:t>
            </w:r>
            <w:r>
              <w:rPr>
                <w:rFonts w:ascii="Arial Narrow" w:hAnsi="Arial Narrow"/>
                <w:sz w:val="20"/>
                <w:szCs w:val="20"/>
              </w:rPr>
            </w:r>
            <w:r>
              <w:rPr>
                <w:rFonts w:ascii="Arial Narrow" w:hAnsi="Arial Narrow"/>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85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19</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37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18</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225" w:type="dxa"/>
            <w:vAlign w:val="center"/>
            <w:vMerge w:val="restart"/>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95</w:t>
            </w:r>
            <w:r>
              <w:rPr>
                <w:rFonts w:ascii="Arial Narrow" w:hAnsi="Arial Narrow"/>
                <w:sz w:val="20"/>
                <w:szCs w:val="20"/>
              </w:rPr>
            </w:r>
            <w:r>
              <w:rPr>
                <w:rFonts w:ascii="Arial Narrow" w:hAnsi="Arial Narrow"/>
                <w:sz w:val="20"/>
                <w:szCs w:val="20"/>
              </w:rPr>
            </w:r>
          </w:p>
        </w:tc>
      </w:tr>
      <w:tr>
        <w:trPr>
          <w:jc w:val="center"/>
          <w:trHeight w:val="50"/>
        </w:trPr>
        <w:tc>
          <w:tcPr>
            <w:tcBorders>
              <w:top w:val="single" w:color="000000" w:sz="4" w:space="0"/>
              <w:left w:val="single" w:color="000000" w:sz="4" w:space="0"/>
              <w:bottom w:val="single" w:color="000000" w:sz="4" w:space="0"/>
              <w:right w:val="single" w:color="000000" w:sz="4" w:space="0"/>
            </w:tcBorders>
            <w:tcW w:w="3061"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86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МВт</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75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483</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76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483</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243"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85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483</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37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428</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225"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r>
      <w:tr>
        <w:trPr>
          <w:jc w:val="center"/>
          <w:trHeight w:val="20"/>
        </w:trPr>
        <w:tc>
          <w:tcPr>
            <w:tcBorders>
              <w:top w:val="single" w:color="000000" w:sz="4" w:space="0"/>
              <w:left w:val="single" w:color="000000" w:sz="4" w:space="0"/>
              <w:bottom w:val="single" w:color="000000" w:sz="4" w:space="0"/>
              <w:right w:val="single" w:color="000000" w:sz="4" w:space="0"/>
            </w:tcBorders>
            <w:tcW w:w="3061" w:type="dxa"/>
            <w:vAlign w:val="center"/>
            <w:vMerge w:val="restart"/>
            <w:textDirection w:val="lrTb"/>
            <w:noWrap w:val="false"/>
          </w:tcPr>
          <w:p>
            <w:pPr>
              <w:pStyle w:val="1063"/>
              <w:widowControl w:val="off"/>
              <w:rPr>
                <w:sz w:val="20"/>
                <w:szCs w:val="20"/>
              </w:rPr>
            </w:pPr>
            <w:r>
              <w:rPr>
                <w:rFonts w:ascii="Arial Narrow" w:hAnsi="Arial Narrow" w:cs="Calibri"/>
                <w:sz w:val="20"/>
                <w:szCs w:val="20"/>
              </w:rPr>
              <w:t xml:space="preserve">Котлоагрегаты (всего)</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86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ед.</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75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8</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76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8</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243" w:type="dxa"/>
            <w:vAlign w:val="center"/>
            <w:vMerge w:val="restart"/>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100</w:t>
            </w:r>
            <w:r>
              <w:rPr>
                <w:rFonts w:ascii="Arial Narrow" w:hAnsi="Arial Narrow"/>
                <w:sz w:val="20"/>
                <w:szCs w:val="20"/>
              </w:rPr>
            </w:r>
            <w:r>
              <w:rPr>
                <w:rFonts w:ascii="Arial Narrow" w:hAnsi="Arial Narrow"/>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85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9</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37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9</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225" w:type="dxa"/>
            <w:vAlign w:val="center"/>
            <w:vMerge w:val="restart"/>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100</w:t>
            </w:r>
            <w:r>
              <w:rPr>
                <w:rFonts w:ascii="Arial Narrow" w:hAnsi="Arial Narrow"/>
                <w:sz w:val="20"/>
                <w:szCs w:val="20"/>
              </w:rPr>
            </w:r>
            <w:r>
              <w:rPr>
                <w:rFonts w:ascii="Arial Narrow" w:hAnsi="Arial Narrow"/>
                <w:sz w:val="20"/>
                <w:szCs w:val="20"/>
              </w:rPr>
            </w:r>
          </w:p>
        </w:tc>
      </w:tr>
      <w:tr>
        <w:trPr>
          <w:jc w:val="center"/>
          <w:trHeight w:val="50"/>
        </w:trPr>
        <w:tc>
          <w:tcPr>
            <w:tcBorders>
              <w:top w:val="single" w:color="000000" w:sz="4" w:space="0"/>
              <w:left w:val="single" w:color="000000" w:sz="4" w:space="0"/>
              <w:bottom w:val="single" w:color="000000" w:sz="4" w:space="0"/>
              <w:right w:val="single" w:color="000000" w:sz="4" w:space="0"/>
            </w:tcBorders>
            <w:tcW w:w="3061"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86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т/ч</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75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1560</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76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1560</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243"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85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1680</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37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1680</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225"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r>
      <w:tr>
        <w:trPr>
          <w:jc w:val="center"/>
          <w:trHeight w:val="20"/>
        </w:trPr>
        <w:tc>
          <w:tcPr>
            <w:tcBorders>
              <w:top w:val="single" w:color="000000" w:sz="4" w:space="0"/>
              <w:left w:val="single" w:color="000000" w:sz="4" w:space="0"/>
              <w:bottom w:val="single" w:color="000000" w:sz="4" w:space="0"/>
              <w:right w:val="single" w:color="000000" w:sz="4" w:space="0"/>
            </w:tcBorders>
            <w:tcW w:w="3061" w:type="dxa"/>
            <w:vAlign w:val="center"/>
            <w:vMerge w:val="restart"/>
            <w:textDirection w:val="lrTb"/>
            <w:noWrap w:val="false"/>
          </w:tcPr>
          <w:p>
            <w:pPr>
              <w:pStyle w:val="1063"/>
              <w:widowControl w:val="off"/>
              <w:rPr>
                <w:sz w:val="20"/>
                <w:szCs w:val="20"/>
              </w:rPr>
            </w:pPr>
            <w:r>
              <w:rPr>
                <w:rFonts w:ascii="Arial Narrow" w:hAnsi="Arial Narrow" w:cs="Calibri"/>
                <w:sz w:val="20"/>
                <w:szCs w:val="20"/>
              </w:rPr>
              <w:t xml:space="preserve">Водогрейные котлы</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86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ед.</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75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76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243" w:type="dxa"/>
            <w:vAlign w:val="center"/>
            <w:vMerge w:val="restart"/>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w:t>
            </w:r>
            <w:r>
              <w:rPr>
                <w:rFonts w:ascii="Arial Narrow" w:hAnsi="Arial Narrow"/>
                <w:sz w:val="20"/>
                <w:szCs w:val="20"/>
              </w:rPr>
            </w:r>
            <w:r>
              <w:rPr>
                <w:rFonts w:ascii="Arial Narrow" w:hAnsi="Arial Narrow"/>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85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37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225" w:type="dxa"/>
            <w:vAlign w:val="center"/>
            <w:vMerge w:val="restart"/>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w:t>
            </w:r>
            <w:r>
              <w:rPr>
                <w:rFonts w:ascii="Arial Narrow" w:hAnsi="Arial Narrow"/>
                <w:sz w:val="20"/>
                <w:szCs w:val="20"/>
              </w:rPr>
            </w:r>
            <w:r>
              <w:rPr>
                <w:rFonts w:ascii="Arial Narrow" w:hAnsi="Arial Narrow"/>
                <w:sz w:val="20"/>
                <w:szCs w:val="20"/>
              </w:rPr>
            </w:r>
          </w:p>
        </w:tc>
      </w:tr>
      <w:tr>
        <w:trPr>
          <w:jc w:val="center"/>
          <w:trHeight w:val="40"/>
        </w:trPr>
        <w:tc>
          <w:tcPr>
            <w:tcBorders>
              <w:top w:val="single" w:color="000000" w:sz="4" w:space="0"/>
              <w:left w:val="single" w:color="000000" w:sz="4" w:space="0"/>
              <w:bottom w:val="single" w:color="000000" w:sz="4" w:space="0"/>
              <w:right w:val="single" w:color="000000" w:sz="4" w:space="0"/>
            </w:tcBorders>
            <w:tcW w:w="3061"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86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Гкал/ч</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75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76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243"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85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37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225"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r>
      <w:tr>
        <w:trPr>
          <w:jc w:val="center"/>
          <w:trHeight w:val="20"/>
        </w:trPr>
        <w:tc>
          <w:tcPr>
            <w:tcBorders>
              <w:top w:val="single" w:color="000000" w:sz="4" w:space="0"/>
              <w:left w:val="single" w:color="000000" w:sz="4" w:space="0"/>
              <w:bottom w:val="single" w:color="000000" w:sz="4" w:space="0"/>
              <w:right w:val="single" w:color="000000" w:sz="4" w:space="0"/>
            </w:tcBorders>
            <w:tcW w:w="3061" w:type="dxa"/>
            <w:vAlign w:val="center"/>
            <w:vMerge w:val="restart"/>
            <w:textDirection w:val="lrTb"/>
            <w:noWrap w:val="false"/>
          </w:tcPr>
          <w:p>
            <w:pPr>
              <w:pStyle w:val="1063"/>
              <w:widowControl w:val="off"/>
              <w:rPr>
                <w:sz w:val="20"/>
                <w:szCs w:val="20"/>
              </w:rPr>
            </w:pPr>
            <w:r>
              <w:rPr>
                <w:rFonts w:ascii="Arial Narrow" w:hAnsi="Arial Narrow" w:cs="Calibri"/>
                <w:sz w:val="20"/>
                <w:szCs w:val="20"/>
              </w:rPr>
              <w:t xml:space="preserve">Генераторы</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86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ед.</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75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19</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76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19</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243" w:type="dxa"/>
            <w:vAlign w:val="center"/>
            <w:vMerge w:val="restart"/>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100</w:t>
            </w:r>
            <w:r>
              <w:rPr>
                <w:rFonts w:ascii="Arial Narrow" w:hAnsi="Arial Narrow"/>
                <w:sz w:val="20"/>
                <w:szCs w:val="20"/>
              </w:rPr>
            </w:r>
            <w:r>
              <w:rPr>
                <w:rFonts w:ascii="Arial Narrow" w:hAnsi="Arial Narrow"/>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85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19</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37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18</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225" w:type="dxa"/>
            <w:vAlign w:val="center"/>
            <w:vMerge w:val="restart"/>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95</w:t>
            </w:r>
            <w:r>
              <w:rPr>
                <w:rFonts w:ascii="Arial Narrow" w:hAnsi="Arial Narrow"/>
                <w:sz w:val="20"/>
                <w:szCs w:val="20"/>
              </w:rPr>
            </w:r>
            <w:r>
              <w:rPr>
                <w:rFonts w:ascii="Arial Narrow" w:hAnsi="Arial Narrow"/>
                <w:sz w:val="20"/>
                <w:szCs w:val="20"/>
              </w:rPr>
            </w:r>
          </w:p>
        </w:tc>
      </w:tr>
      <w:tr>
        <w:trPr>
          <w:jc w:val="center"/>
          <w:trHeight w:val="20"/>
        </w:trPr>
        <w:tc>
          <w:tcPr>
            <w:tcBorders>
              <w:top w:val="single" w:color="000000" w:sz="4" w:space="0"/>
              <w:left w:val="single" w:color="000000" w:sz="4" w:space="0"/>
              <w:bottom w:val="single" w:color="000000" w:sz="4" w:space="0"/>
              <w:right w:val="single" w:color="000000" w:sz="4" w:space="0"/>
            </w:tcBorders>
            <w:tcW w:w="3061"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86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МВт</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75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588</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76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588</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243"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85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588</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37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525</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225"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r>
      <w:tr>
        <w:trPr>
          <w:jc w:val="center"/>
          <w:trHeight w:val="20"/>
        </w:trPr>
        <w:tc>
          <w:tcPr>
            <w:tcBorders>
              <w:top w:val="single" w:color="000000" w:sz="4" w:space="0"/>
              <w:left w:val="single" w:color="000000" w:sz="4" w:space="0"/>
              <w:bottom w:val="single" w:color="000000" w:sz="4" w:space="0"/>
              <w:right w:val="single" w:color="000000" w:sz="4" w:space="0"/>
            </w:tcBorders>
            <w:tcW w:w="3061" w:type="dxa"/>
            <w:vAlign w:val="center"/>
            <w:vMerge w:val="restart"/>
            <w:textDirection w:val="lrTb"/>
            <w:noWrap w:val="false"/>
          </w:tcPr>
          <w:p>
            <w:pPr>
              <w:pStyle w:val="1063"/>
              <w:widowControl w:val="off"/>
              <w:rPr>
                <w:sz w:val="20"/>
                <w:szCs w:val="20"/>
              </w:rPr>
            </w:pPr>
            <w:r>
              <w:rPr>
                <w:rFonts w:ascii="Arial Narrow" w:hAnsi="Arial Narrow" w:cs="Calibri"/>
                <w:sz w:val="20"/>
                <w:szCs w:val="20"/>
              </w:rPr>
              <w:t xml:space="preserve">Трансформаторы</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86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ед.</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75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6</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76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6</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243" w:type="dxa"/>
            <w:vAlign w:val="center"/>
            <w:vMerge w:val="restart"/>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100</w:t>
            </w:r>
            <w:r>
              <w:rPr>
                <w:rFonts w:ascii="Arial Narrow" w:hAnsi="Arial Narrow"/>
                <w:sz w:val="20"/>
                <w:szCs w:val="20"/>
              </w:rPr>
            </w:r>
            <w:r>
              <w:rPr>
                <w:rFonts w:ascii="Arial Narrow" w:hAnsi="Arial Narrow"/>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85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5</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37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5</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225" w:type="dxa"/>
            <w:vAlign w:val="center"/>
            <w:vMerge w:val="restart"/>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100</w:t>
            </w:r>
            <w:r>
              <w:rPr>
                <w:rFonts w:ascii="Arial Narrow" w:hAnsi="Arial Narrow"/>
                <w:sz w:val="20"/>
                <w:szCs w:val="20"/>
              </w:rPr>
            </w:r>
            <w:r>
              <w:rPr>
                <w:rFonts w:ascii="Arial Narrow" w:hAnsi="Arial Narrow"/>
                <w:sz w:val="20"/>
                <w:szCs w:val="20"/>
              </w:rPr>
            </w:r>
          </w:p>
        </w:tc>
      </w:tr>
      <w:tr>
        <w:trPr>
          <w:jc w:val="center"/>
          <w:trHeight w:val="20"/>
        </w:trPr>
        <w:tc>
          <w:tcPr>
            <w:tcBorders>
              <w:top w:val="single" w:color="000000" w:sz="4" w:space="0"/>
              <w:left w:val="single" w:color="000000" w:sz="4" w:space="0"/>
              <w:bottom w:val="single" w:color="000000" w:sz="4" w:space="0"/>
              <w:right w:val="single" w:color="000000" w:sz="4" w:space="0"/>
            </w:tcBorders>
            <w:tcW w:w="3061"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86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МВА</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75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265</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76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265</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243"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85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197</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37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197</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225"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r>
      <w:tr>
        <w:trPr>
          <w:jc w:val="center"/>
          <w:trHeight w:val="20"/>
        </w:trPr>
        <w:tc>
          <w:tcPr>
            <w:tcBorders>
              <w:top w:val="single" w:color="000000" w:sz="4" w:space="0"/>
              <w:left w:val="single" w:color="000000" w:sz="4" w:space="0"/>
              <w:bottom w:val="single" w:color="000000" w:sz="4" w:space="0"/>
              <w:right w:val="single" w:color="000000" w:sz="4" w:space="0"/>
            </w:tcBorders>
            <w:tcW w:w="3061" w:type="dxa"/>
            <w:vAlign w:val="center"/>
            <w:textDirection w:val="lrTb"/>
            <w:noWrap w:val="false"/>
          </w:tcPr>
          <w:p>
            <w:pPr>
              <w:pStyle w:val="1063"/>
              <w:jc w:val="both"/>
              <w:widowControl w:val="off"/>
              <w:rPr>
                <w:sz w:val="20"/>
                <w:szCs w:val="20"/>
              </w:rPr>
            </w:pPr>
            <w:r>
              <w:rPr>
                <w:rFonts w:ascii="Arial Narrow" w:hAnsi="Arial Narrow" w:cs="Calibri"/>
                <w:sz w:val="20"/>
                <w:szCs w:val="20"/>
              </w:rPr>
              <w:t xml:space="preserve">Электрические сети 110кв и выше</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86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км.</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75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26,8</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76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26,96</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243"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100,5</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85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40,8</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37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40,6</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22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99,5</w:t>
            </w:r>
            <w:r>
              <w:rPr>
                <w:sz w:val="20"/>
                <w:szCs w:val="20"/>
              </w:rPr>
            </w:r>
            <w:r>
              <w:rPr>
                <w:sz w:val="20"/>
                <w:szCs w:val="20"/>
              </w:rPr>
            </w:r>
          </w:p>
        </w:tc>
      </w:tr>
      <w:tr>
        <w:trPr>
          <w:jc w:val="center"/>
          <w:trHeight w:val="20"/>
        </w:trPr>
        <w:tc>
          <w:tcPr>
            <w:tcBorders>
              <w:top w:val="single" w:color="000000" w:sz="4" w:space="0"/>
              <w:left w:val="single" w:color="000000" w:sz="4" w:space="0"/>
              <w:bottom w:val="single" w:color="000000" w:sz="4" w:space="0"/>
              <w:right w:val="single" w:color="000000" w:sz="4" w:space="0"/>
            </w:tcBorders>
            <w:tcW w:w="3061" w:type="dxa"/>
            <w:vAlign w:val="center"/>
            <w:textDirection w:val="lrTb"/>
            <w:noWrap w:val="false"/>
          </w:tcPr>
          <w:p>
            <w:pPr>
              <w:pStyle w:val="1063"/>
              <w:widowControl w:val="off"/>
              <w:rPr>
                <w:sz w:val="20"/>
                <w:szCs w:val="20"/>
              </w:rPr>
            </w:pPr>
            <w:r>
              <w:rPr>
                <w:rFonts w:ascii="Arial Narrow" w:hAnsi="Arial Narrow" w:cs="Calibri"/>
                <w:sz w:val="20"/>
                <w:szCs w:val="20"/>
              </w:rPr>
              <w:t xml:space="preserve">Тепловые сети</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86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км.</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75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1,1</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76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1,1</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243"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100</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85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1,7</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37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1,7</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22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100</w:t>
            </w:r>
            <w:r>
              <w:rPr>
                <w:sz w:val="20"/>
                <w:szCs w:val="20"/>
              </w:rPr>
            </w:r>
            <w:r>
              <w:rPr>
                <w:sz w:val="20"/>
                <w:szCs w:val="20"/>
              </w:rPr>
            </w:r>
          </w:p>
        </w:tc>
      </w:tr>
    </w:tbl>
    <w:p>
      <w:pPr>
        <w:pStyle w:val="1063"/>
        <w:rPr>
          <w:rFonts w:ascii="Arial Narrow" w:hAnsi="Arial Narrow"/>
          <w:sz w:val="12"/>
          <w:szCs w:val="12"/>
        </w:rPr>
      </w:pPr>
      <w:r>
        <w:rPr>
          <w:rFonts w:ascii="Arial Narrow" w:hAnsi="Arial Narrow"/>
          <w:sz w:val="12"/>
          <w:szCs w:val="12"/>
        </w:rPr>
      </w:r>
      <w:r>
        <w:rPr>
          <w:rFonts w:ascii="Arial Narrow" w:hAnsi="Arial Narrow"/>
          <w:sz w:val="12"/>
          <w:szCs w:val="12"/>
        </w:rPr>
      </w:r>
      <w:r>
        <w:rPr>
          <w:rFonts w:ascii="Arial Narrow" w:hAnsi="Arial Narrow"/>
          <w:sz w:val="12"/>
          <w:szCs w:val="12"/>
        </w:rPr>
      </w:r>
    </w:p>
    <w:p>
      <w:pPr>
        <w:pStyle w:val="1063"/>
        <w:ind w:firstLine="567"/>
        <w:jc w:val="both"/>
      </w:pPr>
      <w:r>
        <w:rPr>
          <w:rFonts w:ascii="Arial Narrow" w:hAnsi="Arial Narrow"/>
          <w:color w:val="0f0d29"/>
        </w:rPr>
        <w:t xml:space="preserve">Физические объемы работ, запланированные по ремонтной программе 2024 года</w:t>
      </w:r>
      <w:r>
        <w:rPr>
          <w:rFonts w:ascii="Arial Narrow" w:hAnsi="Arial Narrow"/>
          <w:color w:val="0f0d29"/>
        </w:rPr>
        <w:t xml:space="preserve"> выполнены в полном объеме. При проведении капитального ремонта турбины и генератора ст. № 4 Камчатской ТЭЦ-1 сроки ремонта были продлены в связи с тем, что в ходе дефектовки ротора генератора ст. № 4 на заводе АО «Элсиб» выявлена необходимость проведения </w:t>
      </w:r>
      <w:r>
        <w:rPr>
          <w:rFonts w:ascii="Arial Narrow" w:hAnsi="Arial Narrow"/>
          <w:color w:val="0f0d29"/>
        </w:rPr>
        <w:t xml:space="preserve">дополнительного объема работ относительно ранее запланированного, вследствие чего ротор генератора после проведенного ремонта поступил на станцию ТЭЦ-1 для последующей сборки генератора позднее запланированных сроков. Фактически ремонт закончен 21.02.2025.</w:t>
      </w:r>
      <w:r/>
    </w:p>
    <w:p>
      <w:pPr>
        <w:pStyle w:val="1063"/>
        <w:ind w:firstLine="567"/>
        <w:jc w:val="both"/>
        <w:rPr>
          <w:rFonts w:ascii="Arial Narrow" w:hAnsi="Arial Narrow"/>
          <w:sz w:val="16"/>
          <w:szCs w:val="16"/>
        </w:rPr>
      </w:pPr>
      <w:r>
        <w:rPr>
          <w:rFonts w:ascii="Arial Narrow" w:hAnsi="Arial Narrow"/>
          <w:sz w:val="16"/>
          <w:szCs w:val="16"/>
        </w:rPr>
      </w:r>
      <w:r>
        <w:rPr>
          <w:rFonts w:ascii="Arial Narrow" w:hAnsi="Arial Narrow"/>
          <w:sz w:val="16"/>
          <w:szCs w:val="16"/>
        </w:rPr>
      </w:r>
      <w:r>
        <w:rPr>
          <w:rFonts w:ascii="Arial Narrow" w:hAnsi="Arial Narrow"/>
          <w:sz w:val="16"/>
          <w:szCs w:val="16"/>
        </w:rPr>
      </w:r>
    </w:p>
    <w:p>
      <w:pPr>
        <w:pStyle w:val="1096"/>
        <w:ind w:left="0" w:right="-5"/>
        <w:jc w:val="both"/>
        <w:spacing w:after="0" w:line="276" w:lineRule="auto"/>
      </w:pPr>
      <w:r>
        <w:rPr>
          <w:rFonts w:ascii="Arial Narrow" w:hAnsi="Arial Narrow" w:cs="Calibri"/>
          <w:b/>
          <w:color w:val="314e87"/>
          <w:sz w:val="24"/>
          <w:szCs w:val="24"/>
        </w:rPr>
        <w:t xml:space="preserve">Источники финансирования ремонтной программ</w:t>
      </w:r>
      <w:r/>
    </w:p>
    <w:p>
      <w:pPr>
        <w:pStyle w:val="1063"/>
        <w:jc w:val="right"/>
      </w:pPr>
      <w:r>
        <w:rPr>
          <w:rFonts w:ascii="Arial Narrow" w:hAnsi="Arial Narrow" w:eastAsia="Calibri" w:cs="Calibri"/>
          <w:i/>
          <w:lang w:eastAsia="ja-JP"/>
        </w:rPr>
        <w:t xml:space="preserve">Таблица № 15, тыс. рублей</w:t>
      </w:r>
      <w:r/>
    </w:p>
    <w:tbl>
      <w:tblPr>
        <w:tblW w:w="494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516"/>
        <w:gridCol w:w="1922"/>
        <w:gridCol w:w="1925"/>
        <w:gridCol w:w="1809"/>
      </w:tblGrid>
      <w:tr>
        <w:trPr>
          <w:jc w:val="center"/>
          <w:trHeight w:val="70"/>
        </w:trPr>
        <w:tc>
          <w:tcPr>
            <w:tcW w:w="4517" w:type="dxa"/>
            <w:textDirection w:val="lrTb"/>
            <w:noWrap w:val="false"/>
          </w:tcPr>
          <w:p>
            <w:pPr>
              <w:pStyle w:val="1063"/>
              <w:jc w:val="center"/>
              <w:widowControl w:val="off"/>
              <w:rPr>
                <w:sz w:val="20"/>
                <w:szCs w:val="20"/>
              </w:rPr>
            </w:pPr>
            <w:r>
              <w:rPr>
                <w:rFonts w:ascii="Arial Narrow" w:hAnsi="Arial Narrow" w:cs="Calibri"/>
                <w:sz w:val="20"/>
                <w:szCs w:val="20"/>
              </w:rPr>
              <w:t xml:space="preserve">Наименование</w:t>
            </w:r>
            <w:r>
              <w:rPr>
                <w:sz w:val="20"/>
                <w:szCs w:val="20"/>
              </w:rPr>
            </w:r>
            <w:r>
              <w:rPr>
                <w:sz w:val="20"/>
                <w:szCs w:val="20"/>
              </w:rPr>
            </w:r>
          </w:p>
        </w:tc>
        <w:tc>
          <w:tcPr>
            <w:tcW w:w="1922" w:type="dxa"/>
            <w:textDirection w:val="lrTb"/>
            <w:noWrap w:val="false"/>
          </w:tcPr>
          <w:p>
            <w:pPr>
              <w:pStyle w:val="1063"/>
              <w:jc w:val="center"/>
              <w:widowControl w:val="off"/>
              <w:rPr>
                <w:sz w:val="20"/>
                <w:szCs w:val="20"/>
              </w:rPr>
            </w:pPr>
            <w:r>
              <w:rPr>
                <w:rFonts w:ascii="Arial Narrow" w:hAnsi="Arial Narrow" w:cs="Calibri"/>
                <w:bCs/>
                <w:sz w:val="20"/>
                <w:szCs w:val="20"/>
              </w:rPr>
              <w:t xml:space="preserve">2022 г.</w:t>
            </w:r>
            <w:r>
              <w:rPr>
                <w:sz w:val="20"/>
                <w:szCs w:val="20"/>
              </w:rPr>
            </w:r>
            <w:r>
              <w:rPr>
                <w:sz w:val="20"/>
                <w:szCs w:val="20"/>
              </w:rPr>
            </w:r>
          </w:p>
        </w:tc>
        <w:tc>
          <w:tcPr>
            <w:tcW w:w="1925" w:type="dxa"/>
            <w:textDirection w:val="lrTb"/>
            <w:noWrap w:val="false"/>
          </w:tcPr>
          <w:p>
            <w:pPr>
              <w:pStyle w:val="1063"/>
              <w:jc w:val="center"/>
              <w:widowControl w:val="off"/>
              <w:rPr>
                <w:sz w:val="20"/>
                <w:szCs w:val="20"/>
              </w:rPr>
            </w:pPr>
            <w:r>
              <w:rPr>
                <w:rFonts w:ascii="Arial Narrow" w:hAnsi="Arial Narrow" w:cs="Calibri"/>
                <w:bCs/>
                <w:sz w:val="20"/>
                <w:szCs w:val="20"/>
              </w:rPr>
              <w:t xml:space="preserve">2023 г.</w:t>
            </w:r>
            <w:r>
              <w:rPr>
                <w:sz w:val="20"/>
                <w:szCs w:val="20"/>
              </w:rPr>
            </w:r>
            <w:r>
              <w:rPr>
                <w:sz w:val="20"/>
                <w:szCs w:val="20"/>
              </w:rPr>
            </w:r>
          </w:p>
        </w:tc>
        <w:tc>
          <w:tcPr>
            <w:tcW w:w="1809" w:type="dxa"/>
            <w:textDirection w:val="lrTb"/>
            <w:noWrap w:val="false"/>
          </w:tcPr>
          <w:p>
            <w:pPr>
              <w:pStyle w:val="1063"/>
              <w:jc w:val="center"/>
              <w:widowControl w:val="off"/>
              <w:rPr>
                <w:sz w:val="20"/>
                <w:szCs w:val="20"/>
              </w:rPr>
            </w:pPr>
            <w:r>
              <w:rPr>
                <w:rFonts w:ascii="Arial Narrow" w:hAnsi="Arial Narrow" w:cs="Calibri"/>
                <w:bCs/>
                <w:sz w:val="20"/>
                <w:szCs w:val="20"/>
              </w:rPr>
              <w:t xml:space="preserve">2024 г.</w:t>
            </w:r>
            <w:r>
              <w:rPr>
                <w:sz w:val="20"/>
                <w:szCs w:val="20"/>
              </w:rPr>
            </w:r>
            <w:r>
              <w:rPr>
                <w:sz w:val="20"/>
                <w:szCs w:val="20"/>
              </w:rPr>
            </w:r>
          </w:p>
        </w:tc>
      </w:tr>
      <w:tr>
        <w:trPr>
          <w:jc w:val="center"/>
          <w:trHeight w:val="87"/>
        </w:trPr>
        <w:tc>
          <w:tcPr>
            <w:tcW w:w="4517" w:type="dxa"/>
            <w:textDirection w:val="lrTb"/>
            <w:noWrap w:val="false"/>
          </w:tcPr>
          <w:p>
            <w:pPr>
              <w:pStyle w:val="1063"/>
              <w:jc w:val="center"/>
              <w:widowControl w:val="off"/>
              <w:rPr>
                <w:sz w:val="20"/>
                <w:szCs w:val="20"/>
              </w:rPr>
            </w:pPr>
            <w:r>
              <w:rPr>
                <w:rFonts w:ascii="Arial Narrow" w:hAnsi="Arial Narrow" w:cs="Calibri"/>
                <w:sz w:val="20"/>
                <w:szCs w:val="20"/>
              </w:rPr>
              <w:t xml:space="preserve">Бизнес план</w:t>
            </w:r>
            <w:r>
              <w:rPr>
                <w:sz w:val="20"/>
                <w:szCs w:val="20"/>
              </w:rPr>
            </w:r>
            <w:r>
              <w:rPr>
                <w:sz w:val="20"/>
                <w:szCs w:val="20"/>
              </w:rPr>
            </w:r>
          </w:p>
        </w:tc>
        <w:tc>
          <w:tcPr>
            <w:tcW w:w="192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1 775 459</w:t>
            </w:r>
            <w:r>
              <w:rPr>
                <w:sz w:val="20"/>
                <w:szCs w:val="20"/>
              </w:rPr>
            </w:r>
            <w:r>
              <w:rPr>
                <w:sz w:val="20"/>
                <w:szCs w:val="20"/>
              </w:rPr>
            </w:r>
          </w:p>
        </w:tc>
        <w:tc>
          <w:tcPr>
            <w:tcW w:w="192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1 981 763</w:t>
            </w:r>
            <w:r>
              <w:rPr>
                <w:sz w:val="20"/>
                <w:szCs w:val="20"/>
              </w:rPr>
            </w:r>
            <w:r>
              <w:rPr>
                <w:sz w:val="20"/>
                <w:szCs w:val="20"/>
              </w:rPr>
            </w:r>
          </w:p>
        </w:tc>
        <w:tc>
          <w:tcPr>
            <w:tcW w:w="180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2 153 317</w:t>
            </w:r>
            <w:r>
              <w:rPr>
                <w:sz w:val="20"/>
                <w:szCs w:val="20"/>
              </w:rPr>
            </w:r>
            <w:r>
              <w:rPr>
                <w:sz w:val="20"/>
                <w:szCs w:val="20"/>
              </w:rPr>
            </w:r>
          </w:p>
        </w:tc>
      </w:tr>
      <w:tr>
        <w:trPr>
          <w:jc w:val="center"/>
          <w:trHeight w:val="40"/>
        </w:trPr>
        <w:tc>
          <w:tcPr>
            <w:tcW w:w="4517" w:type="dxa"/>
            <w:textDirection w:val="lrTb"/>
            <w:noWrap w:val="false"/>
          </w:tcPr>
          <w:p>
            <w:pPr>
              <w:pStyle w:val="1063"/>
              <w:jc w:val="center"/>
              <w:widowControl w:val="off"/>
              <w:rPr>
                <w:sz w:val="20"/>
                <w:szCs w:val="20"/>
              </w:rPr>
            </w:pPr>
            <w:r>
              <w:rPr>
                <w:rFonts w:ascii="Arial Narrow" w:hAnsi="Arial Narrow" w:cs="Calibri"/>
                <w:sz w:val="20"/>
                <w:szCs w:val="20"/>
              </w:rPr>
              <w:t xml:space="preserve">Фактические затраты</w:t>
            </w:r>
            <w:r>
              <w:rPr>
                <w:sz w:val="20"/>
                <w:szCs w:val="20"/>
              </w:rPr>
            </w:r>
            <w:r>
              <w:rPr>
                <w:sz w:val="20"/>
                <w:szCs w:val="20"/>
              </w:rPr>
            </w:r>
          </w:p>
        </w:tc>
        <w:tc>
          <w:tcPr>
            <w:tcW w:w="192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1 823 400</w:t>
            </w:r>
            <w:r>
              <w:rPr>
                <w:sz w:val="20"/>
                <w:szCs w:val="20"/>
              </w:rPr>
            </w:r>
            <w:r>
              <w:rPr>
                <w:sz w:val="20"/>
                <w:szCs w:val="20"/>
              </w:rPr>
            </w:r>
          </w:p>
        </w:tc>
        <w:tc>
          <w:tcPr>
            <w:tcW w:w="192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2 114 815</w:t>
            </w:r>
            <w:r>
              <w:rPr>
                <w:sz w:val="20"/>
                <w:szCs w:val="20"/>
              </w:rPr>
            </w:r>
            <w:r>
              <w:rPr>
                <w:sz w:val="20"/>
                <w:szCs w:val="20"/>
              </w:rPr>
            </w:r>
          </w:p>
        </w:tc>
        <w:tc>
          <w:tcPr>
            <w:tcW w:w="180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2 340 497</w:t>
            </w:r>
            <w:r>
              <w:rPr>
                <w:sz w:val="20"/>
                <w:szCs w:val="20"/>
              </w:rPr>
            </w:r>
            <w:r>
              <w:rPr>
                <w:sz w:val="20"/>
                <w:szCs w:val="20"/>
              </w:rPr>
            </w:r>
          </w:p>
        </w:tc>
      </w:tr>
    </w:tbl>
    <w:p>
      <w:pPr>
        <w:pStyle w:val="1063"/>
        <w:jc w:val="both"/>
        <w:rPr>
          <w:rFonts w:ascii="Arial Narrow" w:hAnsi="Arial Narrow"/>
          <w:sz w:val="12"/>
          <w:szCs w:val="12"/>
        </w:rPr>
      </w:pPr>
      <w:r>
        <w:rPr>
          <w:rFonts w:ascii="Arial Narrow" w:hAnsi="Arial Narrow"/>
          <w:sz w:val="12"/>
          <w:szCs w:val="12"/>
        </w:rPr>
      </w:r>
      <w:r>
        <w:rPr>
          <w:rFonts w:ascii="Arial Narrow" w:hAnsi="Arial Narrow"/>
          <w:sz w:val="12"/>
          <w:szCs w:val="12"/>
        </w:rPr>
      </w:r>
      <w:r>
        <w:rPr>
          <w:rFonts w:ascii="Arial Narrow" w:hAnsi="Arial Narrow"/>
          <w:sz w:val="12"/>
          <w:szCs w:val="12"/>
        </w:rPr>
      </w:r>
    </w:p>
    <w:p>
      <w:pPr>
        <w:pStyle w:val="1063"/>
        <w:ind w:firstLine="567"/>
        <w:jc w:val="both"/>
      </w:pPr>
      <w:r>
        <w:rPr>
          <w:rFonts w:ascii="Arial Narrow" w:hAnsi="Arial Narrow"/>
          <w:color w:val="0f0d29"/>
        </w:rPr>
        <w:t xml:space="preserve">Утвержденные в </w:t>
      </w:r>
      <w:r>
        <w:rPr>
          <w:rFonts w:ascii="Arial Narrow" w:hAnsi="Arial Narrow"/>
          <w:color w:val="0f0d29"/>
        </w:rPr>
        <w:t xml:space="preserve">тарифе и бизнес-плане затраты на ремонтную деятельность позволили выполнить минимально необходимые физические объемы работ, достаточные для подготовки энергооборудования к работе в ОЗП 2024-2025 гг. и своевременно получить паспорт готовности энергосистемы.</w:t>
      </w:r>
      <w:r/>
    </w:p>
    <w:p>
      <w:pPr>
        <w:pStyle w:val="1063"/>
        <w:ind w:firstLine="720"/>
        <w:jc w:val="both"/>
        <w:rPr>
          <w:rFonts w:ascii="Arial Narrow" w:hAnsi="Arial Narrow"/>
        </w:rPr>
      </w:pPr>
      <w:r>
        <w:rPr>
          <w:rFonts w:ascii="Arial Narrow" w:hAnsi="Arial Narrow"/>
        </w:rPr>
      </w:r>
      <w:r>
        <w:rPr>
          <w:rFonts w:ascii="Arial Narrow" w:hAnsi="Arial Narrow"/>
        </w:rPr>
      </w:r>
      <w:r>
        <w:rPr>
          <w:rFonts w:ascii="Arial Narrow" w:hAnsi="Arial Narrow"/>
        </w:rPr>
      </w:r>
    </w:p>
    <w:p>
      <w:pPr>
        <w:pStyle w:val="1096"/>
        <w:ind w:left="0" w:right="-5"/>
        <w:jc w:val="both"/>
        <w:spacing w:after="0" w:line="276" w:lineRule="auto"/>
      </w:pPr>
      <w:r>
        <w:rPr>
          <w:rFonts w:ascii="Arial Narrow" w:hAnsi="Arial Narrow" w:cs="Calibri"/>
          <w:b/>
          <w:color w:val="314e87"/>
          <w:sz w:val="24"/>
          <w:szCs w:val="24"/>
        </w:rPr>
        <w:t xml:space="preserve">Затраты на программу ТПиР</w:t>
      </w:r>
      <w:r/>
    </w:p>
    <w:p>
      <w:pPr>
        <w:pStyle w:val="1063"/>
        <w:jc w:val="right"/>
      </w:pPr>
      <w:r>
        <w:rPr>
          <w:rFonts w:ascii="Arial Narrow" w:hAnsi="Arial Narrow" w:eastAsia="Calibri" w:cs="Calibri"/>
          <w:i/>
          <w:lang w:eastAsia="ja-JP"/>
        </w:rPr>
        <w:t xml:space="preserve">Таблица № 16, тыс. рублей</w:t>
      </w:r>
      <w:r/>
    </w:p>
    <w:tbl>
      <w:tblPr>
        <w:tblW w:w="4891" w:type="pct"/>
        <w:jc w:val="center"/>
        <w:tblLayout w:type="fixed"/>
        <w:tblLook w:val="04A0" w:firstRow="1" w:lastRow="0" w:firstColumn="1" w:lastColumn="0" w:noHBand="0" w:noVBand="1"/>
      </w:tblPr>
      <w:tblGrid>
        <w:gridCol w:w="3118"/>
        <w:gridCol w:w="2309"/>
        <w:gridCol w:w="2308"/>
        <w:gridCol w:w="2320"/>
      </w:tblGrid>
      <w:tr>
        <w:trPr>
          <w:jc w:val="center"/>
          <w:trHeight w:val="40"/>
        </w:trPr>
        <w:tc>
          <w:tcPr>
            <w:tcBorders>
              <w:top w:val="single" w:color="000000" w:sz="4" w:space="0"/>
              <w:left w:val="single" w:color="000000" w:sz="4" w:space="0"/>
              <w:bottom w:val="single" w:color="000000" w:sz="4" w:space="0"/>
              <w:right w:val="single" w:color="000000" w:sz="4" w:space="0"/>
            </w:tcBorders>
            <w:tcW w:w="3118" w:type="dxa"/>
            <w:textDirection w:val="lrTb"/>
            <w:noWrap w:val="false"/>
          </w:tcPr>
          <w:p>
            <w:pPr>
              <w:pStyle w:val="1063"/>
              <w:jc w:val="center"/>
              <w:widowControl w:val="off"/>
            </w:pPr>
            <w:r>
              <w:rPr>
                <w:rFonts w:ascii="Arial Narrow" w:hAnsi="Arial Narrow" w:cs="Calibri"/>
                <w:bCs/>
                <w:sz w:val="20"/>
                <w:szCs w:val="20"/>
              </w:rPr>
              <w:t xml:space="preserve">Наименование</w:t>
            </w:r>
            <w:r/>
          </w:p>
        </w:tc>
        <w:tc>
          <w:tcPr>
            <w:tcBorders>
              <w:top w:val="single" w:color="000000" w:sz="4" w:space="0"/>
              <w:left w:val="single" w:color="000000" w:sz="4" w:space="0"/>
              <w:bottom w:val="single" w:color="000000" w:sz="4" w:space="0"/>
              <w:right w:val="single" w:color="000000" w:sz="4" w:space="0"/>
            </w:tcBorders>
            <w:tcW w:w="2309" w:type="dxa"/>
            <w:textDirection w:val="lrTb"/>
            <w:noWrap w:val="false"/>
          </w:tcPr>
          <w:p>
            <w:pPr>
              <w:pStyle w:val="1063"/>
              <w:jc w:val="center"/>
              <w:widowControl w:val="off"/>
            </w:pPr>
            <w:r>
              <w:rPr>
                <w:rFonts w:ascii="Arial Narrow" w:hAnsi="Arial Narrow" w:cs="Calibri"/>
                <w:bCs/>
                <w:sz w:val="20"/>
                <w:szCs w:val="20"/>
              </w:rPr>
              <w:t xml:space="preserve">2022 г.</w:t>
            </w:r>
            <w:r/>
          </w:p>
        </w:tc>
        <w:tc>
          <w:tcPr>
            <w:tcBorders>
              <w:top w:val="single" w:color="000000" w:sz="4" w:space="0"/>
              <w:left w:val="single" w:color="000000" w:sz="4" w:space="0"/>
              <w:bottom w:val="single" w:color="000000" w:sz="4" w:space="0"/>
              <w:right w:val="single" w:color="000000" w:sz="4" w:space="0"/>
            </w:tcBorders>
            <w:tcW w:w="2308" w:type="dxa"/>
            <w:textDirection w:val="lrTb"/>
            <w:noWrap w:val="false"/>
          </w:tcPr>
          <w:p>
            <w:pPr>
              <w:pStyle w:val="1063"/>
              <w:jc w:val="center"/>
              <w:widowControl w:val="off"/>
            </w:pPr>
            <w:r>
              <w:rPr>
                <w:rFonts w:ascii="Arial Narrow" w:hAnsi="Arial Narrow" w:cs="Calibri"/>
                <w:bCs/>
                <w:sz w:val="20"/>
                <w:szCs w:val="20"/>
              </w:rPr>
              <w:t xml:space="preserve">2023 г.</w:t>
            </w:r>
            <w:r/>
          </w:p>
        </w:tc>
        <w:tc>
          <w:tcPr>
            <w:tcBorders>
              <w:top w:val="single" w:color="000000" w:sz="4" w:space="0"/>
              <w:left w:val="single" w:color="000000" w:sz="4" w:space="0"/>
              <w:bottom w:val="single" w:color="000000" w:sz="4" w:space="0"/>
              <w:right w:val="single" w:color="000000" w:sz="4" w:space="0"/>
            </w:tcBorders>
            <w:tcW w:w="2320" w:type="dxa"/>
            <w:textDirection w:val="lrTb"/>
            <w:noWrap w:val="false"/>
          </w:tcPr>
          <w:p>
            <w:pPr>
              <w:pStyle w:val="1063"/>
              <w:jc w:val="center"/>
              <w:widowControl w:val="off"/>
            </w:pPr>
            <w:r>
              <w:rPr>
                <w:rFonts w:ascii="Arial Narrow" w:hAnsi="Arial Narrow" w:cs="Calibri"/>
                <w:bCs/>
                <w:sz w:val="20"/>
                <w:szCs w:val="20"/>
              </w:rPr>
              <w:t xml:space="preserve">2024 г.</w:t>
            </w:r>
            <w:r/>
          </w:p>
        </w:tc>
      </w:tr>
      <w:tr>
        <w:trPr>
          <w:jc w:val="center"/>
          <w:trHeight w:val="215"/>
        </w:trPr>
        <w:tc>
          <w:tcPr>
            <w:tcBorders>
              <w:top w:val="single" w:color="000000" w:sz="4" w:space="0"/>
              <w:left w:val="single" w:color="000000" w:sz="4" w:space="0"/>
              <w:bottom w:val="single" w:color="000000" w:sz="4" w:space="0"/>
              <w:right w:val="single" w:color="000000" w:sz="4" w:space="0"/>
            </w:tcBorders>
            <w:tcW w:w="3118" w:type="dxa"/>
            <w:textDirection w:val="lrTb"/>
            <w:noWrap w:val="false"/>
          </w:tcPr>
          <w:p>
            <w:pPr>
              <w:pStyle w:val="1063"/>
              <w:widowControl w:val="off"/>
            </w:pPr>
            <w:r>
              <w:rPr>
                <w:rFonts w:ascii="Arial Narrow" w:hAnsi="Arial Narrow" w:cs="Calibri"/>
                <w:sz w:val="20"/>
                <w:szCs w:val="20"/>
              </w:rPr>
              <w:t xml:space="preserve">План</w:t>
            </w:r>
            <w:r/>
          </w:p>
        </w:tc>
        <w:tc>
          <w:tcPr>
            <w:tcBorders>
              <w:top w:val="single" w:color="000000" w:sz="4" w:space="0"/>
              <w:left w:val="single" w:color="000000" w:sz="4" w:space="0"/>
              <w:bottom w:val="single" w:color="000000" w:sz="4" w:space="0"/>
              <w:right w:val="single" w:color="000000" w:sz="4" w:space="0"/>
            </w:tcBorders>
            <w:tcW w:w="2309" w:type="dxa"/>
            <w:textDirection w:val="lrTb"/>
            <w:noWrap w:val="false"/>
          </w:tcPr>
          <w:p>
            <w:pPr>
              <w:pStyle w:val="1063"/>
              <w:jc w:val="center"/>
              <w:widowControl w:val="off"/>
            </w:pPr>
            <w:r>
              <w:rPr>
                <w:rFonts w:ascii="Arial Narrow" w:hAnsi="Arial Narrow" w:cs="Calibri"/>
                <w:sz w:val="20"/>
                <w:szCs w:val="20"/>
              </w:rPr>
              <w:t xml:space="preserve">1 484,304</w:t>
            </w:r>
            <w:r/>
          </w:p>
        </w:tc>
        <w:tc>
          <w:tcPr>
            <w:tcBorders>
              <w:top w:val="single" w:color="000000" w:sz="4" w:space="0"/>
              <w:left w:val="single" w:color="000000" w:sz="4" w:space="0"/>
              <w:bottom w:val="single" w:color="000000" w:sz="4" w:space="0"/>
              <w:right w:val="single" w:color="000000" w:sz="4" w:space="0"/>
            </w:tcBorders>
            <w:tcW w:w="2308" w:type="dxa"/>
            <w:vAlign w:val="center"/>
            <w:textDirection w:val="lrTb"/>
            <w:noWrap w:val="false"/>
          </w:tcPr>
          <w:p>
            <w:pPr>
              <w:pStyle w:val="1063"/>
              <w:jc w:val="center"/>
              <w:widowControl w:val="off"/>
            </w:pPr>
            <w:r>
              <w:rPr>
                <w:rFonts w:ascii="Arial Narrow" w:hAnsi="Arial Narrow" w:cs="Calibri"/>
                <w:sz w:val="20"/>
                <w:szCs w:val="20"/>
              </w:rPr>
              <w:t xml:space="preserve">1 869,267</w:t>
            </w:r>
            <w:r/>
          </w:p>
        </w:tc>
        <w:tc>
          <w:tcPr>
            <w:tcBorders>
              <w:top w:val="single" w:color="000000" w:sz="4" w:space="0"/>
              <w:left w:val="single" w:color="000000" w:sz="4" w:space="0"/>
              <w:bottom w:val="single" w:color="000000" w:sz="4" w:space="0"/>
              <w:right w:val="single" w:color="000000" w:sz="4" w:space="0"/>
            </w:tcBorders>
            <w:tcW w:w="2320" w:type="dxa"/>
            <w:vAlign w:val="center"/>
            <w:textDirection w:val="lrTb"/>
            <w:noWrap w:val="false"/>
          </w:tcPr>
          <w:p>
            <w:pPr>
              <w:pStyle w:val="1063"/>
              <w:jc w:val="center"/>
              <w:widowControl w:val="off"/>
            </w:pPr>
            <w:r>
              <w:rPr>
                <w:rFonts w:ascii="Arial Narrow" w:hAnsi="Arial Narrow" w:cs="Calibri"/>
                <w:sz w:val="20"/>
                <w:szCs w:val="20"/>
              </w:rPr>
              <w:t xml:space="preserve">1 938,846</w:t>
            </w:r>
            <w:r/>
          </w:p>
        </w:tc>
      </w:tr>
      <w:tr>
        <w:trPr>
          <w:jc w:val="center"/>
          <w:trHeight w:val="40"/>
        </w:trPr>
        <w:tc>
          <w:tcPr>
            <w:tcBorders>
              <w:top w:val="single" w:color="000000" w:sz="4" w:space="0"/>
              <w:left w:val="single" w:color="000000" w:sz="4" w:space="0"/>
              <w:bottom w:val="single" w:color="000000" w:sz="4" w:space="0"/>
              <w:right w:val="single" w:color="000000" w:sz="4" w:space="0"/>
            </w:tcBorders>
            <w:tcW w:w="3118" w:type="dxa"/>
            <w:textDirection w:val="lrTb"/>
            <w:noWrap w:val="false"/>
          </w:tcPr>
          <w:p>
            <w:pPr>
              <w:pStyle w:val="1063"/>
              <w:widowControl w:val="off"/>
            </w:pPr>
            <w:r>
              <w:rPr>
                <w:rFonts w:ascii="Arial Narrow" w:hAnsi="Arial Narrow" w:cs="Calibri"/>
                <w:sz w:val="20"/>
                <w:szCs w:val="20"/>
              </w:rPr>
              <w:t xml:space="preserve">Факт</w:t>
            </w:r>
            <w:r/>
          </w:p>
        </w:tc>
        <w:tc>
          <w:tcPr>
            <w:tcBorders>
              <w:top w:val="single" w:color="000000" w:sz="4" w:space="0"/>
              <w:left w:val="single" w:color="000000" w:sz="4" w:space="0"/>
              <w:bottom w:val="single" w:color="000000" w:sz="4" w:space="0"/>
              <w:right w:val="single" w:color="000000" w:sz="4" w:space="0"/>
            </w:tcBorders>
            <w:tcW w:w="2309" w:type="dxa"/>
            <w:textDirection w:val="lrTb"/>
            <w:noWrap w:val="false"/>
          </w:tcPr>
          <w:p>
            <w:pPr>
              <w:pStyle w:val="1063"/>
              <w:jc w:val="center"/>
              <w:widowControl w:val="off"/>
            </w:pPr>
            <w:r>
              <w:rPr>
                <w:rFonts w:ascii="Arial Narrow" w:hAnsi="Arial Narrow" w:cs="Calibri"/>
                <w:sz w:val="20"/>
                <w:szCs w:val="20"/>
              </w:rPr>
              <w:t xml:space="preserve">1004,176</w:t>
            </w:r>
            <w:r/>
          </w:p>
        </w:tc>
        <w:tc>
          <w:tcPr>
            <w:tcBorders>
              <w:top w:val="single" w:color="000000" w:sz="4" w:space="0"/>
              <w:left w:val="single" w:color="000000" w:sz="4" w:space="0"/>
              <w:bottom w:val="single" w:color="000000" w:sz="4" w:space="0"/>
              <w:right w:val="single" w:color="000000" w:sz="4" w:space="0"/>
            </w:tcBorders>
            <w:tcW w:w="2308" w:type="dxa"/>
            <w:vAlign w:val="center"/>
            <w:textDirection w:val="lrTb"/>
            <w:noWrap w:val="false"/>
          </w:tcPr>
          <w:p>
            <w:pPr>
              <w:pStyle w:val="1063"/>
              <w:jc w:val="center"/>
              <w:widowControl w:val="off"/>
            </w:pPr>
            <w:r>
              <w:rPr>
                <w:rFonts w:ascii="Arial Narrow" w:hAnsi="Arial Narrow" w:cs="Calibri"/>
                <w:sz w:val="20"/>
                <w:szCs w:val="20"/>
              </w:rPr>
              <w:t xml:space="preserve">1 579,219</w:t>
            </w:r>
            <w:r/>
          </w:p>
        </w:tc>
        <w:tc>
          <w:tcPr>
            <w:tcBorders>
              <w:top w:val="single" w:color="000000" w:sz="4" w:space="0"/>
              <w:left w:val="single" w:color="000000" w:sz="4" w:space="0"/>
              <w:bottom w:val="single" w:color="000000" w:sz="4" w:space="0"/>
              <w:right w:val="single" w:color="000000" w:sz="4" w:space="0"/>
            </w:tcBorders>
            <w:tcW w:w="2320" w:type="dxa"/>
            <w:vAlign w:val="center"/>
            <w:textDirection w:val="lrTb"/>
            <w:noWrap w:val="false"/>
          </w:tcPr>
          <w:p>
            <w:pPr>
              <w:pStyle w:val="1063"/>
              <w:jc w:val="center"/>
              <w:widowControl w:val="off"/>
            </w:pPr>
            <w:r>
              <w:rPr>
                <w:rFonts w:ascii="Arial Narrow" w:hAnsi="Arial Narrow" w:cs="Calibri"/>
                <w:sz w:val="20"/>
                <w:szCs w:val="20"/>
              </w:rPr>
              <w:t xml:space="preserve">2 092,470</w:t>
            </w:r>
            <w:r/>
          </w:p>
        </w:tc>
      </w:tr>
    </w:tbl>
    <w:p>
      <w:pPr>
        <w:pStyle w:val="1096"/>
        <w:ind w:left="0" w:right="-5"/>
        <w:jc w:val="both"/>
        <w:spacing w:after="0" w:line="276" w:lineRule="auto"/>
        <w:rPr>
          <w:rFonts w:ascii="Arial Narrow" w:hAnsi="Arial Narrow" w:cs="Calibri"/>
          <w:b/>
          <w:color w:val="314e87"/>
          <w:sz w:val="12"/>
          <w:szCs w:val="12"/>
        </w:rPr>
      </w:pPr>
      <w:r>
        <w:rPr>
          <w:rFonts w:ascii="Arial Narrow" w:hAnsi="Arial Narrow" w:cs="Calibri"/>
          <w:b/>
          <w:color w:val="314e87"/>
          <w:sz w:val="12"/>
          <w:szCs w:val="12"/>
        </w:rPr>
      </w:r>
      <w:r>
        <w:rPr>
          <w:rFonts w:ascii="Arial Narrow" w:hAnsi="Arial Narrow" w:cs="Calibri"/>
          <w:b/>
          <w:color w:val="314e87"/>
          <w:sz w:val="12"/>
          <w:szCs w:val="12"/>
        </w:rPr>
      </w:r>
      <w:r>
        <w:rPr>
          <w:rFonts w:ascii="Arial Narrow" w:hAnsi="Arial Narrow" w:cs="Calibri"/>
          <w:b/>
          <w:color w:val="314e87"/>
          <w:sz w:val="12"/>
          <w:szCs w:val="12"/>
        </w:rPr>
      </w:r>
    </w:p>
    <w:p>
      <w:pPr>
        <w:rPr>
          <w:rFonts w:ascii="Arial Narrow" w:hAnsi="Arial Narrow" w:eastAsia="Calibri" w:cs="Calibri"/>
          <w:b/>
          <w:color w:val="314e87"/>
          <w:sz w:val="12"/>
          <w:szCs w:val="12"/>
          <w:lang w:eastAsia="ja-JP"/>
        </w:rPr>
      </w:pPr>
      <w:r>
        <w:br w:type="page" w:clear="all"/>
      </w:r>
      <w:r>
        <w:rPr>
          <w:rFonts w:ascii="Arial Narrow" w:hAnsi="Arial Narrow" w:eastAsia="Calibri" w:cs="Calibri"/>
          <w:b/>
          <w:color w:val="314e87"/>
          <w:sz w:val="12"/>
          <w:szCs w:val="12"/>
          <w:lang w:eastAsia="ja-JP"/>
        </w:rPr>
      </w:r>
      <w:r>
        <w:rPr>
          <w:rFonts w:ascii="Arial Narrow" w:hAnsi="Arial Narrow" w:eastAsia="Calibri" w:cs="Calibri"/>
          <w:b/>
          <w:color w:val="314e87"/>
          <w:sz w:val="12"/>
          <w:szCs w:val="12"/>
          <w:lang w:eastAsia="ja-JP"/>
        </w:rPr>
      </w:r>
    </w:p>
    <w:p>
      <w:pPr>
        <w:pStyle w:val="1096"/>
        <w:ind w:left="0" w:right="-5"/>
        <w:jc w:val="both"/>
        <w:spacing w:after="0" w:line="276" w:lineRule="auto"/>
      </w:pPr>
      <w:r>
        <w:rPr>
          <w:rFonts w:ascii="Arial Narrow" w:hAnsi="Arial Narrow" w:cs="Calibri"/>
          <w:b/>
          <w:color w:val="314e87"/>
          <w:sz w:val="24"/>
          <w:szCs w:val="24"/>
        </w:rPr>
        <w:t xml:space="preserve">Приоритетные направления исполнения программы ТПиР в 2024 году:</w:t>
      </w:r>
      <w:r/>
    </w:p>
    <w:p>
      <w:pPr>
        <w:pStyle w:val="1096"/>
        <w:ind w:left="0" w:right="-5"/>
        <w:jc w:val="both"/>
        <w:spacing w:after="0" w:line="276" w:lineRule="auto"/>
        <w:rPr>
          <w:rFonts w:ascii="Arial Narrow" w:hAnsi="Arial Narrow" w:cs="Calibri"/>
          <w:b/>
          <w:bCs/>
          <w:color w:val="314e87"/>
          <w:sz w:val="16"/>
          <w:szCs w:val="16"/>
        </w:rPr>
      </w:pPr>
      <w:r>
        <w:rPr>
          <w:rFonts w:ascii="Arial Narrow" w:hAnsi="Arial Narrow" w:cs="Calibri"/>
          <w:b/>
          <w:bCs/>
          <w:color w:val="314e87"/>
          <w:sz w:val="16"/>
          <w:szCs w:val="16"/>
        </w:rPr>
      </w:r>
      <w:r>
        <w:rPr>
          <w:rFonts w:ascii="Arial Narrow" w:hAnsi="Arial Narrow" w:cs="Calibri"/>
          <w:b/>
          <w:bCs/>
          <w:color w:val="314e87"/>
          <w:sz w:val="16"/>
          <w:szCs w:val="16"/>
        </w:rPr>
      </w:r>
      <w:r>
        <w:rPr>
          <w:rFonts w:ascii="Arial Narrow" w:hAnsi="Arial Narrow" w:cs="Calibri"/>
          <w:b/>
          <w:bCs/>
          <w:color w:val="314e87"/>
          <w:sz w:val="16"/>
          <w:szCs w:val="16"/>
        </w:rP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val="ru-RU" w:bidi="ru-RU"/>
        </w:rPr>
        <w:t xml:space="preserve">С целью повышения надежности электроснабжения потребителей Усть-Большерецкого района завершены строительно-монтажные работы по объектам «Реконструкция КРУ-6 кВ 2-й секции Паужетской ГеоЭС (14 ячеек)», Реконструкция системы возбуждения турбогенератора ст. </w:t>
      </w:r>
      <w:r>
        <w:rPr>
          <w:rFonts w:ascii="Arial Narrow" w:hAnsi="Arial Narrow" w:cs="Calibri"/>
          <w:sz w:val="24"/>
          <w:szCs w:val="24"/>
          <w:lang w:bidi="ru-RU"/>
        </w:rPr>
        <w:t xml:space="preserve">№</w:t>
      </w:r>
      <w:r>
        <w:rPr>
          <w:rFonts w:ascii="Arial Narrow" w:hAnsi="Arial Narrow" w:cs="Calibri"/>
          <w:sz w:val="24"/>
          <w:szCs w:val="24"/>
          <w:lang w:val="ru-RU" w:bidi="ru-RU"/>
        </w:rPr>
        <w:t xml:space="preserve"> </w:t>
      </w:r>
      <w:r>
        <w:rPr>
          <w:rFonts w:ascii="Arial Narrow" w:hAnsi="Arial Narrow" w:cs="Calibri"/>
          <w:sz w:val="24"/>
          <w:szCs w:val="24"/>
          <w:lang w:bidi="ru-RU"/>
        </w:rPr>
        <w:t xml:space="preserve">3 Паужетской ГеоЭС (1 система).</w:t>
      </w: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eastAsia="en-US" w:bidi="ru-RU"/>
        </w:rPr>
        <w:t xml:space="preserve">С целью повышения располагаемой мощности Мутновской ГеоЭС-1 и Верхне-Мутновской ГеоЭС, завершены работы по поддержанию располагаемой мощности МГеоЭС, строительство трассы ПВС </w:t>
      </w:r>
      <w:r>
        <w:rPr>
          <w:rFonts w:ascii="Arial Narrow" w:hAnsi="Arial Narrow" w:cs="Calibri"/>
          <w:sz w:val="24"/>
          <w:szCs w:val="24"/>
          <w:lang w:val="ru-RU" w:eastAsia="en-US" w:bidi="ru-RU"/>
        </w:rPr>
        <w:br/>
        <w:t xml:space="preserve">от скважины Гео-10,</w:t>
      </w:r>
      <w:r>
        <w:rPr>
          <w:rFonts w:ascii="Arial Narrow" w:hAnsi="Arial Narrow" w:cs="Calibri"/>
          <w:sz w:val="24"/>
          <w:szCs w:val="24"/>
          <w:lang w:val="ru-RU" w:bidi="ru-RU"/>
        </w:rPr>
        <w:t xml:space="preserve"> </w:t>
      </w:r>
      <w:r>
        <w:rPr>
          <w:rFonts w:ascii="Arial Narrow" w:hAnsi="Arial Narrow" w:cs="Calibri"/>
          <w:sz w:val="24"/>
          <w:szCs w:val="24"/>
          <w:lang w:val="ru-RU" w:eastAsia="en-US" w:bidi="ru-RU"/>
        </w:rPr>
        <w:t xml:space="preserve">бурению скважины Гео-10. Объекты введены в эксплуатацию.</w:t>
      </w:r>
      <w:r>
        <w:rPr>
          <w:lang w:val="ru-RU"/>
        </w:rPr>
      </w:r>
      <w:r>
        <w:rPr>
          <w:lang w:val="ru-RU"/>
        </w:rP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val="ru-RU" w:bidi="ru-RU"/>
        </w:rPr>
        <w:t xml:space="preserve">В целях повышения надежности электроснабжения потребителей, снижения аварийности выполнены работы по объекту Модернизация линейных и трансформаторных высоковольтных вводов станции ТЭЦ2 с заменой на современные с твердой изоляцией. </w:t>
      </w:r>
      <w:r>
        <w:rPr>
          <w:rFonts w:ascii="Arial Narrow" w:hAnsi="Arial Narrow" w:cs="Calibri"/>
          <w:sz w:val="24"/>
          <w:szCs w:val="24"/>
          <w:lang w:bidi="ru-RU"/>
        </w:rPr>
        <w:t xml:space="preserve">Объект введен в эксплуатацию.</w:t>
      </w: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 В рамках выполнения мероприятий по обеспечению антитеррори</w:t>
      </w:r>
      <w:r>
        <w:rPr>
          <w:rFonts w:ascii="Arial Narrow" w:hAnsi="Arial Narrow" w:cs="Calibri"/>
          <w:sz w:val="24"/>
          <w:szCs w:val="24"/>
          <w:lang w:val="ru-RU" w:bidi="ru-RU"/>
        </w:rPr>
        <w:t xml:space="preserve">стической защищенности зданий и сооружений завершены работы по системе охранного телевидения и технических средств досмотра по объекту «Создание комплексной системы по обеспечению физической безопасности, антитеррористической защищенности объектов МГеоЭС».</w:t>
      </w:r>
      <w:r>
        <w:rPr>
          <w:lang w:val="ru-RU"/>
        </w:rPr>
      </w:r>
      <w:r>
        <w:rPr>
          <w:lang w:val="ru-RU"/>
        </w:rPr>
      </w:r>
    </w:p>
    <w:p>
      <w:pPr>
        <w:pStyle w:val="1091"/>
        <w:numPr>
          <w:ilvl w:val="0"/>
          <w:numId w:val="2"/>
        </w:numPr>
        <w:ind w:left="0" w:firstLine="567"/>
        <w:jc w:val="both"/>
        <w:spacing w:line="276" w:lineRule="auto"/>
        <w:tabs>
          <w:tab w:val="left" w:pos="992" w:leader="none"/>
        </w:tabs>
      </w:pPr>
      <w:r>
        <w:rPr>
          <w:rFonts w:ascii="Arial Narrow" w:hAnsi="Arial Narrow" w:cs="Calibri"/>
          <w:sz w:val="24"/>
          <w:szCs w:val="24"/>
          <w:lang w:val="ru-RU" w:bidi="ru-RU"/>
        </w:rPr>
        <w:t xml:space="preserve">В целях бесперебойной подачи электроэнергии завершены строительно-монтажные работы по объекту «Реконструкция ВЛ-220 кВ № Л-201 «Авача - МГеоЭС» с заменой семи (7) существующих опор на анкерно-угловые, лавиноустойчивые опоры». </w:t>
      </w:r>
      <w:r>
        <w:rPr>
          <w:rFonts w:ascii="Arial Narrow" w:hAnsi="Arial Narrow" w:cs="Calibri"/>
          <w:sz w:val="24"/>
          <w:szCs w:val="24"/>
          <w:lang w:bidi="ru-RU"/>
        </w:rPr>
        <w:t xml:space="preserve">Объект введен в эксплуатацию.</w:t>
      </w: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В рамках реализ</w:t>
      </w:r>
      <w:r>
        <w:rPr>
          <w:rFonts w:ascii="Arial Narrow" w:hAnsi="Arial Narrow" w:cs="Calibri"/>
          <w:sz w:val="24"/>
          <w:szCs w:val="24"/>
          <w:lang w:val="ru-RU" w:bidi="ru-RU"/>
        </w:rPr>
        <w:t xml:space="preserve">ации объекта «Установка счетчиков электрической энергии с возможностью подключения к интеллектуальным системам учета и монтаж коммуникационного оборудования (УСПД, модемы) в Центральном, Озерновском энергоузле ПАО «Камчатскэнерго» в 2024 году смонтировано </w:t>
      </w:r>
      <w:r>
        <w:rPr>
          <w:rFonts w:ascii="Arial Narrow" w:hAnsi="Arial Narrow" w:cs="Calibri"/>
          <w:sz w:val="24"/>
          <w:szCs w:val="24"/>
          <w:lang w:val="ru-RU" w:bidi="ru-RU"/>
        </w:rPr>
        <w:br/>
        <w:t xml:space="preserve">9 834 точек учета, поставлены приборы учета для реализации строительно-монтажных работ запланированных на 2025 год.</w:t>
      </w:r>
      <w:r>
        <w:rPr>
          <w:lang w:val="ru-RU"/>
        </w:rPr>
      </w:r>
      <w:r>
        <w:rPr>
          <w:lang w:val="ru-RU"/>
        </w:rPr>
      </w:r>
    </w:p>
    <w:p>
      <w:pPr>
        <w:pStyle w:val="1063"/>
        <w:jc w:val="both"/>
        <w:tabs>
          <w:tab w:val="left" w:pos="992" w:leader="none"/>
        </w:tabs>
        <w:rPr>
          <w:rFonts w:ascii="Arial Narrow" w:hAnsi="Arial Narrow"/>
          <w:lang w:bidi="ru-RU"/>
        </w:rPr>
      </w:pPr>
      <w:r>
        <w:rPr>
          <w:rFonts w:ascii="Arial Narrow" w:hAnsi="Arial Narrow"/>
          <w:lang w:bidi="ru-RU"/>
        </w:rPr>
      </w:r>
      <w:r>
        <w:rPr>
          <w:rFonts w:ascii="Arial Narrow" w:hAnsi="Arial Narrow"/>
          <w:lang w:bidi="ru-RU"/>
        </w:rPr>
      </w:r>
      <w:r>
        <w:rPr>
          <w:rFonts w:ascii="Arial Narrow" w:hAnsi="Arial Narrow"/>
          <w:lang w:bidi="ru-RU"/>
        </w:rPr>
      </w:r>
    </w:p>
    <w:p>
      <w:pPr>
        <w:rPr>
          <w:rFonts w:ascii="Arial Narrow" w:hAnsi="Arial Narrow" w:cs="Calibri"/>
          <w:sz w:val="24"/>
          <w:szCs w:val="24"/>
        </w:rPr>
      </w:pPr>
      <w:r>
        <w:br w:type="page" w:clear="all"/>
      </w:r>
      <w:r>
        <w:rPr>
          <w:rFonts w:ascii="Arial Narrow" w:hAnsi="Arial Narrow" w:cs="Calibri"/>
          <w:sz w:val="24"/>
          <w:szCs w:val="24"/>
        </w:rPr>
      </w:r>
      <w:r>
        <w:rPr>
          <w:rFonts w:ascii="Arial Narrow" w:hAnsi="Arial Narrow" w:cs="Calibri"/>
          <w:sz w:val="24"/>
          <w:szCs w:val="24"/>
        </w:rPr>
      </w:r>
    </w:p>
    <w:p>
      <w:pPr>
        <w:pStyle w:val="762"/>
        <w:jc w:val="center"/>
        <w:keepLines w:val="0"/>
        <w:spacing w:before="0" w:after="0" w:line="276" w:lineRule="auto"/>
        <w:rPr>
          <w:rFonts w:ascii="Arial Narrow" w:hAnsi="Arial Narrow" w:eastAsiaTheme="majorEastAsia" w:cstheme="minorHAnsi"/>
          <w:color w:val="314e87"/>
          <w:lang w:eastAsia="en-US"/>
        </w:rPr>
      </w:pPr>
      <w:r/>
      <w:bookmarkStart w:id="44" w:name="_Toc193883487"/>
      <w:r/>
      <w:bookmarkStart w:id="45" w:name="_Toc196126987"/>
      <w:r>
        <w:rPr>
          <w:rFonts w:ascii="Arial Narrow" w:hAnsi="Arial Narrow" w:eastAsiaTheme="majorEastAsia" w:cstheme="minorHAnsi"/>
          <w:b/>
          <w:color w:val="314e87"/>
          <w:sz w:val="28"/>
          <w:szCs w:val="28"/>
          <w:lang w:eastAsia="en-US"/>
        </w:rPr>
        <w:t xml:space="preserve">Раздел 4. ЭКОНОМИКА И ФИНАНСЫ</w:t>
      </w:r>
      <w:bookmarkEnd w:id="44"/>
      <w:r/>
      <w:bookmarkEnd w:id="45"/>
      <w:r>
        <w:rPr>
          <w:rFonts w:ascii="Arial Narrow" w:hAnsi="Arial Narrow" w:eastAsiaTheme="majorEastAsia" w:cstheme="minorHAnsi"/>
          <w:color w:val="314e87"/>
          <w:lang w:eastAsia="en-US"/>
        </w:rPr>
      </w:r>
      <w:r>
        <w:rPr>
          <w:rFonts w:ascii="Arial Narrow" w:hAnsi="Arial Narrow" w:eastAsiaTheme="majorEastAsia" w:cstheme="minorHAnsi"/>
          <w:color w:val="314e87"/>
          <w:lang w:eastAsia="en-US"/>
        </w:rPr>
      </w:r>
    </w:p>
    <w:p>
      <w:pPr>
        <w:pStyle w:val="763"/>
        <w:jc w:val="both"/>
        <w:keepLines/>
        <w:spacing w:after="0" w:line="276" w:lineRule="auto"/>
        <w:rPr>
          <w:rFonts w:ascii="Arial Narrow" w:hAnsi="Arial Narrow" w:eastAsiaTheme="majorEastAsia" w:cstheme="minorHAnsi"/>
          <w:color w:val="314e87"/>
          <w:lang w:eastAsia="en-US" w:bidi="ru-RU"/>
        </w:rPr>
      </w:pPr>
      <w:r/>
      <w:bookmarkStart w:id="46" w:name="_Toc193883488"/>
      <w:r/>
      <w:bookmarkStart w:id="47" w:name="_Toc196126988"/>
      <w:r>
        <w:rPr>
          <w:rFonts w:ascii="Arial Narrow" w:hAnsi="Arial Narrow" w:eastAsiaTheme="majorEastAsia" w:cstheme="minorHAnsi"/>
          <w:b/>
          <w:color w:val="314e87"/>
          <w:sz w:val="24"/>
          <w:szCs w:val="24"/>
          <w:lang w:eastAsia="en-US" w:bidi="ru-RU"/>
        </w:rPr>
        <w:t xml:space="preserve">4.1. Основные финансово-экономические показатели деятельности Общества</w:t>
      </w:r>
      <w:bookmarkEnd w:id="46"/>
      <w:r/>
      <w:bookmarkEnd w:id="47"/>
      <w:r>
        <w:rPr>
          <w:rFonts w:ascii="Arial Narrow" w:hAnsi="Arial Narrow" w:eastAsiaTheme="majorEastAsia" w:cstheme="minorHAnsi"/>
          <w:color w:val="314e87"/>
          <w:lang w:eastAsia="en-US" w:bidi="ru-RU"/>
        </w:rPr>
      </w:r>
      <w:r>
        <w:rPr>
          <w:rFonts w:ascii="Arial Narrow" w:hAnsi="Arial Narrow" w:eastAsiaTheme="majorEastAsia" w:cstheme="minorHAnsi"/>
          <w:color w:val="314e87"/>
          <w:lang w:eastAsia="en-US" w:bidi="ru-RU"/>
        </w:rPr>
      </w:r>
    </w:p>
    <w:p>
      <w:pPr>
        <w:pStyle w:val="1063"/>
        <w:jc w:val="right"/>
      </w:pPr>
      <w:r>
        <w:rPr>
          <w:rFonts w:ascii="Arial Narrow" w:hAnsi="Arial Narrow" w:eastAsia="Calibri" w:cs="Calibri"/>
          <w:i/>
          <w:lang w:eastAsia="ja-JP"/>
        </w:rPr>
        <w:t xml:space="preserve">Таблица № 1</w:t>
      </w:r>
      <w:r>
        <w:rPr>
          <w:rFonts w:ascii="Arial Narrow" w:hAnsi="Arial Narrow" w:eastAsia="Calibri" w:cs="Calibri"/>
          <w:i/>
          <w:lang w:val="en-US" w:eastAsia="ja-JP"/>
        </w:rPr>
        <w:t xml:space="preserve">7</w:t>
      </w:r>
      <w:r>
        <w:rPr>
          <w:rFonts w:ascii="Arial Narrow" w:hAnsi="Arial Narrow" w:eastAsia="Calibri" w:cs="Calibri"/>
          <w:i/>
          <w:iCs/>
          <w:lang w:eastAsia="ja-JP"/>
        </w:rPr>
        <w:t xml:space="preserve">, тыс. рублей</w:t>
      </w:r>
      <w:r/>
    </w:p>
    <w:tbl>
      <w:tblPr>
        <w:tblW w:w="10237" w:type="dxa"/>
        <w:jc w:val="center"/>
        <w:tblLayout w:type="fixed"/>
        <w:tblLook w:val="04A0" w:firstRow="1" w:lastRow="0" w:firstColumn="1" w:lastColumn="0" w:noHBand="0" w:noVBand="1"/>
      </w:tblPr>
      <w:tblGrid>
        <w:gridCol w:w="498"/>
        <w:gridCol w:w="5618"/>
        <w:gridCol w:w="1082"/>
        <w:gridCol w:w="1055"/>
        <w:gridCol w:w="1134"/>
        <w:gridCol w:w="850"/>
      </w:tblGrid>
      <w:tr>
        <w:trPr>
          <w:jc w:val="center"/>
          <w:trHeight w:val="48"/>
        </w:trPr>
        <w:tc>
          <w:tcPr>
            <w:tcBorders>
              <w:top w:val="single" w:color="000000" w:sz="2" w:space="0"/>
              <w:left w:val="single" w:color="000000" w:sz="2" w:space="0"/>
              <w:bottom w:val="single" w:color="000000" w:sz="2" w:space="0"/>
              <w:right w:val="single" w:color="000000" w:sz="2" w:space="0"/>
            </w:tcBorders>
            <w:tcW w:w="498" w:type="dxa"/>
            <w:vAlign w:val="center"/>
            <w:textDirection w:val="lrTb"/>
            <w:noWrap w:val="false"/>
          </w:tcPr>
          <w:p>
            <w:pPr>
              <w:pStyle w:val="1063"/>
              <w:jc w:val="center"/>
              <w:widowControl w:val="off"/>
              <w:rPr>
                <w:sz w:val="20"/>
                <w:szCs w:val="20"/>
              </w:rPr>
            </w:pPr>
            <w:r>
              <w:rPr>
                <w:rFonts w:ascii="Arial Narrow" w:hAnsi="Arial Narrow" w:cs="Calibri"/>
                <w:bCs/>
                <w:color w:val="000000"/>
                <w:sz w:val="20"/>
                <w:szCs w:val="20"/>
              </w:rPr>
              <w:t xml:space="preserve">№</w:t>
            </w:r>
            <w:r>
              <w:rPr>
                <w:sz w:val="20"/>
                <w:szCs w:val="20"/>
              </w:rPr>
            </w:r>
            <w:r>
              <w:rPr>
                <w:sz w:val="20"/>
                <w:szCs w:val="20"/>
              </w:rPr>
            </w:r>
          </w:p>
          <w:p>
            <w:pPr>
              <w:pStyle w:val="1063"/>
              <w:jc w:val="center"/>
              <w:widowControl w:val="off"/>
              <w:rPr>
                <w:sz w:val="20"/>
                <w:szCs w:val="20"/>
              </w:rPr>
            </w:pPr>
            <w:r>
              <w:rPr>
                <w:rFonts w:ascii="Arial Narrow" w:hAnsi="Arial Narrow" w:cs="Calibri"/>
                <w:bCs/>
                <w:color w:val="000000"/>
                <w:sz w:val="20"/>
                <w:szCs w:val="20"/>
              </w:rPr>
              <w:t xml:space="preserve">п/п</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5618" w:type="dxa"/>
            <w:vAlign w:val="center"/>
            <w:textDirection w:val="lrTb"/>
            <w:noWrap w:val="false"/>
          </w:tcPr>
          <w:p>
            <w:pPr>
              <w:pStyle w:val="1063"/>
              <w:jc w:val="center"/>
              <w:widowControl w:val="off"/>
              <w:rPr>
                <w:sz w:val="20"/>
                <w:szCs w:val="20"/>
              </w:rPr>
            </w:pPr>
            <w:r>
              <w:rPr>
                <w:rFonts w:ascii="Arial Narrow" w:hAnsi="Arial Narrow" w:cs="Calibri"/>
                <w:bCs/>
                <w:color w:val="000000"/>
                <w:sz w:val="20"/>
                <w:szCs w:val="20"/>
              </w:rPr>
              <w:t xml:space="preserve">Наименование показателя</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1082" w:type="dxa"/>
            <w:vAlign w:val="center"/>
            <w:textDirection w:val="lrTb"/>
            <w:noWrap w:val="false"/>
          </w:tcPr>
          <w:p>
            <w:pPr>
              <w:pStyle w:val="1063"/>
              <w:jc w:val="center"/>
              <w:widowControl w:val="off"/>
              <w:rPr>
                <w:sz w:val="20"/>
                <w:szCs w:val="20"/>
              </w:rPr>
            </w:pPr>
            <w:r>
              <w:rPr>
                <w:rFonts w:ascii="Arial Narrow" w:hAnsi="Arial Narrow" w:cs="Calibri"/>
                <w:bCs/>
                <w:color w:val="000000"/>
                <w:sz w:val="20"/>
                <w:szCs w:val="20"/>
              </w:rPr>
              <w:t xml:space="preserve">2022 г.</w:t>
            </w:r>
            <w:r>
              <w:rPr>
                <w:sz w:val="20"/>
                <w:szCs w:val="20"/>
              </w:rPr>
            </w:r>
            <w:r>
              <w:rPr>
                <w:sz w:val="20"/>
                <w:szCs w:val="20"/>
              </w:rPr>
            </w:r>
          </w:p>
          <w:p>
            <w:pPr>
              <w:pStyle w:val="1063"/>
              <w:jc w:val="center"/>
              <w:widowControl w:val="off"/>
              <w:rPr>
                <w:sz w:val="20"/>
                <w:szCs w:val="20"/>
              </w:rPr>
            </w:pPr>
            <w:r>
              <w:rPr>
                <w:rFonts w:ascii="Arial Narrow" w:hAnsi="Arial Narrow" w:cs="Calibri"/>
                <w:bCs/>
                <w:color w:val="000000"/>
                <w:sz w:val="20"/>
                <w:szCs w:val="20"/>
              </w:rPr>
              <w:t xml:space="preserve">Факт</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1055" w:type="dxa"/>
            <w:vAlign w:val="center"/>
            <w:textDirection w:val="lrTb"/>
            <w:noWrap w:val="false"/>
          </w:tcPr>
          <w:p>
            <w:pPr>
              <w:pStyle w:val="1063"/>
              <w:jc w:val="center"/>
              <w:widowControl w:val="off"/>
              <w:rPr>
                <w:sz w:val="20"/>
                <w:szCs w:val="20"/>
              </w:rPr>
            </w:pPr>
            <w:r>
              <w:rPr>
                <w:rFonts w:ascii="Arial Narrow" w:hAnsi="Arial Narrow" w:cs="Calibri"/>
                <w:bCs/>
                <w:color w:val="000000"/>
                <w:sz w:val="20"/>
                <w:szCs w:val="20"/>
              </w:rPr>
              <w:t xml:space="preserve">2023 г.</w:t>
            </w:r>
            <w:r>
              <w:rPr>
                <w:sz w:val="20"/>
                <w:szCs w:val="20"/>
              </w:rPr>
            </w:r>
            <w:r>
              <w:rPr>
                <w:sz w:val="20"/>
                <w:szCs w:val="20"/>
              </w:rPr>
            </w:r>
          </w:p>
          <w:p>
            <w:pPr>
              <w:pStyle w:val="1063"/>
              <w:jc w:val="center"/>
              <w:widowControl w:val="off"/>
              <w:rPr>
                <w:sz w:val="20"/>
                <w:szCs w:val="20"/>
              </w:rPr>
            </w:pPr>
            <w:r>
              <w:rPr>
                <w:rFonts w:ascii="Arial Narrow" w:hAnsi="Arial Narrow" w:cs="Calibri"/>
                <w:bCs/>
                <w:color w:val="000000"/>
                <w:sz w:val="20"/>
                <w:szCs w:val="20"/>
              </w:rPr>
              <w:t xml:space="preserve">Факт</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1134" w:type="dxa"/>
            <w:vAlign w:val="center"/>
            <w:textDirection w:val="lrTb"/>
            <w:noWrap w:val="false"/>
          </w:tcPr>
          <w:p>
            <w:pPr>
              <w:pStyle w:val="1063"/>
              <w:jc w:val="center"/>
              <w:widowControl w:val="off"/>
              <w:rPr>
                <w:sz w:val="20"/>
                <w:szCs w:val="20"/>
              </w:rPr>
            </w:pPr>
            <w:r>
              <w:rPr>
                <w:rFonts w:ascii="Arial Narrow" w:hAnsi="Arial Narrow" w:cs="Calibri"/>
                <w:bCs/>
                <w:color w:val="000000"/>
                <w:sz w:val="20"/>
                <w:szCs w:val="20"/>
              </w:rPr>
              <w:t xml:space="preserve">2024 г.</w:t>
            </w:r>
            <w:r>
              <w:rPr>
                <w:sz w:val="20"/>
                <w:szCs w:val="20"/>
              </w:rPr>
            </w:r>
            <w:r>
              <w:rPr>
                <w:sz w:val="20"/>
                <w:szCs w:val="20"/>
              </w:rPr>
            </w:r>
          </w:p>
          <w:p>
            <w:pPr>
              <w:pStyle w:val="1063"/>
              <w:jc w:val="center"/>
              <w:widowControl w:val="off"/>
              <w:rPr>
                <w:sz w:val="20"/>
                <w:szCs w:val="20"/>
              </w:rPr>
            </w:pPr>
            <w:r>
              <w:rPr>
                <w:rFonts w:ascii="Arial Narrow" w:hAnsi="Arial Narrow" w:cs="Calibri"/>
                <w:bCs/>
                <w:color w:val="000000"/>
                <w:sz w:val="20"/>
                <w:szCs w:val="20"/>
              </w:rPr>
              <w:t xml:space="preserve">Факт</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850" w:type="dxa"/>
            <w:vAlign w:val="center"/>
            <w:textDirection w:val="lrTb"/>
            <w:noWrap w:val="false"/>
          </w:tcPr>
          <w:p>
            <w:pPr>
              <w:pStyle w:val="1063"/>
              <w:jc w:val="center"/>
              <w:widowControl w:val="off"/>
              <w:rPr>
                <w:sz w:val="20"/>
                <w:szCs w:val="20"/>
              </w:rPr>
            </w:pPr>
            <w:r>
              <w:rPr>
                <w:rFonts w:ascii="Arial Narrow" w:hAnsi="Arial Narrow" w:cs="Calibri"/>
                <w:bCs/>
                <w:color w:val="000000"/>
                <w:sz w:val="20"/>
                <w:szCs w:val="20"/>
              </w:rPr>
              <w:t xml:space="preserve">Темп роста</w:t>
            </w:r>
            <w:r>
              <w:rPr>
                <w:sz w:val="20"/>
                <w:szCs w:val="20"/>
              </w:rPr>
            </w:r>
            <w:r>
              <w:rPr>
                <w:sz w:val="20"/>
                <w:szCs w:val="20"/>
              </w:rPr>
            </w:r>
          </w:p>
          <w:p>
            <w:pPr>
              <w:pStyle w:val="1063"/>
              <w:jc w:val="center"/>
              <w:widowControl w:val="off"/>
              <w:rPr>
                <w:sz w:val="20"/>
                <w:szCs w:val="20"/>
              </w:rPr>
            </w:pPr>
            <w:r>
              <w:rPr>
                <w:rFonts w:ascii="Arial Narrow" w:hAnsi="Arial Narrow" w:cs="Calibri"/>
                <w:bCs/>
                <w:color w:val="000000"/>
                <w:sz w:val="20"/>
                <w:szCs w:val="20"/>
              </w:rPr>
              <w:t xml:space="preserve">(5/4), %</w:t>
            </w:r>
            <w:r>
              <w:rPr>
                <w:sz w:val="20"/>
                <w:szCs w:val="20"/>
              </w:rPr>
            </w:r>
            <w:r>
              <w:rPr>
                <w:sz w:val="20"/>
                <w:szCs w:val="20"/>
              </w:rPr>
            </w:r>
          </w:p>
        </w:tc>
      </w:tr>
      <w:tr>
        <w:trPr>
          <w:jc w:val="center"/>
          <w:trHeight w:val="45"/>
        </w:trPr>
        <w:tc>
          <w:tcPr>
            <w:shd w:val="clear" w:color="auto" w:fill="ffffff"/>
            <w:tcBorders>
              <w:top w:val="single" w:color="000000" w:sz="2" w:space="0"/>
              <w:left w:val="single" w:color="000000" w:sz="2" w:space="0"/>
              <w:bottom w:val="single" w:color="000000" w:sz="2" w:space="0"/>
              <w:right w:val="single" w:color="000000" w:sz="2" w:space="0"/>
            </w:tcBorders>
            <w:tcW w:w="498"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1</w:t>
            </w:r>
            <w:r>
              <w:rPr>
                <w:sz w:val="20"/>
                <w:szCs w:val="20"/>
              </w:rPr>
            </w:r>
            <w:r>
              <w:rPr>
                <w:sz w:val="20"/>
                <w:szCs w:val="20"/>
              </w:rPr>
            </w:r>
          </w:p>
        </w:tc>
        <w:tc>
          <w:tcPr>
            <w:shd w:val="clear" w:color="auto" w:fill="ffffff"/>
            <w:tcBorders>
              <w:top w:val="single" w:color="000000" w:sz="2" w:space="0"/>
              <w:left w:val="single" w:color="000000" w:sz="2" w:space="0"/>
              <w:bottom w:val="single" w:color="000000" w:sz="2" w:space="0"/>
              <w:right w:val="single" w:color="000000" w:sz="2" w:space="0"/>
            </w:tcBorders>
            <w:tcW w:w="5618"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2</w:t>
            </w:r>
            <w:r>
              <w:rPr>
                <w:sz w:val="20"/>
                <w:szCs w:val="20"/>
              </w:rPr>
            </w:r>
            <w:r>
              <w:rPr>
                <w:sz w:val="20"/>
                <w:szCs w:val="20"/>
              </w:rPr>
            </w:r>
          </w:p>
        </w:tc>
        <w:tc>
          <w:tcPr>
            <w:shd w:val="clear" w:color="auto" w:fill="ffffff"/>
            <w:tcBorders>
              <w:top w:val="single" w:color="000000" w:sz="2" w:space="0"/>
              <w:left w:val="single" w:color="000000" w:sz="2" w:space="0"/>
              <w:bottom w:val="single" w:color="000000" w:sz="2" w:space="0"/>
              <w:right w:val="single" w:color="000000" w:sz="2" w:space="0"/>
            </w:tcBorders>
            <w:tcW w:w="108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3</w:t>
            </w:r>
            <w:r>
              <w:rPr>
                <w:sz w:val="20"/>
                <w:szCs w:val="20"/>
              </w:rPr>
            </w:r>
            <w:r>
              <w:rPr>
                <w:sz w:val="20"/>
                <w:szCs w:val="20"/>
              </w:rPr>
            </w:r>
          </w:p>
        </w:tc>
        <w:tc>
          <w:tcPr>
            <w:shd w:val="clear" w:color="auto" w:fill="ffffff"/>
            <w:tcBorders>
              <w:top w:val="single" w:color="000000" w:sz="2" w:space="0"/>
              <w:left w:val="single" w:color="000000" w:sz="2" w:space="0"/>
              <w:bottom w:val="single" w:color="000000" w:sz="2" w:space="0"/>
              <w:right w:val="single" w:color="000000" w:sz="2" w:space="0"/>
            </w:tcBorders>
            <w:tcW w:w="105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4</w:t>
            </w:r>
            <w:r>
              <w:rPr>
                <w:sz w:val="20"/>
                <w:szCs w:val="20"/>
              </w:rPr>
            </w:r>
            <w:r>
              <w:rPr>
                <w:sz w:val="20"/>
                <w:szCs w:val="20"/>
              </w:rPr>
            </w:r>
          </w:p>
        </w:tc>
        <w:tc>
          <w:tcPr>
            <w:shd w:val="clear" w:color="auto" w:fill="ffffff"/>
            <w:tcBorders>
              <w:top w:val="single" w:color="000000" w:sz="2" w:space="0"/>
              <w:left w:val="single" w:color="000000" w:sz="2" w:space="0"/>
              <w:bottom w:val="single" w:color="000000" w:sz="2" w:space="0"/>
              <w:right w:val="single" w:color="000000" w:sz="2" w:space="0"/>
            </w:tcBorders>
            <w:tcW w:w="113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5</w:t>
            </w:r>
            <w:r>
              <w:rPr>
                <w:sz w:val="20"/>
                <w:szCs w:val="20"/>
              </w:rPr>
            </w:r>
            <w:r>
              <w:rPr>
                <w:sz w:val="20"/>
                <w:szCs w:val="20"/>
              </w:rPr>
            </w:r>
          </w:p>
        </w:tc>
        <w:tc>
          <w:tcPr>
            <w:shd w:val="clear" w:color="auto" w:fill="ffffff"/>
            <w:tcBorders>
              <w:top w:val="single" w:color="000000" w:sz="2" w:space="0"/>
              <w:left w:val="single" w:color="000000" w:sz="2" w:space="0"/>
              <w:bottom w:val="single" w:color="000000" w:sz="2" w:space="0"/>
              <w:right w:val="single" w:color="000000" w:sz="2" w:space="0"/>
            </w:tcBorders>
            <w:tcW w:w="85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6</w:t>
            </w:r>
            <w:r>
              <w:rPr>
                <w:sz w:val="20"/>
                <w:szCs w:val="20"/>
              </w:rPr>
            </w:r>
            <w:r>
              <w:rPr>
                <w:sz w:val="20"/>
                <w:szCs w:val="20"/>
              </w:rPr>
            </w:r>
          </w:p>
        </w:tc>
      </w:tr>
      <w:tr>
        <w:trPr>
          <w:jc w:val="center"/>
          <w:trHeight w:val="45"/>
        </w:trPr>
        <w:tc>
          <w:tcPr>
            <w:tcBorders>
              <w:top w:val="single" w:color="000000" w:sz="2" w:space="0"/>
              <w:left w:val="single" w:color="000000" w:sz="2" w:space="0"/>
              <w:bottom w:val="single" w:color="000000" w:sz="2" w:space="0"/>
              <w:right w:val="single" w:color="000000" w:sz="2" w:space="0"/>
            </w:tcBorders>
            <w:tcW w:w="498"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1.</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5618" w:type="dxa"/>
            <w:vAlign w:val="center"/>
            <w:textDirection w:val="lrTb"/>
            <w:noWrap w:val="false"/>
          </w:tcPr>
          <w:p>
            <w:pPr>
              <w:pStyle w:val="1063"/>
              <w:jc w:val="both"/>
              <w:widowControl w:val="off"/>
              <w:rPr>
                <w:sz w:val="20"/>
                <w:szCs w:val="20"/>
              </w:rPr>
            </w:pPr>
            <w:r>
              <w:rPr>
                <w:rFonts w:ascii="Arial Narrow" w:hAnsi="Arial Narrow" w:cs="Calibri"/>
                <w:color w:val="000000"/>
                <w:sz w:val="20"/>
                <w:szCs w:val="20"/>
              </w:rPr>
              <w:t xml:space="preserve">Выручка от реализации, в том числе:</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1082"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t xml:space="preserve">2</w:t>
            </w:r>
            <w:r>
              <w:rPr>
                <w:rFonts w:ascii="Arial Narrow" w:hAnsi="Arial Narrow" w:cs="Calibri"/>
                <w:sz w:val="20"/>
                <w:szCs w:val="20"/>
                <w:lang w:val="en-US"/>
              </w:rPr>
              <w:t xml:space="preserve">9</w:t>
            </w:r>
            <w:r>
              <w:rPr>
                <w:rFonts w:ascii="Arial Narrow" w:hAnsi="Arial Narrow" w:cs="Calibri"/>
                <w:sz w:val="20"/>
                <w:szCs w:val="20"/>
              </w:rPr>
              <w:t xml:space="preserve"> </w:t>
            </w:r>
            <w:r>
              <w:rPr>
                <w:rFonts w:ascii="Arial Narrow" w:hAnsi="Arial Narrow" w:cs="Calibri"/>
                <w:sz w:val="20"/>
                <w:szCs w:val="20"/>
                <w:lang w:val="en-US"/>
              </w:rPr>
              <w:t xml:space="preserve">525</w:t>
            </w:r>
            <w:r>
              <w:rPr>
                <w:rFonts w:ascii="Arial Narrow" w:hAnsi="Arial Narrow" w:cs="Calibri"/>
                <w:sz w:val="20"/>
                <w:szCs w:val="20"/>
              </w:rPr>
              <w:t xml:space="preserve"> </w:t>
            </w:r>
            <w:r>
              <w:rPr>
                <w:rFonts w:ascii="Arial Narrow" w:hAnsi="Arial Narrow" w:cs="Calibri"/>
                <w:sz w:val="20"/>
                <w:szCs w:val="20"/>
                <w:lang w:val="en-US"/>
              </w:rPr>
              <w:t xml:space="preserve">1</w:t>
            </w:r>
            <w:r>
              <w:rPr>
                <w:rFonts w:ascii="Arial Narrow" w:hAnsi="Arial Narrow" w:cs="Calibri"/>
                <w:sz w:val="20"/>
                <w:szCs w:val="20"/>
              </w:rPr>
              <w:t xml:space="preserve">8</w:t>
            </w:r>
            <w:r>
              <w:rPr>
                <w:rFonts w:ascii="Arial Narrow" w:hAnsi="Arial Narrow" w:cs="Calibri"/>
                <w:sz w:val="20"/>
                <w:szCs w:val="20"/>
                <w:lang w:val="en-US"/>
              </w:rPr>
              <w:t xml:space="preserve">4</w:t>
            </w:r>
            <w:r>
              <w:rPr>
                <w:rFonts w:ascii="Arial Narrow" w:hAnsi="Arial Narrow" w:cs="Calibri"/>
                <w:sz w:val="20"/>
                <w:szCs w:val="20"/>
              </w:rPr>
            </w:r>
            <w:r>
              <w:rPr>
                <w:rFonts w:ascii="Arial Narrow" w:hAnsi="Arial Narrow" w:cs="Calibri"/>
                <w:sz w:val="20"/>
                <w:szCs w:val="20"/>
              </w:rPr>
            </w:r>
          </w:p>
        </w:tc>
        <w:tc>
          <w:tcPr>
            <w:tcBorders>
              <w:top w:val="single" w:color="000000" w:sz="2" w:space="0"/>
              <w:left w:val="single" w:color="000000" w:sz="2" w:space="0"/>
              <w:bottom w:val="single" w:color="000000" w:sz="2" w:space="0"/>
              <w:right w:val="single" w:color="000000" w:sz="2" w:space="0"/>
            </w:tcBorders>
            <w:tcW w:w="1055"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t xml:space="preserve">35 </w:t>
            </w:r>
            <w:r>
              <w:rPr>
                <w:rFonts w:ascii="Arial Narrow" w:hAnsi="Arial Narrow" w:cs="Calibri"/>
                <w:sz w:val="20"/>
                <w:szCs w:val="20"/>
                <w:lang w:val="en-US"/>
              </w:rPr>
              <w:t xml:space="preserve">113</w:t>
            </w:r>
            <w:r>
              <w:rPr>
                <w:rFonts w:ascii="Arial Narrow" w:hAnsi="Arial Narrow" w:cs="Calibri"/>
                <w:sz w:val="20"/>
                <w:szCs w:val="20"/>
              </w:rPr>
              <w:t xml:space="preserve"> </w:t>
            </w:r>
            <w:r>
              <w:rPr>
                <w:rFonts w:ascii="Arial Narrow" w:hAnsi="Arial Narrow" w:cs="Calibri"/>
                <w:sz w:val="20"/>
                <w:szCs w:val="20"/>
                <w:lang w:val="en-US"/>
              </w:rPr>
              <w:t xml:space="preserve">022</w:t>
            </w:r>
            <w:r>
              <w:rPr>
                <w:rFonts w:ascii="Arial Narrow" w:hAnsi="Arial Narrow" w:cs="Calibri"/>
                <w:sz w:val="20"/>
                <w:szCs w:val="20"/>
              </w:rPr>
            </w:r>
            <w:r>
              <w:rPr>
                <w:rFonts w:ascii="Arial Narrow" w:hAnsi="Arial Narrow" w:cs="Calibri"/>
                <w:sz w:val="20"/>
                <w:szCs w:val="20"/>
              </w:rPr>
            </w:r>
          </w:p>
        </w:tc>
        <w:tc>
          <w:tcPr>
            <w:tcBorders>
              <w:top w:val="single" w:color="000000" w:sz="2" w:space="0"/>
              <w:left w:val="single" w:color="000000" w:sz="2" w:space="0"/>
              <w:bottom w:val="single" w:color="000000" w:sz="2" w:space="0"/>
              <w:right w:val="single" w:color="000000" w:sz="2" w:space="0"/>
            </w:tcBorders>
            <w:tcW w:w="113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40 359 225</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85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15</w:t>
            </w:r>
            <w:r>
              <w:rPr>
                <w:sz w:val="20"/>
                <w:szCs w:val="20"/>
              </w:rPr>
            </w:r>
            <w:r>
              <w:rPr>
                <w:sz w:val="20"/>
                <w:szCs w:val="20"/>
              </w:rPr>
            </w:r>
          </w:p>
        </w:tc>
      </w:tr>
      <w:tr>
        <w:trPr>
          <w:jc w:val="center"/>
          <w:trHeight w:val="55"/>
        </w:trPr>
        <w:tc>
          <w:tcPr>
            <w:tcBorders>
              <w:top w:val="single" w:color="000000" w:sz="2" w:space="0"/>
              <w:left w:val="single" w:color="000000" w:sz="2" w:space="0"/>
              <w:bottom w:val="single" w:color="000000" w:sz="2" w:space="0"/>
              <w:right w:val="single" w:color="000000" w:sz="2" w:space="0"/>
            </w:tcBorders>
            <w:tcW w:w="498"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1.1.</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5618" w:type="dxa"/>
            <w:vAlign w:val="center"/>
            <w:textDirection w:val="lrTb"/>
            <w:noWrap w:val="false"/>
          </w:tcPr>
          <w:p>
            <w:pPr>
              <w:pStyle w:val="1063"/>
              <w:jc w:val="both"/>
              <w:widowControl w:val="off"/>
              <w:rPr>
                <w:sz w:val="20"/>
                <w:szCs w:val="20"/>
              </w:rPr>
            </w:pPr>
            <w:r>
              <w:rPr>
                <w:rFonts w:ascii="Arial Narrow" w:hAnsi="Arial Narrow" w:cs="Calibri"/>
                <w:iCs/>
                <w:color w:val="000000"/>
                <w:sz w:val="20"/>
                <w:szCs w:val="20"/>
              </w:rPr>
              <w:t xml:space="preserve">выручка от реализации электроэнергии</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1082"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lang w:val="en-US"/>
              </w:rPr>
              <w:t xml:space="preserve">7</w:t>
            </w:r>
            <w:r>
              <w:rPr>
                <w:rFonts w:ascii="Arial Narrow" w:hAnsi="Arial Narrow" w:cs="Calibri"/>
                <w:sz w:val="20"/>
                <w:szCs w:val="20"/>
              </w:rPr>
              <w:t xml:space="preserve"> 8</w:t>
            </w:r>
            <w:r>
              <w:rPr>
                <w:rFonts w:ascii="Arial Narrow" w:hAnsi="Arial Narrow" w:cs="Calibri"/>
                <w:sz w:val="20"/>
                <w:szCs w:val="20"/>
                <w:lang w:val="en-US"/>
              </w:rPr>
              <w:t xml:space="preserve">70</w:t>
            </w:r>
            <w:r>
              <w:rPr>
                <w:rFonts w:ascii="Arial Narrow" w:hAnsi="Arial Narrow" w:cs="Calibri"/>
                <w:sz w:val="20"/>
                <w:szCs w:val="20"/>
              </w:rPr>
              <w:t xml:space="preserve"> 2</w:t>
            </w:r>
            <w:r>
              <w:rPr>
                <w:rFonts w:ascii="Arial Narrow" w:hAnsi="Arial Narrow" w:cs="Calibri"/>
                <w:sz w:val="20"/>
                <w:szCs w:val="20"/>
                <w:lang w:val="en-US"/>
              </w:rPr>
              <w:t xml:space="preserve">23</w:t>
            </w:r>
            <w:r>
              <w:rPr>
                <w:rFonts w:ascii="Arial Narrow" w:hAnsi="Arial Narrow" w:cs="Calibri"/>
                <w:sz w:val="20"/>
                <w:szCs w:val="20"/>
              </w:rPr>
            </w:r>
            <w:r>
              <w:rPr>
                <w:rFonts w:ascii="Arial Narrow" w:hAnsi="Arial Narrow" w:cs="Calibri"/>
                <w:sz w:val="20"/>
                <w:szCs w:val="20"/>
              </w:rPr>
            </w:r>
          </w:p>
        </w:tc>
        <w:tc>
          <w:tcPr>
            <w:tcBorders>
              <w:top w:val="single" w:color="000000" w:sz="2" w:space="0"/>
              <w:left w:val="single" w:color="000000" w:sz="2" w:space="0"/>
              <w:bottom w:val="single" w:color="000000" w:sz="2" w:space="0"/>
              <w:right w:val="single" w:color="000000" w:sz="2" w:space="0"/>
            </w:tcBorders>
            <w:tcW w:w="1055" w:type="dxa"/>
            <w:vAlign w:val="center"/>
            <w:textDirection w:val="lrTb"/>
            <w:noWrap w:val="false"/>
          </w:tcPr>
          <w:p>
            <w:pPr>
              <w:pStyle w:val="1063"/>
              <w:jc w:val="center"/>
              <w:widowControl w:val="off"/>
              <w:rPr>
                <w:sz w:val="20"/>
                <w:szCs w:val="20"/>
              </w:rPr>
            </w:pPr>
            <w:r>
              <w:rPr>
                <w:rFonts w:ascii="Arial Narrow" w:hAnsi="Arial Narrow" w:cs="Calibri"/>
                <w:sz w:val="20"/>
                <w:szCs w:val="20"/>
                <w:lang w:val="en-US"/>
              </w:rPr>
              <w:t xml:space="preserve">10</w:t>
            </w:r>
            <w:r>
              <w:rPr>
                <w:rFonts w:ascii="Arial Narrow" w:hAnsi="Arial Narrow" w:cs="Calibri"/>
                <w:sz w:val="20"/>
                <w:szCs w:val="20"/>
              </w:rPr>
              <w:t xml:space="preserve"> 135 867</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113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13 280 758</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85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31</w:t>
            </w:r>
            <w:r>
              <w:rPr>
                <w:sz w:val="20"/>
                <w:szCs w:val="20"/>
              </w:rPr>
            </w:r>
            <w:r>
              <w:rPr>
                <w:sz w:val="20"/>
                <w:szCs w:val="20"/>
              </w:rPr>
            </w:r>
          </w:p>
        </w:tc>
      </w:tr>
      <w:tr>
        <w:trPr>
          <w:jc w:val="center"/>
          <w:trHeight w:val="55"/>
        </w:trPr>
        <w:tc>
          <w:tcPr>
            <w:tcBorders>
              <w:top w:val="single" w:color="000000" w:sz="2" w:space="0"/>
              <w:left w:val="single" w:color="000000" w:sz="2" w:space="0"/>
              <w:bottom w:val="single" w:color="000000" w:sz="2" w:space="0"/>
              <w:right w:val="single" w:color="000000" w:sz="2" w:space="0"/>
            </w:tcBorders>
            <w:tcW w:w="498"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1.2.</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5618" w:type="dxa"/>
            <w:vAlign w:val="center"/>
            <w:textDirection w:val="lrTb"/>
            <w:noWrap w:val="false"/>
          </w:tcPr>
          <w:p>
            <w:pPr>
              <w:pStyle w:val="1063"/>
              <w:jc w:val="both"/>
              <w:widowControl w:val="off"/>
              <w:rPr>
                <w:sz w:val="20"/>
                <w:szCs w:val="20"/>
              </w:rPr>
            </w:pPr>
            <w:r>
              <w:rPr>
                <w:rFonts w:ascii="Arial Narrow" w:hAnsi="Arial Narrow" w:cs="Calibri"/>
                <w:iCs/>
                <w:color w:val="000000"/>
                <w:sz w:val="20"/>
                <w:szCs w:val="20"/>
              </w:rPr>
              <w:t xml:space="preserve">выручка от реализации теплоэнергии</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1082"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t xml:space="preserve">5 4</w:t>
            </w:r>
            <w:r>
              <w:rPr>
                <w:rFonts w:ascii="Arial Narrow" w:hAnsi="Arial Narrow" w:cs="Calibri"/>
                <w:sz w:val="20"/>
                <w:szCs w:val="20"/>
                <w:lang w:val="en-US"/>
              </w:rPr>
              <w:t xml:space="preserve">9</w:t>
            </w:r>
            <w:r>
              <w:rPr>
                <w:rFonts w:ascii="Arial Narrow" w:hAnsi="Arial Narrow" w:cs="Calibri"/>
                <w:sz w:val="20"/>
                <w:szCs w:val="20"/>
              </w:rPr>
              <w:t xml:space="preserve">9 </w:t>
            </w:r>
            <w:r>
              <w:rPr>
                <w:rFonts w:ascii="Arial Narrow" w:hAnsi="Arial Narrow" w:cs="Calibri"/>
                <w:sz w:val="20"/>
                <w:szCs w:val="20"/>
                <w:lang w:val="en-US"/>
              </w:rPr>
              <w:t xml:space="preserve">6</w:t>
            </w:r>
            <w:r>
              <w:rPr>
                <w:rFonts w:ascii="Arial Narrow" w:hAnsi="Arial Narrow" w:cs="Calibri"/>
                <w:sz w:val="20"/>
                <w:szCs w:val="20"/>
              </w:rPr>
              <w:t xml:space="preserve">8</w:t>
            </w:r>
            <w:r>
              <w:rPr>
                <w:rFonts w:ascii="Arial Narrow" w:hAnsi="Arial Narrow" w:cs="Calibri"/>
                <w:sz w:val="20"/>
                <w:szCs w:val="20"/>
                <w:lang w:val="en-US"/>
              </w:rPr>
              <w:t xml:space="preserve">5</w:t>
            </w:r>
            <w:r>
              <w:rPr>
                <w:rFonts w:ascii="Arial Narrow" w:hAnsi="Arial Narrow" w:cs="Calibri"/>
                <w:sz w:val="20"/>
                <w:szCs w:val="20"/>
              </w:rPr>
            </w:r>
            <w:r>
              <w:rPr>
                <w:rFonts w:ascii="Arial Narrow" w:hAnsi="Arial Narrow" w:cs="Calibri"/>
                <w:sz w:val="20"/>
                <w:szCs w:val="20"/>
              </w:rPr>
            </w:r>
          </w:p>
        </w:tc>
        <w:tc>
          <w:tcPr>
            <w:tcBorders>
              <w:top w:val="single" w:color="000000" w:sz="2" w:space="0"/>
              <w:left w:val="single" w:color="000000" w:sz="2" w:space="0"/>
              <w:bottom w:val="single" w:color="000000" w:sz="2" w:space="0"/>
              <w:right w:val="single" w:color="000000" w:sz="2" w:space="0"/>
            </w:tcBorders>
            <w:tcW w:w="1055"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t xml:space="preserve">5 839 </w:t>
            </w:r>
            <w:r>
              <w:rPr>
                <w:rFonts w:ascii="Arial Narrow" w:hAnsi="Arial Narrow" w:cs="Calibri"/>
                <w:sz w:val="20"/>
                <w:szCs w:val="20"/>
                <w:lang w:val="en-US"/>
              </w:rPr>
              <w:t xml:space="preserve">012</w:t>
            </w:r>
            <w:r>
              <w:rPr>
                <w:rFonts w:ascii="Arial Narrow" w:hAnsi="Arial Narrow" w:cs="Calibri"/>
                <w:sz w:val="20"/>
                <w:szCs w:val="20"/>
              </w:rPr>
            </w:r>
            <w:r>
              <w:rPr>
                <w:rFonts w:ascii="Arial Narrow" w:hAnsi="Arial Narrow" w:cs="Calibri"/>
                <w:sz w:val="20"/>
                <w:szCs w:val="20"/>
              </w:rPr>
            </w:r>
          </w:p>
        </w:tc>
        <w:tc>
          <w:tcPr>
            <w:tcBorders>
              <w:top w:val="single" w:color="000000" w:sz="2" w:space="0"/>
              <w:left w:val="single" w:color="000000" w:sz="2" w:space="0"/>
              <w:bottom w:val="single" w:color="000000" w:sz="2" w:space="0"/>
              <w:right w:val="single" w:color="000000" w:sz="2" w:space="0"/>
            </w:tcBorders>
            <w:tcW w:w="113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6 030 770</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85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3</w:t>
            </w:r>
            <w:r>
              <w:rPr>
                <w:sz w:val="20"/>
                <w:szCs w:val="20"/>
              </w:rPr>
            </w:r>
            <w:r>
              <w:rPr>
                <w:sz w:val="20"/>
                <w:szCs w:val="20"/>
              </w:rPr>
            </w:r>
          </w:p>
        </w:tc>
      </w:tr>
      <w:tr>
        <w:trPr>
          <w:jc w:val="center"/>
          <w:trHeight w:val="55"/>
        </w:trPr>
        <w:tc>
          <w:tcPr>
            <w:tcBorders>
              <w:top w:val="single" w:color="000000" w:sz="2" w:space="0"/>
              <w:left w:val="single" w:color="000000" w:sz="2" w:space="0"/>
              <w:bottom w:val="single" w:color="000000" w:sz="2" w:space="0"/>
              <w:right w:val="single" w:color="000000" w:sz="2" w:space="0"/>
            </w:tcBorders>
            <w:tcW w:w="498"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1.3.</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5618" w:type="dxa"/>
            <w:vAlign w:val="center"/>
            <w:textDirection w:val="lrTb"/>
            <w:noWrap w:val="false"/>
          </w:tcPr>
          <w:p>
            <w:pPr>
              <w:pStyle w:val="1063"/>
              <w:jc w:val="both"/>
              <w:widowControl w:val="off"/>
              <w:rPr>
                <w:sz w:val="20"/>
                <w:szCs w:val="20"/>
              </w:rPr>
            </w:pPr>
            <w:r>
              <w:rPr>
                <w:rFonts w:ascii="Arial Narrow" w:hAnsi="Arial Narrow" w:cs="Calibri"/>
                <w:iCs/>
                <w:color w:val="000000"/>
                <w:sz w:val="20"/>
                <w:szCs w:val="20"/>
              </w:rPr>
              <w:t xml:space="preserve">выручка от услуги по технологическому присоединению</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1082"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lang w:val="en-US"/>
              </w:rPr>
              <w:t xml:space="preserve">66</w:t>
            </w:r>
            <w:r>
              <w:rPr>
                <w:rFonts w:ascii="Arial Narrow" w:hAnsi="Arial Narrow" w:cs="Calibri"/>
                <w:sz w:val="20"/>
                <w:szCs w:val="20"/>
              </w:rPr>
              <w:t xml:space="preserve"> 3</w:t>
            </w:r>
            <w:r>
              <w:rPr>
                <w:rFonts w:ascii="Arial Narrow" w:hAnsi="Arial Narrow" w:cs="Calibri"/>
                <w:sz w:val="20"/>
                <w:szCs w:val="20"/>
                <w:lang w:val="en-US"/>
              </w:rPr>
              <w:t xml:space="preserve">15</w:t>
            </w:r>
            <w:r>
              <w:rPr>
                <w:rFonts w:ascii="Arial Narrow" w:hAnsi="Arial Narrow" w:cs="Calibri"/>
                <w:sz w:val="20"/>
                <w:szCs w:val="20"/>
              </w:rPr>
            </w:r>
            <w:r>
              <w:rPr>
                <w:rFonts w:ascii="Arial Narrow" w:hAnsi="Arial Narrow" w:cs="Calibri"/>
                <w:sz w:val="20"/>
                <w:szCs w:val="20"/>
              </w:rPr>
            </w:r>
          </w:p>
        </w:tc>
        <w:tc>
          <w:tcPr>
            <w:tcBorders>
              <w:top w:val="single" w:color="000000" w:sz="2" w:space="0"/>
              <w:left w:val="single" w:color="000000" w:sz="2" w:space="0"/>
              <w:bottom w:val="single" w:color="000000" w:sz="2" w:space="0"/>
              <w:right w:val="single" w:color="000000" w:sz="2" w:space="0"/>
            </w:tcBorders>
            <w:tcW w:w="1055" w:type="dxa"/>
            <w:vAlign w:val="center"/>
            <w:textDirection w:val="lrTb"/>
            <w:noWrap w:val="false"/>
          </w:tcPr>
          <w:p>
            <w:pPr>
              <w:pStyle w:val="1063"/>
              <w:jc w:val="center"/>
              <w:widowControl w:val="off"/>
              <w:rPr>
                <w:sz w:val="20"/>
                <w:szCs w:val="20"/>
              </w:rPr>
            </w:pPr>
            <w:r>
              <w:rPr>
                <w:rFonts w:ascii="Arial Narrow" w:hAnsi="Arial Narrow" w:cs="Calibri"/>
                <w:sz w:val="20"/>
                <w:szCs w:val="20"/>
                <w:lang w:val="en-US"/>
              </w:rPr>
              <w:t xml:space="preserve">518</w:t>
            </w:r>
            <w:r>
              <w:rPr>
                <w:rFonts w:ascii="Arial Narrow" w:hAnsi="Arial Narrow" w:cs="Calibri"/>
                <w:sz w:val="20"/>
                <w:szCs w:val="20"/>
              </w:rPr>
              <w:t xml:space="preserve"> 066</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113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173 273</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85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-67</w:t>
            </w:r>
            <w:r>
              <w:rPr>
                <w:sz w:val="20"/>
                <w:szCs w:val="20"/>
              </w:rPr>
            </w:r>
            <w:r>
              <w:rPr>
                <w:sz w:val="20"/>
                <w:szCs w:val="20"/>
              </w:rPr>
            </w:r>
          </w:p>
        </w:tc>
      </w:tr>
      <w:tr>
        <w:trPr>
          <w:jc w:val="center"/>
          <w:trHeight w:val="55"/>
        </w:trPr>
        <w:tc>
          <w:tcPr>
            <w:tcBorders>
              <w:top w:val="single" w:color="000000" w:sz="2" w:space="0"/>
              <w:left w:val="single" w:color="000000" w:sz="2" w:space="0"/>
              <w:bottom w:val="single" w:color="000000" w:sz="2" w:space="0"/>
              <w:right w:val="single" w:color="000000" w:sz="2" w:space="0"/>
            </w:tcBorders>
            <w:tcW w:w="498"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1.4.</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5618" w:type="dxa"/>
            <w:vAlign w:val="center"/>
            <w:textDirection w:val="lrTb"/>
            <w:noWrap w:val="false"/>
          </w:tcPr>
          <w:p>
            <w:pPr>
              <w:pStyle w:val="1063"/>
              <w:jc w:val="both"/>
              <w:widowControl w:val="off"/>
              <w:rPr>
                <w:sz w:val="20"/>
                <w:szCs w:val="20"/>
              </w:rPr>
            </w:pPr>
            <w:r>
              <w:rPr>
                <w:rFonts w:ascii="Arial Narrow" w:hAnsi="Arial Narrow" w:cs="Calibri"/>
                <w:iCs/>
                <w:color w:val="000000"/>
                <w:sz w:val="20"/>
                <w:szCs w:val="20"/>
              </w:rPr>
              <w:t xml:space="preserve">выручка от реализации прочей товарной продукции (работ, услуг)</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1082"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t xml:space="preserve">477 </w:t>
            </w:r>
            <w:r>
              <w:rPr>
                <w:rFonts w:ascii="Arial Narrow" w:hAnsi="Arial Narrow" w:cs="Calibri"/>
                <w:sz w:val="20"/>
                <w:szCs w:val="20"/>
                <w:lang w:val="en-US"/>
              </w:rPr>
              <w:t xml:space="preserve">474</w:t>
            </w:r>
            <w:r>
              <w:rPr>
                <w:rFonts w:ascii="Arial Narrow" w:hAnsi="Arial Narrow" w:cs="Calibri"/>
                <w:sz w:val="20"/>
                <w:szCs w:val="20"/>
              </w:rPr>
            </w:r>
            <w:r>
              <w:rPr>
                <w:rFonts w:ascii="Arial Narrow" w:hAnsi="Arial Narrow" w:cs="Calibri"/>
                <w:sz w:val="20"/>
                <w:szCs w:val="20"/>
              </w:rPr>
            </w:r>
          </w:p>
        </w:tc>
        <w:tc>
          <w:tcPr>
            <w:tcBorders>
              <w:top w:val="single" w:color="000000" w:sz="2" w:space="0"/>
              <w:left w:val="single" w:color="000000" w:sz="2" w:space="0"/>
              <w:bottom w:val="single" w:color="000000" w:sz="2" w:space="0"/>
              <w:right w:val="single" w:color="000000" w:sz="2" w:space="0"/>
            </w:tcBorders>
            <w:tcW w:w="1055"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t xml:space="preserve">544 </w:t>
            </w:r>
            <w:r>
              <w:rPr>
                <w:rFonts w:ascii="Arial Narrow" w:hAnsi="Arial Narrow" w:cs="Calibri"/>
                <w:sz w:val="20"/>
                <w:szCs w:val="20"/>
                <w:lang w:val="en-US"/>
              </w:rPr>
              <w:t xml:space="preserve">173</w:t>
            </w:r>
            <w:r>
              <w:rPr>
                <w:rFonts w:ascii="Arial Narrow" w:hAnsi="Arial Narrow" w:cs="Calibri"/>
                <w:sz w:val="20"/>
                <w:szCs w:val="20"/>
              </w:rPr>
            </w:r>
            <w:r>
              <w:rPr>
                <w:rFonts w:ascii="Arial Narrow" w:hAnsi="Arial Narrow" w:cs="Calibri"/>
                <w:sz w:val="20"/>
                <w:szCs w:val="20"/>
              </w:rPr>
            </w:r>
          </w:p>
        </w:tc>
        <w:tc>
          <w:tcPr>
            <w:tcBorders>
              <w:top w:val="single" w:color="000000" w:sz="2" w:space="0"/>
              <w:left w:val="single" w:color="000000" w:sz="2" w:space="0"/>
              <w:bottom w:val="single" w:color="000000" w:sz="2" w:space="0"/>
              <w:right w:val="single" w:color="000000" w:sz="2" w:space="0"/>
            </w:tcBorders>
            <w:tcW w:w="113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611 222</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85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12</w:t>
            </w:r>
            <w:r>
              <w:rPr>
                <w:sz w:val="20"/>
                <w:szCs w:val="20"/>
              </w:rPr>
            </w:r>
            <w:r>
              <w:rPr>
                <w:sz w:val="20"/>
                <w:szCs w:val="20"/>
              </w:rPr>
            </w:r>
          </w:p>
        </w:tc>
      </w:tr>
      <w:tr>
        <w:trPr>
          <w:jc w:val="center"/>
          <w:trHeight w:val="55"/>
        </w:trPr>
        <w:tc>
          <w:tcPr>
            <w:tcBorders>
              <w:top w:val="single" w:color="000000" w:sz="2" w:space="0"/>
              <w:left w:val="single" w:color="000000" w:sz="2" w:space="0"/>
              <w:bottom w:val="single" w:color="000000" w:sz="2" w:space="0"/>
              <w:right w:val="single" w:color="000000" w:sz="2" w:space="0"/>
            </w:tcBorders>
            <w:tcW w:w="498"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1.5.</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5618" w:type="dxa"/>
            <w:vAlign w:val="center"/>
            <w:textDirection w:val="lrTb"/>
            <w:noWrap w:val="false"/>
          </w:tcPr>
          <w:p>
            <w:pPr>
              <w:pStyle w:val="1063"/>
              <w:jc w:val="both"/>
              <w:widowControl w:val="off"/>
              <w:rPr>
                <w:sz w:val="20"/>
                <w:szCs w:val="20"/>
              </w:rPr>
            </w:pPr>
            <w:r>
              <w:rPr>
                <w:rFonts w:ascii="Arial Narrow" w:hAnsi="Arial Narrow" w:cs="Calibri"/>
                <w:iCs/>
                <w:color w:val="000000"/>
                <w:sz w:val="20"/>
                <w:szCs w:val="20"/>
              </w:rPr>
              <w:t xml:space="preserve">субсидия на возмещение выпадающих доходов (электроэнергия)</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1082"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t xml:space="preserve">9 </w:t>
            </w:r>
            <w:r>
              <w:rPr>
                <w:rFonts w:ascii="Arial Narrow" w:hAnsi="Arial Narrow" w:cs="Calibri"/>
                <w:sz w:val="20"/>
                <w:szCs w:val="20"/>
                <w:lang w:val="en-US"/>
              </w:rPr>
              <w:t xml:space="preserve">171</w:t>
            </w:r>
            <w:r>
              <w:rPr>
                <w:rFonts w:ascii="Arial Narrow" w:hAnsi="Arial Narrow" w:cs="Calibri"/>
                <w:sz w:val="20"/>
                <w:szCs w:val="20"/>
              </w:rPr>
              <w:t xml:space="preserve"> </w:t>
            </w:r>
            <w:r>
              <w:rPr>
                <w:rFonts w:ascii="Arial Narrow" w:hAnsi="Arial Narrow" w:cs="Calibri"/>
                <w:sz w:val="20"/>
                <w:szCs w:val="20"/>
                <w:lang w:val="en-US"/>
              </w:rPr>
              <w:t xml:space="preserve">971</w:t>
            </w:r>
            <w:r>
              <w:rPr>
                <w:rFonts w:ascii="Arial Narrow" w:hAnsi="Arial Narrow" w:cs="Calibri"/>
                <w:sz w:val="20"/>
                <w:szCs w:val="20"/>
              </w:rPr>
            </w:r>
            <w:r>
              <w:rPr>
                <w:rFonts w:ascii="Arial Narrow" w:hAnsi="Arial Narrow" w:cs="Calibri"/>
                <w:sz w:val="20"/>
                <w:szCs w:val="20"/>
              </w:rPr>
            </w:r>
          </w:p>
        </w:tc>
        <w:tc>
          <w:tcPr>
            <w:tcBorders>
              <w:top w:val="single" w:color="000000" w:sz="2" w:space="0"/>
              <w:left w:val="single" w:color="000000" w:sz="2" w:space="0"/>
              <w:bottom w:val="single" w:color="000000" w:sz="2" w:space="0"/>
              <w:right w:val="single" w:color="000000" w:sz="2" w:space="0"/>
            </w:tcBorders>
            <w:tcW w:w="1055"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t xml:space="preserve">10 </w:t>
            </w:r>
            <w:r>
              <w:rPr>
                <w:rFonts w:ascii="Arial Narrow" w:hAnsi="Arial Narrow" w:cs="Calibri"/>
                <w:sz w:val="20"/>
                <w:szCs w:val="20"/>
                <w:lang w:val="en-US"/>
              </w:rPr>
              <w:t xml:space="preserve">649</w:t>
            </w:r>
            <w:r>
              <w:rPr>
                <w:rFonts w:ascii="Arial Narrow" w:hAnsi="Arial Narrow" w:cs="Calibri"/>
                <w:sz w:val="20"/>
                <w:szCs w:val="20"/>
              </w:rPr>
              <w:t xml:space="preserve"> </w:t>
            </w:r>
            <w:r>
              <w:rPr>
                <w:rFonts w:ascii="Arial Narrow" w:hAnsi="Arial Narrow" w:cs="Calibri"/>
                <w:sz w:val="20"/>
                <w:szCs w:val="20"/>
                <w:lang w:val="en-US"/>
              </w:rPr>
              <w:t xml:space="preserve">947</w:t>
            </w:r>
            <w:r>
              <w:rPr>
                <w:rFonts w:ascii="Arial Narrow" w:hAnsi="Arial Narrow" w:cs="Calibri"/>
                <w:sz w:val="20"/>
                <w:szCs w:val="20"/>
              </w:rPr>
            </w:r>
            <w:r>
              <w:rPr>
                <w:rFonts w:ascii="Arial Narrow" w:hAnsi="Arial Narrow" w:cs="Calibri"/>
                <w:sz w:val="20"/>
                <w:szCs w:val="20"/>
              </w:rPr>
            </w:r>
          </w:p>
        </w:tc>
        <w:tc>
          <w:tcPr>
            <w:tcBorders>
              <w:top w:val="single" w:color="000000" w:sz="2" w:space="0"/>
              <w:left w:val="single" w:color="000000" w:sz="2" w:space="0"/>
              <w:bottom w:val="single" w:color="000000" w:sz="2" w:space="0"/>
              <w:right w:val="single" w:color="000000" w:sz="2" w:space="0"/>
            </w:tcBorders>
            <w:tcW w:w="113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12 008 789</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85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13</w:t>
            </w:r>
            <w:r>
              <w:rPr>
                <w:sz w:val="20"/>
                <w:szCs w:val="20"/>
              </w:rPr>
            </w:r>
            <w:r>
              <w:rPr>
                <w:sz w:val="20"/>
                <w:szCs w:val="20"/>
              </w:rPr>
            </w:r>
          </w:p>
        </w:tc>
      </w:tr>
      <w:tr>
        <w:trPr>
          <w:jc w:val="center"/>
          <w:trHeight w:val="55"/>
        </w:trPr>
        <w:tc>
          <w:tcPr>
            <w:tcBorders>
              <w:top w:val="single" w:color="000000" w:sz="2" w:space="0"/>
              <w:left w:val="single" w:color="000000" w:sz="2" w:space="0"/>
              <w:bottom w:val="single" w:color="000000" w:sz="2" w:space="0"/>
              <w:right w:val="single" w:color="000000" w:sz="2" w:space="0"/>
            </w:tcBorders>
            <w:tcW w:w="498"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1.6.</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5618" w:type="dxa"/>
            <w:vAlign w:val="center"/>
            <w:textDirection w:val="lrTb"/>
            <w:noWrap w:val="false"/>
          </w:tcPr>
          <w:p>
            <w:pPr>
              <w:pStyle w:val="1063"/>
              <w:jc w:val="both"/>
              <w:widowControl w:val="off"/>
              <w:rPr>
                <w:sz w:val="20"/>
                <w:szCs w:val="20"/>
              </w:rPr>
            </w:pPr>
            <w:r>
              <w:rPr>
                <w:rFonts w:ascii="Arial Narrow" w:hAnsi="Arial Narrow" w:cs="Calibri"/>
                <w:iCs/>
                <w:color w:val="000000"/>
                <w:sz w:val="20"/>
                <w:szCs w:val="20"/>
              </w:rPr>
              <w:t xml:space="preserve">субсидия на возмещение выпадающих доходов (теплоэнергия)</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1082"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t xml:space="preserve">6 439 </w:t>
            </w:r>
            <w:r>
              <w:rPr>
                <w:rFonts w:ascii="Arial Narrow" w:hAnsi="Arial Narrow" w:cs="Calibri"/>
                <w:sz w:val="20"/>
                <w:szCs w:val="20"/>
                <w:lang w:val="en-US"/>
              </w:rPr>
              <w:t xml:space="preserve">516</w:t>
            </w:r>
            <w:r>
              <w:rPr>
                <w:rFonts w:ascii="Arial Narrow" w:hAnsi="Arial Narrow" w:cs="Calibri"/>
                <w:sz w:val="20"/>
                <w:szCs w:val="20"/>
              </w:rPr>
            </w:r>
            <w:r>
              <w:rPr>
                <w:rFonts w:ascii="Arial Narrow" w:hAnsi="Arial Narrow" w:cs="Calibri"/>
                <w:sz w:val="20"/>
                <w:szCs w:val="20"/>
              </w:rPr>
            </w:r>
          </w:p>
        </w:tc>
        <w:tc>
          <w:tcPr>
            <w:tcBorders>
              <w:top w:val="single" w:color="000000" w:sz="2" w:space="0"/>
              <w:left w:val="single" w:color="000000" w:sz="2" w:space="0"/>
              <w:bottom w:val="single" w:color="000000" w:sz="2" w:space="0"/>
              <w:right w:val="single" w:color="000000" w:sz="2" w:space="0"/>
            </w:tcBorders>
            <w:tcW w:w="1055"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t xml:space="preserve">7 425 </w:t>
            </w:r>
            <w:r>
              <w:rPr>
                <w:rFonts w:ascii="Arial Narrow" w:hAnsi="Arial Narrow" w:cs="Calibri"/>
                <w:sz w:val="20"/>
                <w:szCs w:val="20"/>
                <w:lang w:val="en-US"/>
              </w:rPr>
              <w:t xml:space="preserve">957</w:t>
            </w:r>
            <w:r>
              <w:rPr>
                <w:rFonts w:ascii="Arial Narrow" w:hAnsi="Arial Narrow" w:cs="Calibri"/>
                <w:sz w:val="20"/>
                <w:szCs w:val="20"/>
              </w:rPr>
            </w:r>
            <w:r>
              <w:rPr>
                <w:rFonts w:ascii="Arial Narrow" w:hAnsi="Arial Narrow" w:cs="Calibri"/>
                <w:sz w:val="20"/>
                <w:szCs w:val="20"/>
              </w:rPr>
            </w:r>
          </w:p>
        </w:tc>
        <w:tc>
          <w:tcPr>
            <w:tcBorders>
              <w:top w:val="single" w:color="000000" w:sz="2" w:space="0"/>
              <w:left w:val="single" w:color="000000" w:sz="2" w:space="0"/>
              <w:bottom w:val="single" w:color="000000" w:sz="2" w:space="0"/>
              <w:right w:val="single" w:color="000000" w:sz="2" w:space="0"/>
            </w:tcBorders>
            <w:tcW w:w="113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8 254 413</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85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11</w:t>
            </w:r>
            <w:r>
              <w:rPr>
                <w:sz w:val="20"/>
                <w:szCs w:val="20"/>
              </w:rPr>
            </w:r>
            <w:r>
              <w:rPr>
                <w:sz w:val="20"/>
                <w:szCs w:val="20"/>
              </w:rPr>
            </w:r>
          </w:p>
        </w:tc>
      </w:tr>
      <w:tr>
        <w:trPr>
          <w:jc w:val="center"/>
          <w:trHeight w:val="55"/>
        </w:trPr>
        <w:tc>
          <w:tcPr>
            <w:tcBorders>
              <w:top w:val="single" w:color="000000" w:sz="2" w:space="0"/>
              <w:left w:val="single" w:color="000000" w:sz="2" w:space="0"/>
              <w:bottom w:val="single" w:color="000000" w:sz="2" w:space="0"/>
              <w:right w:val="single" w:color="000000" w:sz="2" w:space="0"/>
            </w:tcBorders>
            <w:tcW w:w="498"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2.</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5618" w:type="dxa"/>
            <w:vAlign w:val="center"/>
            <w:textDirection w:val="lrTb"/>
            <w:noWrap w:val="false"/>
          </w:tcPr>
          <w:p>
            <w:pPr>
              <w:pStyle w:val="1063"/>
              <w:jc w:val="both"/>
              <w:widowControl w:val="off"/>
              <w:rPr>
                <w:sz w:val="20"/>
                <w:szCs w:val="20"/>
              </w:rPr>
            </w:pPr>
            <w:r>
              <w:rPr>
                <w:rFonts w:ascii="Arial Narrow" w:hAnsi="Arial Narrow" w:cs="Calibri"/>
                <w:color w:val="000000"/>
                <w:sz w:val="20"/>
                <w:szCs w:val="20"/>
              </w:rPr>
              <w:t xml:space="preserve">Себестоимость</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108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w:t>
            </w:r>
            <w:r>
              <w:rPr>
                <w:rFonts w:ascii="Arial Narrow" w:hAnsi="Arial Narrow" w:cs="Calibri"/>
                <w:sz w:val="20"/>
                <w:szCs w:val="20"/>
                <w:lang w:val="en-US"/>
              </w:rPr>
              <w:t xml:space="preserve">9</w:t>
            </w:r>
            <w:r>
              <w:rPr>
                <w:rFonts w:ascii="Arial Narrow" w:hAnsi="Arial Narrow" w:cs="Calibri"/>
                <w:sz w:val="20"/>
                <w:szCs w:val="20"/>
              </w:rPr>
              <w:t xml:space="preserve"> </w:t>
            </w:r>
            <w:r>
              <w:rPr>
                <w:rFonts w:ascii="Arial Narrow" w:hAnsi="Arial Narrow" w:cs="Calibri"/>
                <w:sz w:val="20"/>
                <w:szCs w:val="20"/>
                <w:lang w:val="en-US"/>
              </w:rPr>
              <w:t xml:space="preserve">824</w:t>
            </w:r>
            <w:r>
              <w:rPr>
                <w:rFonts w:ascii="Arial Narrow" w:hAnsi="Arial Narrow" w:cs="Calibri"/>
                <w:sz w:val="20"/>
                <w:szCs w:val="20"/>
              </w:rPr>
              <w:t xml:space="preserve"> 757</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105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32 </w:t>
            </w:r>
            <w:r>
              <w:rPr>
                <w:rFonts w:ascii="Arial Narrow" w:hAnsi="Arial Narrow" w:cs="Calibri"/>
                <w:sz w:val="20"/>
                <w:szCs w:val="20"/>
                <w:lang w:val="en-US"/>
              </w:rPr>
              <w:t xml:space="preserve">514</w:t>
            </w:r>
            <w:r>
              <w:rPr>
                <w:rFonts w:ascii="Arial Narrow" w:hAnsi="Arial Narrow" w:cs="Calibri"/>
                <w:sz w:val="20"/>
                <w:szCs w:val="20"/>
              </w:rPr>
              <w:t xml:space="preserve"> 034</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113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40 218 690</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85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24</w:t>
            </w:r>
            <w:r>
              <w:rPr>
                <w:sz w:val="20"/>
                <w:szCs w:val="20"/>
              </w:rPr>
            </w:r>
            <w:r>
              <w:rPr>
                <w:sz w:val="20"/>
                <w:szCs w:val="20"/>
              </w:rPr>
            </w:r>
          </w:p>
        </w:tc>
      </w:tr>
      <w:tr>
        <w:trPr>
          <w:jc w:val="center"/>
          <w:trHeight w:val="55"/>
        </w:trPr>
        <w:tc>
          <w:tcPr>
            <w:tcBorders>
              <w:top w:val="single" w:color="000000" w:sz="2" w:space="0"/>
              <w:left w:val="single" w:color="000000" w:sz="2" w:space="0"/>
              <w:bottom w:val="single" w:color="000000" w:sz="2" w:space="0"/>
              <w:right w:val="single" w:color="000000" w:sz="2" w:space="0"/>
            </w:tcBorders>
            <w:tcW w:w="498"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3.</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5618" w:type="dxa"/>
            <w:vAlign w:val="center"/>
            <w:textDirection w:val="lrTb"/>
            <w:noWrap w:val="false"/>
          </w:tcPr>
          <w:p>
            <w:pPr>
              <w:pStyle w:val="1063"/>
              <w:jc w:val="both"/>
              <w:widowControl w:val="off"/>
              <w:rPr>
                <w:sz w:val="20"/>
                <w:szCs w:val="20"/>
              </w:rPr>
            </w:pPr>
            <w:r>
              <w:rPr>
                <w:rFonts w:ascii="Arial Narrow" w:hAnsi="Arial Narrow" w:cs="Calibri"/>
                <w:color w:val="000000"/>
                <w:sz w:val="20"/>
                <w:szCs w:val="20"/>
              </w:rPr>
              <w:t xml:space="preserve">Прибыль/убыток от продаж</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108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-299 573</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105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2 598 988</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113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140 535</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85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5</w:t>
            </w:r>
            <w:r>
              <w:rPr>
                <w:sz w:val="20"/>
                <w:szCs w:val="20"/>
              </w:rPr>
            </w:r>
            <w:r>
              <w:rPr>
                <w:sz w:val="20"/>
                <w:szCs w:val="20"/>
              </w:rPr>
            </w:r>
          </w:p>
        </w:tc>
      </w:tr>
      <w:tr>
        <w:trPr>
          <w:jc w:val="center"/>
          <w:trHeight w:val="55"/>
        </w:trPr>
        <w:tc>
          <w:tcPr>
            <w:tcBorders>
              <w:top w:val="single" w:color="000000" w:sz="2" w:space="0"/>
              <w:left w:val="single" w:color="000000" w:sz="2" w:space="0"/>
              <w:bottom w:val="single" w:color="000000" w:sz="2" w:space="0"/>
              <w:right w:val="single" w:color="000000" w:sz="2" w:space="0"/>
            </w:tcBorders>
            <w:tcW w:w="498"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4.</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5618" w:type="dxa"/>
            <w:vAlign w:val="center"/>
            <w:textDirection w:val="lrTb"/>
            <w:noWrap w:val="false"/>
          </w:tcPr>
          <w:p>
            <w:pPr>
              <w:pStyle w:val="1063"/>
              <w:jc w:val="both"/>
              <w:widowControl w:val="off"/>
              <w:rPr>
                <w:sz w:val="20"/>
                <w:szCs w:val="20"/>
              </w:rPr>
            </w:pPr>
            <w:r>
              <w:rPr>
                <w:rFonts w:ascii="Arial Narrow" w:hAnsi="Arial Narrow" w:cs="Calibri"/>
                <w:color w:val="000000"/>
                <w:sz w:val="20"/>
                <w:szCs w:val="20"/>
              </w:rPr>
              <w:t xml:space="preserve">Прочие доходы</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1082"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t xml:space="preserve">3 2</w:t>
            </w:r>
            <w:r>
              <w:rPr>
                <w:rFonts w:ascii="Arial Narrow" w:hAnsi="Arial Narrow" w:cs="Calibri"/>
                <w:sz w:val="20"/>
                <w:szCs w:val="20"/>
                <w:lang w:val="en-US"/>
              </w:rPr>
              <w:t xml:space="preserve">19</w:t>
            </w:r>
            <w:r>
              <w:rPr>
                <w:rFonts w:ascii="Arial Narrow" w:hAnsi="Arial Narrow" w:cs="Calibri"/>
                <w:sz w:val="20"/>
                <w:szCs w:val="20"/>
              </w:rPr>
              <w:t xml:space="preserve"> </w:t>
            </w:r>
            <w:r>
              <w:rPr>
                <w:rFonts w:ascii="Arial Narrow" w:hAnsi="Arial Narrow" w:cs="Calibri"/>
                <w:sz w:val="20"/>
                <w:szCs w:val="20"/>
                <w:lang w:val="en-US"/>
              </w:rPr>
              <w:t xml:space="preserve">350</w:t>
            </w:r>
            <w:r>
              <w:rPr>
                <w:rFonts w:ascii="Arial Narrow" w:hAnsi="Arial Narrow" w:cs="Calibri"/>
                <w:sz w:val="20"/>
                <w:szCs w:val="20"/>
              </w:rPr>
            </w:r>
            <w:r>
              <w:rPr>
                <w:rFonts w:ascii="Arial Narrow" w:hAnsi="Arial Narrow" w:cs="Calibri"/>
                <w:sz w:val="20"/>
                <w:szCs w:val="20"/>
              </w:rPr>
            </w:r>
          </w:p>
        </w:tc>
        <w:tc>
          <w:tcPr>
            <w:tcBorders>
              <w:top w:val="single" w:color="000000" w:sz="2" w:space="0"/>
              <w:left w:val="single" w:color="000000" w:sz="2" w:space="0"/>
              <w:bottom w:val="single" w:color="000000" w:sz="2" w:space="0"/>
              <w:right w:val="single" w:color="000000" w:sz="2" w:space="0"/>
            </w:tcBorders>
            <w:tcW w:w="1055"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t xml:space="preserve">3 374 </w:t>
            </w:r>
            <w:r>
              <w:rPr>
                <w:rFonts w:ascii="Arial Narrow" w:hAnsi="Arial Narrow" w:cs="Calibri"/>
                <w:sz w:val="20"/>
                <w:szCs w:val="20"/>
                <w:lang w:val="en-US"/>
              </w:rPr>
              <w:t xml:space="preserve">109</w:t>
            </w:r>
            <w:r>
              <w:rPr>
                <w:rFonts w:ascii="Arial Narrow" w:hAnsi="Arial Narrow" w:cs="Calibri"/>
                <w:sz w:val="20"/>
                <w:szCs w:val="20"/>
              </w:rPr>
            </w:r>
            <w:r>
              <w:rPr>
                <w:rFonts w:ascii="Arial Narrow" w:hAnsi="Arial Narrow" w:cs="Calibri"/>
                <w:sz w:val="20"/>
                <w:szCs w:val="20"/>
              </w:rPr>
            </w:r>
          </w:p>
        </w:tc>
        <w:tc>
          <w:tcPr>
            <w:tcBorders>
              <w:top w:val="single" w:color="000000" w:sz="2" w:space="0"/>
              <w:left w:val="single" w:color="000000" w:sz="2" w:space="0"/>
              <w:bottom w:val="single" w:color="000000" w:sz="2" w:space="0"/>
              <w:right w:val="single" w:color="000000" w:sz="2" w:space="0"/>
            </w:tcBorders>
            <w:tcW w:w="113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3 864 367</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85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15</w:t>
            </w:r>
            <w:r>
              <w:rPr>
                <w:sz w:val="20"/>
                <w:szCs w:val="20"/>
              </w:rPr>
            </w:r>
            <w:r>
              <w:rPr>
                <w:sz w:val="20"/>
                <w:szCs w:val="20"/>
              </w:rPr>
            </w:r>
          </w:p>
        </w:tc>
      </w:tr>
      <w:tr>
        <w:trPr>
          <w:jc w:val="center"/>
          <w:trHeight w:val="55"/>
        </w:trPr>
        <w:tc>
          <w:tcPr>
            <w:tcBorders>
              <w:top w:val="single" w:color="000000" w:sz="2" w:space="0"/>
              <w:left w:val="single" w:color="000000" w:sz="2" w:space="0"/>
              <w:bottom w:val="single" w:color="000000" w:sz="2" w:space="0"/>
              <w:right w:val="single" w:color="000000" w:sz="2" w:space="0"/>
            </w:tcBorders>
            <w:tcW w:w="498"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5.</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5618" w:type="dxa"/>
            <w:vAlign w:val="center"/>
            <w:textDirection w:val="lrTb"/>
            <w:noWrap w:val="false"/>
          </w:tcPr>
          <w:p>
            <w:pPr>
              <w:pStyle w:val="1063"/>
              <w:jc w:val="both"/>
              <w:widowControl w:val="off"/>
              <w:rPr>
                <w:sz w:val="20"/>
                <w:szCs w:val="20"/>
              </w:rPr>
            </w:pPr>
            <w:r>
              <w:rPr>
                <w:rFonts w:ascii="Arial Narrow" w:hAnsi="Arial Narrow" w:cs="Calibri"/>
                <w:color w:val="000000"/>
                <w:sz w:val="20"/>
                <w:szCs w:val="20"/>
              </w:rPr>
              <w:t xml:space="preserve">Прочие расходы</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108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2 692 527</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105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3 694 394</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113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3 752 445</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85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w:t>
            </w:r>
            <w:r>
              <w:rPr>
                <w:sz w:val="20"/>
                <w:szCs w:val="20"/>
              </w:rPr>
            </w:r>
            <w:r>
              <w:rPr>
                <w:sz w:val="20"/>
                <w:szCs w:val="20"/>
              </w:rPr>
            </w:r>
          </w:p>
        </w:tc>
      </w:tr>
      <w:tr>
        <w:trPr>
          <w:jc w:val="center"/>
          <w:trHeight w:val="55"/>
        </w:trPr>
        <w:tc>
          <w:tcPr>
            <w:tcBorders>
              <w:top w:val="single" w:color="000000" w:sz="2" w:space="0"/>
              <w:left w:val="single" w:color="000000" w:sz="2" w:space="0"/>
              <w:bottom w:val="single" w:color="000000" w:sz="2" w:space="0"/>
              <w:right w:val="single" w:color="000000" w:sz="2" w:space="0"/>
            </w:tcBorders>
            <w:tcW w:w="498"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6.</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5618" w:type="dxa"/>
            <w:vAlign w:val="center"/>
            <w:textDirection w:val="lrTb"/>
            <w:noWrap w:val="false"/>
          </w:tcPr>
          <w:p>
            <w:pPr>
              <w:pStyle w:val="1063"/>
              <w:jc w:val="both"/>
              <w:widowControl w:val="off"/>
              <w:rPr>
                <w:sz w:val="20"/>
                <w:szCs w:val="20"/>
              </w:rPr>
            </w:pPr>
            <w:r>
              <w:rPr>
                <w:rFonts w:ascii="Arial Narrow" w:hAnsi="Arial Narrow" w:cs="Calibri"/>
                <w:color w:val="000000"/>
                <w:sz w:val="20"/>
                <w:szCs w:val="20"/>
              </w:rPr>
              <w:t xml:space="preserve">Прибыль до налогообложения</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1082"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t xml:space="preserve">227 </w:t>
            </w:r>
            <w:r>
              <w:rPr>
                <w:rFonts w:ascii="Arial Narrow" w:hAnsi="Arial Narrow" w:cs="Calibri"/>
                <w:sz w:val="20"/>
                <w:szCs w:val="20"/>
                <w:lang w:val="en-US"/>
              </w:rPr>
              <w:t xml:space="preserve">250</w:t>
            </w:r>
            <w:r>
              <w:rPr>
                <w:rFonts w:ascii="Arial Narrow" w:hAnsi="Arial Narrow" w:cs="Calibri"/>
                <w:sz w:val="20"/>
                <w:szCs w:val="20"/>
              </w:rPr>
            </w:r>
            <w:r>
              <w:rPr>
                <w:rFonts w:ascii="Arial Narrow" w:hAnsi="Arial Narrow" w:cs="Calibri"/>
                <w:sz w:val="20"/>
                <w:szCs w:val="20"/>
              </w:rPr>
            </w:r>
          </w:p>
        </w:tc>
        <w:tc>
          <w:tcPr>
            <w:tcBorders>
              <w:top w:val="single" w:color="000000" w:sz="2" w:space="0"/>
              <w:left w:val="single" w:color="000000" w:sz="2" w:space="0"/>
              <w:bottom w:val="single" w:color="000000" w:sz="2" w:space="0"/>
              <w:right w:val="single" w:color="000000" w:sz="2" w:space="0"/>
            </w:tcBorders>
            <w:tcW w:w="1055"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t xml:space="preserve">2 278 </w:t>
            </w:r>
            <w:r>
              <w:rPr>
                <w:rFonts w:ascii="Arial Narrow" w:hAnsi="Arial Narrow" w:cs="Calibri"/>
                <w:sz w:val="20"/>
                <w:szCs w:val="20"/>
                <w:lang w:val="en-US"/>
              </w:rPr>
              <w:t xml:space="preserve">703</w:t>
            </w:r>
            <w:r>
              <w:rPr>
                <w:rFonts w:ascii="Arial Narrow" w:hAnsi="Arial Narrow" w:cs="Calibri"/>
                <w:sz w:val="20"/>
                <w:szCs w:val="20"/>
              </w:rPr>
            </w:r>
            <w:r>
              <w:rPr>
                <w:rFonts w:ascii="Arial Narrow" w:hAnsi="Arial Narrow" w:cs="Calibri"/>
                <w:sz w:val="20"/>
                <w:szCs w:val="20"/>
              </w:rPr>
            </w:r>
          </w:p>
        </w:tc>
        <w:tc>
          <w:tcPr>
            <w:tcBorders>
              <w:top w:val="single" w:color="000000" w:sz="2" w:space="0"/>
              <w:left w:val="single" w:color="000000" w:sz="2" w:space="0"/>
              <w:bottom w:val="single" w:color="000000" w:sz="2" w:space="0"/>
              <w:right w:val="single" w:color="000000" w:sz="2" w:space="0"/>
            </w:tcBorders>
            <w:tcW w:w="113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252 457</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85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-89</w:t>
            </w:r>
            <w:r>
              <w:rPr>
                <w:sz w:val="20"/>
                <w:szCs w:val="20"/>
              </w:rPr>
            </w:r>
            <w:r>
              <w:rPr>
                <w:sz w:val="20"/>
                <w:szCs w:val="20"/>
              </w:rPr>
            </w:r>
          </w:p>
        </w:tc>
      </w:tr>
      <w:tr>
        <w:trPr>
          <w:jc w:val="center"/>
          <w:trHeight w:val="55"/>
        </w:trPr>
        <w:tc>
          <w:tcPr>
            <w:tcBorders>
              <w:top w:val="single" w:color="000000" w:sz="2" w:space="0"/>
              <w:left w:val="single" w:color="000000" w:sz="2" w:space="0"/>
              <w:bottom w:val="single" w:color="000000" w:sz="2" w:space="0"/>
              <w:right w:val="single" w:color="000000" w:sz="2" w:space="0"/>
            </w:tcBorders>
            <w:tcW w:w="498"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7.</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5618" w:type="dxa"/>
            <w:vAlign w:val="center"/>
            <w:textDirection w:val="lrTb"/>
            <w:noWrap w:val="false"/>
          </w:tcPr>
          <w:p>
            <w:pPr>
              <w:pStyle w:val="1063"/>
              <w:jc w:val="both"/>
              <w:widowControl w:val="off"/>
              <w:rPr>
                <w:sz w:val="20"/>
                <w:szCs w:val="20"/>
              </w:rPr>
            </w:pPr>
            <w:r>
              <w:rPr>
                <w:rFonts w:ascii="Arial Narrow" w:hAnsi="Arial Narrow" w:cs="Calibri"/>
                <w:color w:val="000000"/>
                <w:sz w:val="20"/>
                <w:szCs w:val="20"/>
              </w:rPr>
              <w:t xml:space="preserve">Текущий налог на прибыль и иные аналогичные обязательные платежи</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1082"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t xml:space="preserve">-</w:t>
            </w:r>
            <w:r>
              <w:rPr>
                <w:rFonts w:ascii="Arial Narrow" w:hAnsi="Arial Narrow" w:cs="Calibri"/>
                <w:sz w:val="20"/>
                <w:szCs w:val="20"/>
                <w:lang w:val="en-US"/>
              </w:rPr>
              <w:t xml:space="preserve">1</w:t>
            </w:r>
            <w:r>
              <w:rPr>
                <w:rFonts w:ascii="Arial Narrow" w:hAnsi="Arial Narrow" w:cs="Calibri"/>
                <w:sz w:val="20"/>
                <w:szCs w:val="20"/>
              </w:rPr>
              <w:t xml:space="preserve">2</w:t>
            </w:r>
            <w:r>
              <w:rPr>
                <w:rFonts w:ascii="Arial Narrow" w:hAnsi="Arial Narrow" w:cs="Calibri"/>
                <w:sz w:val="20"/>
                <w:szCs w:val="20"/>
                <w:lang w:val="en-US"/>
              </w:rPr>
              <w:t xml:space="preserve">2</w:t>
            </w:r>
            <w:r>
              <w:rPr>
                <w:rFonts w:ascii="Arial Narrow" w:hAnsi="Arial Narrow" w:cs="Calibri"/>
                <w:sz w:val="20"/>
                <w:szCs w:val="20"/>
              </w:rPr>
              <w:t xml:space="preserve"> </w:t>
            </w:r>
            <w:r>
              <w:rPr>
                <w:rFonts w:ascii="Arial Narrow" w:hAnsi="Arial Narrow" w:cs="Calibri"/>
                <w:sz w:val="20"/>
                <w:szCs w:val="20"/>
                <w:lang w:val="en-US"/>
              </w:rPr>
              <w:t xml:space="preserve">746</w:t>
            </w:r>
            <w:r>
              <w:rPr>
                <w:rFonts w:ascii="Arial Narrow" w:hAnsi="Arial Narrow" w:cs="Calibri"/>
                <w:sz w:val="20"/>
                <w:szCs w:val="20"/>
              </w:rPr>
            </w:r>
            <w:r>
              <w:rPr>
                <w:rFonts w:ascii="Arial Narrow" w:hAnsi="Arial Narrow" w:cs="Calibri"/>
                <w:sz w:val="20"/>
                <w:szCs w:val="20"/>
              </w:rPr>
            </w:r>
          </w:p>
        </w:tc>
        <w:tc>
          <w:tcPr>
            <w:tcBorders>
              <w:top w:val="single" w:color="000000" w:sz="2" w:space="0"/>
              <w:left w:val="single" w:color="000000" w:sz="2" w:space="0"/>
              <w:bottom w:val="single" w:color="000000" w:sz="2" w:space="0"/>
              <w:right w:val="single" w:color="000000" w:sz="2" w:space="0"/>
            </w:tcBorders>
            <w:tcW w:w="1055"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t xml:space="preserve">-</w:t>
            </w:r>
            <w:r>
              <w:rPr>
                <w:rFonts w:ascii="Arial Narrow" w:hAnsi="Arial Narrow" w:cs="Calibri"/>
                <w:sz w:val="20"/>
                <w:szCs w:val="20"/>
                <w:lang w:val="en-US"/>
              </w:rPr>
              <w:t xml:space="preserve">431</w:t>
            </w:r>
            <w:r>
              <w:rPr>
                <w:rFonts w:ascii="Arial Narrow" w:hAnsi="Arial Narrow" w:cs="Calibri"/>
                <w:sz w:val="20"/>
                <w:szCs w:val="20"/>
              </w:rPr>
              <w:t xml:space="preserve"> </w:t>
            </w:r>
            <w:r>
              <w:rPr>
                <w:rFonts w:ascii="Arial Narrow" w:hAnsi="Arial Narrow" w:cs="Calibri"/>
                <w:sz w:val="20"/>
                <w:szCs w:val="20"/>
                <w:lang w:val="en-US"/>
              </w:rPr>
              <w:t xml:space="preserve">209</w:t>
            </w:r>
            <w:r>
              <w:rPr>
                <w:rFonts w:ascii="Arial Narrow" w:hAnsi="Arial Narrow" w:cs="Calibri"/>
                <w:sz w:val="20"/>
                <w:szCs w:val="20"/>
              </w:rPr>
            </w:r>
            <w:r>
              <w:rPr>
                <w:rFonts w:ascii="Arial Narrow" w:hAnsi="Arial Narrow" w:cs="Calibri"/>
                <w:sz w:val="20"/>
                <w:szCs w:val="20"/>
              </w:rPr>
            </w:r>
          </w:p>
        </w:tc>
        <w:tc>
          <w:tcPr>
            <w:tcBorders>
              <w:top w:val="single" w:color="000000" w:sz="2" w:space="0"/>
              <w:left w:val="single" w:color="000000" w:sz="2" w:space="0"/>
              <w:bottom w:val="single" w:color="000000" w:sz="2" w:space="0"/>
              <w:right w:val="single" w:color="000000" w:sz="2" w:space="0"/>
            </w:tcBorders>
            <w:tcW w:w="113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-140 120</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85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-68</w:t>
            </w:r>
            <w:r>
              <w:rPr>
                <w:sz w:val="20"/>
                <w:szCs w:val="20"/>
              </w:rPr>
            </w:r>
            <w:r>
              <w:rPr>
                <w:sz w:val="20"/>
                <w:szCs w:val="20"/>
              </w:rPr>
            </w:r>
          </w:p>
        </w:tc>
      </w:tr>
      <w:tr>
        <w:trPr>
          <w:jc w:val="center"/>
          <w:trHeight w:val="55"/>
        </w:trPr>
        <w:tc>
          <w:tcPr>
            <w:tcBorders>
              <w:top w:val="single" w:color="000000" w:sz="2" w:space="0"/>
              <w:left w:val="single" w:color="000000" w:sz="2" w:space="0"/>
              <w:bottom w:val="single" w:color="000000" w:sz="2" w:space="0"/>
              <w:right w:val="single" w:color="000000" w:sz="2" w:space="0"/>
            </w:tcBorders>
            <w:tcW w:w="498"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8.</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5618" w:type="dxa"/>
            <w:vAlign w:val="center"/>
            <w:textDirection w:val="lrTb"/>
            <w:noWrap w:val="false"/>
          </w:tcPr>
          <w:p>
            <w:pPr>
              <w:pStyle w:val="1063"/>
              <w:jc w:val="both"/>
              <w:widowControl w:val="off"/>
              <w:rPr>
                <w:sz w:val="20"/>
                <w:szCs w:val="20"/>
              </w:rPr>
            </w:pPr>
            <w:r>
              <w:rPr>
                <w:rFonts w:ascii="Arial Narrow" w:hAnsi="Arial Narrow" w:cs="Calibri"/>
                <w:color w:val="000000"/>
                <w:sz w:val="20"/>
                <w:szCs w:val="20"/>
              </w:rPr>
              <w:t xml:space="preserve">Чистая прибыль</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108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104 </w:t>
            </w:r>
            <w:r>
              <w:rPr>
                <w:rFonts w:ascii="Arial Narrow" w:hAnsi="Arial Narrow" w:cs="Calibri"/>
                <w:sz w:val="20"/>
                <w:szCs w:val="20"/>
                <w:lang w:val="en-US"/>
              </w:rPr>
              <w:t xml:space="preserve">50</w:t>
            </w:r>
            <w:r>
              <w:rPr>
                <w:rFonts w:ascii="Arial Narrow" w:hAnsi="Arial Narrow" w:cs="Calibri"/>
                <w:sz w:val="20"/>
                <w:szCs w:val="20"/>
              </w:rPr>
              <w:t xml:space="preserve">4</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1055"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t xml:space="preserve">1 847 </w:t>
            </w:r>
            <w:r>
              <w:rPr>
                <w:rFonts w:ascii="Arial Narrow" w:hAnsi="Arial Narrow" w:cs="Calibri"/>
                <w:sz w:val="20"/>
                <w:szCs w:val="20"/>
                <w:lang w:val="en-US"/>
              </w:rPr>
              <w:t xml:space="preserve">494</w:t>
            </w:r>
            <w:r>
              <w:rPr>
                <w:rFonts w:ascii="Arial Narrow" w:hAnsi="Arial Narrow" w:cs="Calibri"/>
                <w:sz w:val="20"/>
                <w:szCs w:val="20"/>
              </w:rPr>
            </w:r>
            <w:r>
              <w:rPr>
                <w:rFonts w:ascii="Arial Narrow" w:hAnsi="Arial Narrow" w:cs="Calibri"/>
                <w:sz w:val="20"/>
                <w:szCs w:val="20"/>
              </w:rPr>
            </w:r>
          </w:p>
        </w:tc>
        <w:tc>
          <w:tcPr>
            <w:tcBorders>
              <w:top w:val="single" w:color="000000" w:sz="2" w:space="0"/>
              <w:left w:val="single" w:color="000000" w:sz="2" w:space="0"/>
              <w:bottom w:val="single" w:color="000000" w:sz="2" w:space="0"/>
              <w:right w:val="single" w:color="000000" w:sz="2" w:space="0"/>
            </w:tcBorders>
            <w:tcW w:w="113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112 337</w:t>
            </w:r>
            <w:r>
              <w:rPr>
                <w:sz w:val="20"/>
                <w:szCs w:val="20"/>
              </w:rPr>
            </w:r>
            <w:r>
              <w:rPr>
                <w:sz w:val="20"/>
                <w:szCs w:val="20"/>
              </w:rPr>
            </w:r>
          </w:p>
        </w:tc>
        <w:tc>
          <w:tcPr>
            <w:tcBorders>
              <w:top w:val="single" w:color="000000" w:sz="2" w:space="0"/>
              <w:left w:val="single" w:color="000000" w:sz="2" w:space="0"/>
              <w:bottom w:val="single" w:color="000000" w:sz="2" w:space="0"/>
              <w:right w:val="single" w:color="000000" w:sz="2" w:space="0"/>
            </w:tcBorders>
            <w:tcW w:w="85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-94</w:t>
            </w:r>
            <w:r>
              <w:rPr>
                <w:sz w:val="20"/>
                <w:szCs w:val="20"/>
              </w:rPr>
            </w:r>
            <w:r>
              <w:rPr>
                <w:sz w:val="20"/>
                <w:szCs w:val="20"/>
              </w:rPr>
            </w:r>
          </w:p>
        </w:tc>
      </w:tr>
    </w:tbl>
    <w:p>
      <w:pPr>
        <w:pStyle w:val="1063"/>
        <w:ind w:firstLine="709"/>
        <w:jc w:val="both"/>
        <w:rPr>
          <w:rFonts w:ascii="Arial Narrow" w:hAnsi="Arial Narrow" w:cs="Calibri"/>
          <w:sz w:val="12"/>
          <w:szCs w:val="12"/>
        </w:rPr>
      </w:pPr>
      <w:r>
        <w:rPr>
          <w:rFonts w:ascii="Arial Narrow" w:hAnsi="Arial Narrow" w:cs="Calibri"/>
          <w:sz w:val="12"/>
          <w:szCs w:val="12"/>
        </w:rPr>
      </w:r>
      <w:r>
        <w:rPr>
          <w:rFonts w:ascii="Arial Narrow" w:hAnsi="Arial Narrow" w:cs="Calibri"/>
          <w:sz w:val="12"/>
          <w:szCs w:val="12"/>
        </w:rPr>
      </w:r>
      <w:r>
        <w:rPr>
          <w:rFonts w:ascii="Arial Narrow" w:hAnsi="Arial Narrow" w:cs="Calibri"/>
          <w:sz w:val="12"/>
          <w:szCs w:val="12"/>
        </w:rPr>
      </w:r>
    </w:p>
    <w:p>
      <w:pPr>
        <w:pStyle w:val="1063"/>
        <w:ind w:firstLine="567"/>
        <w:jc w:val="both"/>
      </w:pPr>
      <w:r>
        <w:rPr>
          <w:rFonts w:ascii="Arial Narrow" w:hAnsi="Arial Narrow"/>
          <w:color w:val="0f0d29"/>
        </w:rPr>
        <w:t xml:space="preserve">Фактический объем реализованных товаров (работ, услуг) за 2024 год составил </w:t>
      </w:r>
      <w:r>
        <w:rPr>
          <w:rFonts w:ascii="Arial Narrow" w:hAnsi="Arial Narrow"/>
          <w:color w:val="0f0d29"/>
        </w:rPr>
        <w:br/>
        <w:t xml:space="preserve">40 359 225 тыс. рублей Увеличение выручки от реализации товаров (работ, услуг) по сравнению с аналогичным периодом прошлого года на 5 246 203 тыс. рублей (на 15 %), в том числе:</w:t>
      </w:r>
      <w:r/>
    </w:p>
    <w:p>
      <w:pPr>
        <w:pStyle w:val="1063"/>
        <w:ind w:firstLine="567"/>
        <w:jc w:val="both"/>
      </w:pPr>
      <w:r>
        <w:rPr>
          <w:rFonts w:ascii="Arial Narrow" w:hAnsi="Arial Narrow"/>
          <w:bCs/>
          <w:iCs/>
          <w:color w:val="0f0d29"/>
        </w:rPr>
        <w:t xml:space="preserve">Выручка по электроэнергии</w:t>
      </w:r>
      <w:r>
        <w:rPr>
          <w:rFonts w:ascii="Arial Narrow" w:hAnsi="Arial Narrow"/>
          <w:color w:val="0f0d29"/>
        </w:rPr>
        <w:t xml:space="preserve"> за 2024 год составила 13 280 758 тыс. рублей, рост по сравнению с аналогичным периодом прошлого года на 3 144 891 тыс. рублей (на 31 %), что в основном обусловлено ростом отпускных тарифов на электрическую энергию, утвержденных регулирующим органом.</w:t>
      </w:r>
      <w:r/>
    </w:p>
    <w:p>
      <w:pPr>
        <w:pStyle w:val="1063"/>
        <w:ind w:firstLine="567"/>
        <w:jc w:val="both"/>
      </w:pPr>
      <w:r>
        <w:rPr>
          <w:rFonts w:ascii="Arial Narrow" w:hAnsi="Arial Narrow"/>
          <w:bCs/>
          <w:iCs/>
          <w:color w:val="0f0d29"/>
        </w:rPr>
        <w:t xml:space="preserve">Выручка по теплоэнергии</w:t>
      </w:r>
      <w:r>
        <w:rPr>
          <w:rFonts w:ascii="Arial Narrow" w:hAnsi="Arial Narrow"/>
          <w:color w:val="0f0d29"/>
        </w:rPr>
        <w:t xml:space="preserve"> за 2024 год составила 6 030 770 тыс. рублей, рост по сравнению с аналогичным периодом прошлого года на 191 758 тыс. рублей (на 3 %), что обусловлено ростом отпускных тарифов на тепловую энергию, утвержденных РСТ и Ц Камчатского края.</w:t>
      </w:r>
      <w:r/>
    </w:p>
    <w:p>
      <w:pPr>
        <w:pStyle w:val="1063"/>
        <w:ind w:firstLine="567"/>
        <w:jc w:val="both"/>
      </w:pPr>
      <w:r>
        <w:rPr>
          <w:rFonts w:ascii="Arial Narrow" w:hAnsi="Arial Narrow"/>
          <w:bCs/>
          <w:iCs/>
          <w:color w:val="0f0d29"/>
        </w:rPr>
        <w:t xml:space="preserve">Выручка от предоставления услуг по технологическому присоединению</w:t>
      </w:r>
      <w:r>
        <w:rPr>
          <w:rFonts w:ascii="Arial Narrow" w:hAnsi="Arial Narrow"/>
          <w:color w:val="0f0d29"/>
        </w:rPr>
        <w:t xml:space="preserve"> к сетям ПАО «Камчатскэнерго» за 2024 год составила 173 273 тыс. рублей, снижение доходов относительно </w:t>
      </w:r>
      <w:r>
        <w:rPr>
          <w:rFonts w:ascii="Arial Narrow" w:hAnsi="Arial Narrow"/>
          <w:color w:val="0f0d29"/>
        </w:rPr>
        <w:br/>
        <w:t xml:space="preserve">2023 года на (-) 344 793 тыс. рублей.</w:t>
      </w:r>
      <w:r/>
    </w:p>
    <w:p>
      <w:pPr>
        <w:pStyle w:val="1063"/>
        <w:ind w:firstLine="567"/>
        <w:jc w:val="both"/>
        <w:rPr>
          <w:rFonts w:ascii="Arial Narrow" w:hAnsi="Arial Narrow"/>
          <w:color w:val="0f0d29"/>
        </w:rPr>
      </w:pPr>
      <w:r>
        <w:rPr>
          <w:rFonts w:ascii="Arial Narrow" w:hAnsi="Arial Narrow"/>
          <w:color w:val="0f0d29"/>
        </w:rPr>
        <w:t xml:space="preserve">Доходы от предоставления услуг по технологическому присоединению к электрическим сетям ПАО «Камчатскэнерго» за 2024 год составили 108 723 тыс. рублей. </w:t>
      </w:r>
      <w:r>
        <w:rPr>
          <w:rFonts w:ascii="Arial Narrow" w:hAnsi="Arial Narrow"/>
          <w:color w:val="0f0d29"/>
        </w:rPr>
      </w:r>
      <w:r>
        <w:rPr>
          <w:rFonts w:ascii="Arial Narrow" w:hAnsi="Arial Narrow"/>
          <w:color w:val="0f0d29"/>
        </w:rPr>
      </w:r>
    </w:p>
    <w:p>
      <w:pPr>
        <w:pStyle w:val="1063"/>
        <w:ind w:firstLine="567"/>
        <w:jc w:val="both"/>
        <w:rPr>
          <w:rFonts w:ascii="Arial Narrow" w:hAnsi="Arial Narrow"/>
          <w:color w:val="0f0d29"/>
        </w:rPr>
      </w:pPr>
      <w:r>
        <w:rPr>
          <w:rFonts w:ascii="Arial Narrow" w:hAnsi="Arial Narrow"/>
          <w:color w:val="0f0d29"/>
        </w:rPr>
        <w:t xml:space="preserve">В течении 2024 года были завершены работы по следующим договорам по технологическому присоединению к электрическим сетям: </w:t>
      </w:r>
      <w:r>
        <w:rPr>
          <w:rFonts w:ascii="Arial Narrow" w:hAnsi="Arial Narrow"/>
          <w:color w:val="0f0d29"/>
        </w:rPr>
      </w:r>
      <w:r>
        <w:rPr>
          <w:rFonts w:ascii="Arial Narrow" w:hAnsi="Arial Narrow"/>
          <w:color w:val="0f0d29"/>
        </w:rPr>
      </w:r>
    </w:p>
    <w:p>
      <w:pPr>
        <w:pStyle w:val="1063"/>
        <w:numPr>
          <w:ilvl w:val="0"/>
          <w:numId w:val="21"/>
        </w:numPr>
        <w:ind w:left="0" w:firstLine="567"/>
        <w:jc w:val="both"/>
        <w:tabs>
          <w:tab w:val="left" w:pos="851" w:leader="none"/>
        </w:tabs>
        <w:rPr>
          <w:rFonts w:ascii="Arial Narrow" w:hAnsi="Arial Narrow"/>
          <w:color w:val="0f0d29"/>
        </w:rPr>
      </w:pPr>
      <w:r>
        <w:rPr>
          <w:rFonts w:ascii="Arial Narrow" w:hAnsi="Arial Narrow"/>
          <w:color w:val="0f0d29"/>
        </w:rPr>
        <w:t xml:space="preserve">ООО «Стройсистема – Маркет» (застройка мкр. Чирельчик, 1 этап) на сумму 16 905 тыс. рублей;</w:t>
      </w:r>
      <w:r>
        <w:rPr>
          <w:rFonts w:ascii="Arial Narrow" w:hAnsi="Arial Narrow"/>
          <w:color w:val="0f0d29"/>
        </w:rPr>
      </w:r>
      <w:r>
        <w:rPr>
          <w:rFonts w:ascii="Arial Narrow" w:hAnsi="Arial Narrow"/>
          <w:color w:val="0f0d29"/>
        </w:rPr>
      </w:r>
    </w:p>
    <w:p>
      <w:pPr>
        <w:pStyle w:val="1063"/>
        <w:numPr>
          <w:ilvl w:val="0"/>
          <w:numId w:val="21"/>
        </w:numPr>
        <w:ind w:left="0" w:firstLine="567"/>
        <w:jc w:val="both"/>
        <w:tabs>
          <w:tab w:val="left" w:pos="851" w:leader="none"/>
        </w:tabs>
        <w:rPr>
          <w:rFonts w:ascii="Arial Narrow" w:hAnsi="Arial Narrow"/>
          <w:color w:val="0f0d29"/>
        </w:rPr>
      </w:pPr>
      <w:r>
        <w:rPr>
          <w:rFonts w:ascii="Arial Narrow" w:hAnsi="Arial Narrow"/>
          <w:color w:val="0f0d29"/>
        </w:rPr>
        <w:t xml:space="preserve">ООО «Торговая компания «Дружба» на сумму 4 828 тыс. рублей;</w:t>
      </w:r>
      <w:r>
        <w:rPr>
          <w:rFonts w:ascii="Arial Narrow" w:hAnsi="Arial Narrow"/>
          <w:color w:val="0f0d29"/>
        </w:rPr>
      </w:r>
      <w:r>
        <w:rPr>
          <w:rFonts w:ascii="Arial Narrow" w:hAnsi="Arial Narrow"/>
          <w:color w:val="0f0d29"/>
        </w:rPr>
      </w:r>
    </w:p>
    <w:p>
      <w:pPr>
        <w:pStyle w:val="1063"/>
        <w:numPr>
          <w:ilvl w:val="0"/>
          <w:numId w:val="21"/>
        </w:numPr>
        <w:ind w:left="0" w:firstLine="567"/>
        <w:jc w:val="both"/>
        <w:tabs>
          <w:tab w:val="left" w:pos="851" w:leader="none"/>
        </w:tabs>
        <w:rPr>
          <w:rFonts w:ascii="Arial Narrow" w:hAnsi="Arial Narrow"/>
          <w:color w:val="0f0d29"/>
        </w:rPr>
      </w:pPr>
      <w:r>
        <w:rPr>
          <w:rFonts w:ascii="Arial Narrow" w:hAnsi="Arial Narrow"/>
          <w:color w:val="0f0d29"/>
        </w:rPr>
        <w:t xml:space="preserve">ООО «Терминал Сероглазка» на сумму 2 174 тыс. рублей;</w:t>
      </w:r>
      <w:r>
        <w:rPr>
          <w:rFonts w:ascii="Arial Narrow" w:hAnsi="Arial Narrow"/>
          <w:color w:val="0f0d29"/>
        </w:rPr>
      </w:r>
      <w:r>
        <w:rPr>
          <w:rFonts w:ascii="Arial Narrow" w:hAnsi="Arial Narrow"/>
          <w:color w:val="0f0d29"/>
        </w:rPr>
      </w:r>
    </w:p>
    <w:p>
      <w:pPr>
        <w:pStyle w:val="1063"/>
        <w:numPr>
          <w:ilvl w:val="0"/>
          <w:numId w:val="21"/>
        </w:numPr>
        <w:ind w:left="0" w:firstLine="567"/>
        <w:jc w:val="both"/>
        <w:tabs>
          <w:tab w:val="left" w:pos="851" w:leader="none"/>
        </w:tabs>
        <w:rPr>
          <w:rFonts w:ascii="Arial Narrow" w:hAnsi="Arial Narrow"/>
          <w:color w:val="0f0d29"/>
        </w:rPr>
      </w:pPr>
      <w:r>
        <w:rPr>
          <w:rFonts w:ascii="Arial Narrow" w:hAnsi="Arial Narrow"/>
          <w:color w:val="0f0d29"/>
        </w:rPr>
        <w:t xml:space="preserve">ООО «Новый дом» (общежитие с паркингом) на сумму 2 583 тыс. рублей; </w:t>
      </w:r>
      <w:r>
        <w:rPr>
          <w:rFonts w:ascii="Arial Narrow" w:hAnsi="Arial Narrow"/>
          <w:color w:val="0f0d29"/>
        </w:rPr>
      </w:r>
      <w:r>
        <w:rPr>
          <w:rFonts w:ascii="Arial Narrow" w:hAnsi="Arial Narrow"/>
          <w:color w:val="0f0d29"/>
        </w:rPr>
      </w:r>
    </w:p>
    <w:p>
      <w:pPr>
        <w:pStyle w:val="1063"/>
        <w:numPr>
          <w:ilvl w:val="0"/>
          <w:numId w:val="21"/>
        </w:numPr>
        <w:ind w:left="0" w:firstLine="567"/>
        <w:jc w:val="both"/>
        <w:tabs>
          <w:tab w:val="left" w:pos="851" w:leader="none"/>
        </w:tabs>
        <w:rPr>
          <w:rFonts w:ascii="Arial Narrow" w:hAnsi="Arial Narrow"/>
          <w:color w:val="0f0d29"/>
        </w:rPr>
      </w:pPr>
      <w:r>
        <w:rPr>
          <w:rFonts w:ascii="Arial Narrow" w:hAnsi="Arial Narrow"/>
          <w:color w:val="0f0d29"/>
        </w:rPr>
        <w:t xml:space="preserve">КГТУ ЕДС «Камчатская краевая больница» на сумму 20 250 тыс. рублей; </w:t>
      </w:r>
      <w:r>
        <w:rPr>
          <w:rFonts w:ascii="Arial Narrow" w:hAnsi="Arial Narrow"/>
          <w:color w:val="0f0d29"/>
        </w:rPr>
      </w:r>
      <w:r>
        <w:rPr>
          <w:rFonts w:ascii="Arial Narrow" w:hAnsi="Arial Narrow"/>
          <w:color w:val="0f0d29"/>
        </w:rPr>
      </w:r>
    </w:p>
    <w:p>
      <w:pPr>
        <w:pStyle w:val="1063"/>
        <w:numPr>
          <w:ilvl w:val="0"/>
          <w:numId w:val="21"/>
        </w:numPr>
        <w:ind w:left="0" w:firstLine="567"/>
        <w:jc w:val="both"/>
        <w:tabs>
          <w:tab w:val="left" w:pos="851" w:leader="none"/>
        </w:tabs>
        <w:rPr>
          <w:rFonts w:ascii="Arial Narrow" w:hAnsi="Arial Narrow"/>
          <w:color w:val="0f0d29"/>
        </w:rPr>
      </w:pPr>
      <w:r>
        <w:rPr>
          <w:rFonts w:ascii="Arial Narrow" w:hAnsi="Arial Narrow"/>
          <w:color w:val="0f0d29"/>
        </w:rPr>
        <w:t xml:space="preserve">ООО «Аэроклуб «Камчатка» на сумму 1 079 тыс. рублей;</w:t>
      </w:r>
      <w:r>
        <w:rPr>
          <w:rFonts w:ascii="Arial Narrow" w:hAnsi="Arial Narrow"/>
          <w:color w:val="0f0d29"/>
        </w:rPr>
      </w:r>
      <w:r>
        <w:rPr>
          <w:rFonts w:ascii="Arial Narrow" w:hAnsi="Arial Narrow"/>
          <w:color w:val="0f0d29"/>
        </w:rPr>
      </w:r>
    </w:p>
    <w:p>
      <w:pPr>
        <w:pStyle w:val="1063"/>
        <w:numPr>
          <w:ilvl w:val="0"/>
          <w:numId w:val="21"/>
        </w:numPr>
        <w:ind w:left="0" w:firstLine="567"/>
        <w:jc w:val="both"/>
        <w:tabs>
          <w:tab w:val="left" w:pos="851" w:leader="none"/>
        </w:tabs>
        <w:rPr>
          <w:rFonts w:ascii="Arial Narrow" w:hAnsi="Arial Narrow"/>
          <w:color w:val="0f0d29"/>
        </w:rPr>
      </w:pPr>
      <w:r>
        <w:rPr>
          <w:rFonts w:ascii="Arial Narrow" w:hAnsi="Arial Narrow"/>
          <w:color w:val="0f0d29"/>
        </w:rPr>
        <w:t xml:space="preserve">индивидуальное жилищное строительство, многоквартирный жилой дом в сумме </w:t>
      </w:r>
      <w:r>
        <w:rPr>
          <w:rFonts w:ascii="Arial Narrow" w:hAnsi="Arial Narrow"/>
          <w:color w:val="0f0d29"/>
        </w:rPr>
        <w:br/>
        <w:t xml:space="preserve">3 312 тыс. рублей;</w:t>
      </w:r>
      <w:r>
        <w:rPr>
          <w:rFonts w:ascii="Arial Narrow" w:hAnsi="Arial Narrow"/>
          <w:color w:val="0f0d29"/>
        </w:rPr>
      </w:r>
      <w:r>
        <w:rPr>
          <w:rFonts w:ascii="Arial Narrow" w:hAnsi="Arial Narrow"/>
          <w:color w:val="0f0d29"/>
        </w:rPr>
      </w:r>
    </w:p>
    <w:p>
      <w:pPr>
        <w:pStyle w:val="1063"/>
        <w:numPr>
          <w:ilvl w:val="0"/>
          <w:numId w:val="21"/>
        </w:numPr>
        <w:ind w:left="0" w:firstLine="567"/>
        <w:jc w:val="both"/>
        <w:tabs>
          <w:tab w:val="left" w:pos="851" w:leader="none"/>
        </w:tabs>
        <w:rPr>
          <w:rFonts w:ascii="Arial Narrow" w:hAnsi="Arial Narrow"/>
          <w:color w:val="0f0d29"/>
        </w:rPr>
      </w:pPr>
      <w:r>
        <w:rPr>
          <w:rFonts w:ascii="Arial Narrow" w:hAnsi="Arial Narrow"/>
          <w:color w:val="0f0d29"/>
        </w:rPr>
        <w:t xml:space="preserve">ИП Ю С.Ю. (авторынок) в сумме 2 884 тыс. рублей;</w:t>
      </w:r>
      <w:r>
        <w:rPr>
          <w:rFonts w:ascii="Arial Narrow" w:hAnsi="Arial Narrow"/>
          <w:color w:val="0f0d29"/>
        </w:rPr>
      </w:r>
      <w:r>
        <w:rPr>
          <w:rFonts w:ascii="Arial Narrow" w:hAnsi="Arial Narrow"/>
          <w:color w:val="0f0d29"/>
        </w:rPr>
      </w:r>
    </w:p>
    <w:p>
      <w:pPr>
        <w:pStyle w:val="1063"/>
        <w:numPr>
          <w:ilvl w:val="0"/>
          <w:numId w:val="21"/>
        </w:numPr>
        <w:ind w:left="0" w:firstLine="567"/>
        <w:jc w:val="both"/>
        <w:tabs>
          <w:tab w:val="left" w:pos="851" w:leader="none"/>
        </w:tabs>
        <w:rPr>
          <w:rFonts w:ascii="Arial Narrow" w:hAnsi="Arial Narrow"/>
          <w:color w:val="0f0d29"/>
        </w:rPr>
      </w:pPr>
      <w:r>
        <w:rPr>
          <w:rFonts w:ascii="Arial Narrow" w:hAnsi="Arial Narrow"/>
          <w:color w:val="0f0d29"/>
        </w:rPr>
        <w:t xml:space="preserve">ООО «Дискам» (магазин) в сумме 1 735 тыс. рублей;</w:t>
      </w:r>
      <w:r>
        <w:rPr>
          <w:rFonts w:ascii="Arial Narrow" w:hAnsi="Arial Narrow"/>
          <w:color w:val="0f0d29"/>
        </w:rPr>
      </w:r>
      <w:r>
        <w:rPr>
          <w:rFonts w:ascii="Arial Narrow" w:hAnsi="Arial Narrow"/>
          <w:color w:val="0f0d29"/>
        </w:rPr>
      </w:r>
    </w:p>
    <w:p>
      <w:pPr>
        <w:pStyle w:val="1063"/>
        <w:numPr>
          <w:ilvl w:val="0"/>
          <w:numId w:val="21"/>
        </w:numPr>
        <w:ind w:left="0" w:firstLine="567"/>
        <w:jc w:val="both"/>
        <w:tabs>
          <w:tab w:val="left" w:pos="851" w:leader="none"/>
        </w:tabs>
        <w:rPr>
          <w:rFonts w:ascii="Arial Narrow" w:hAnsi="Arial Narrow"/>
          <w:color w:val="0f0d29"/>
        </w:rPr>
      </w:pPr>
      <w:r>
        <w:rPr>
          <w:rFonts w:ascii="Arial Narrow" w:hAnsi="Arial Narrow"/>
          <w:color w:val="0f0d29"/>
        </w:rPr>
        <w:t xml:space="preserve">ООО «Скит» (административное здание) в сумме 1 167 тыс. рублей;</w:t>
      </w:r>
      <w:r>
        <w:rPr>
          <w:rFonts w:ascii="Arial Narrow" w:hAnsi="Arial Narrow"/>
          <w:color w:val="0f0d29"/>
        </w:rPr>
      </w:r>
      <w:r>
        <w:rPr>
          <w:rFonts w:ascii="Arial Narrow" w:hAnsi="Arial Narrow"/>
          <w:color w:val="0f0d29"/>
        </w:rPr>
      </w:r>
    </w:p>
    <w:p>
      <w:pPr>
        <w:pStyle w:val="1063"/>
        <w:numPr>
          <w:ilvl w:val="0"/>
          <w:numId w:val="21"/>
        </w:numPr>
        <w:ind w:left="0" w:firstLine="567"/>
        <w:jc w:val="both"/>
        <w:tabs>
          <w:tab w:val="left" w:pos="851" w:leader="none"/>
        </w:tabs>
      </w:pPr>
      <w:r>
        <w:rPr>
          <w:rFonts w:ascii="Arial Narrow" w:hAnsi="Arial Narrow"/>
          <w:color w:val="0f0d29"/>
        </w:rPr>
        <w:t xml:space="preserve">иные контрагенты в сумме 51 806 тыс. рублей.</w:t>
      </w:r>
      <w:r/>
    </w:p>
    <w:p>
      <w:pPr>
        <w:pStyle w:val="1063"/>
        <w:ind w:firstLine="567"/>
        <w:jc w:val="both"/>
        <w:rPr>
          <w:rFonts w:ascii="Arial Narrow" w:hAnsi="Arial Narrow"/>
          <w:color w:val="0f0d29"/>
        </w:rPr>
      </w:pPr>
      <w:r>
        <w:rPr>
          <w:rFonts w:ascii="Arial Narrow" w:hAnsi="Arial Narrow"/>
          <w:color w:val="0f0d29"/>
        </w:rPr>
        <w:t xml:space="preserve">Доходы от предоставления услуг по технологическому присоединению к тепловым сетям ПАО «Камчатскэнерго» за 2024 год составили 64 550 тыс. рублей, в том числе, по следующим договорам:</w:t>
      </w:r>
      <w:r>
        <w:rPr>
          <w:rFonts w:ascii="Arial Narrow" w:hAnsi="Arial Narrow"/>
          <w:color w:val="0f0d29"/>
        </w:rPr>
      </w:r>
      <w:r>
        <w:rPr>
          <w:rFonts w:ascii="Arial Narrow" w:hAnsi="Arial Narrow"/>
          <w:color w:val="0f0d29"/>
        </w:rPr>
      </w:r>
    </w:p>
    <w:p>
      <w:pPr>
        <w:pStyle w:val="1063"/>
        <w:numPr>
          <w:ilvl w:val="0"/>
          <w:numId w:val="22"/>
        </w:numPr>
        <w:ind w:left="0" w:firstLine="567"/>
        <w:jc w:val="both"/>
        <w:tabs>
          <w:tab w:val="left" w:pos="851" w:leader="none"/>
        </w:tabs>
        <w:rPr>
          <w:rFonts w:ascii="Arial Narrow" w:hAnsi="Arial Narrow"/>
          <w:color w:val="0f0d29"/>
        </w:rPr>
      </w:pPr>
      <w:r>
        <w:rPr>
          <w:rFonts w:ascii="Arial Narrow" w:hAnsi="Arial Narrow"/>
          <w:color w:val="0f0d29"/>
        </w:rPr>
        <w:t xml:space="preserve">«Учебный корпус МБОУ «Средняя школа № 40» на сумму 15 436 тыс. рублей;</w:t>
      </w:r>
      <w:r>
        <w:rPr>
          <w:rFonts w:ascii="Arial Narrow" w:hAnsi="Arial Narrow"/>
          <w:color w:val="0f0d29"/>
        </w:rPr>
      </w:r>
      <w:r>
        <w:rPr>
          <w:rFonts w:ascii="Arial Narrow" w:hAnsi="Arial Narrow"/>
          <w:color w:val="0f0d29"/>
        </w:rPr>
      </w:r>
    </w:p>
    <w:p>
      <w:pPr>
        <w:pStyle w:val="1063"/>
        <w:numPr>
          <w:ilvl w:val="0"/>
          <w:numId w:val="22"/>
        </w:numPr>
        <w:ind w:left="0" w:firstLine="567"/>
        <w:jc w:val="both"/>
        <w:tabs>
          <w:tab w:val="left" w:pos="851" w:leader="none"/>
        </w:tabs>
        <w:rPr>
          <w:rFonts w:ascii="Arial Narrow" w:hAnsi="Arial Narrow"/>
          <w:color w:val="0f0d29"/>
        </w:rPr>
      </w:pPr>
      <w:r>
        <w:rPr>
          <w:rFonts w:ascii="Arial Narrow" w:hAnsi="Arial Narrow"/>
          <w:color w:val="0f0d29"/>
        </w:rPr>
        <w:t xml:space="preserve">многоквартирный жилой дом по ул. Арсеньева на сумму 36 931 тыс. рублей;</w:t>
      </w:r>
      <w:r>
        <w:rPr>
          <w:rFonts w:ascii="Arial Narrow" w:hAnsi="Arial Narrow"/>
          <w:color w:val="0f0d29"/>
        </w:rPr>
      </w:r>
      <w:r>
        <w:rPr>
          <w:rFonts w:ascii="Arial Narrow" w:hAnsi="Arial Narrow"/>
          <w:color w:val="0f0d29"/>
        </w:rPr>
      </w:r>
    </w:p>
    <w:p>
      <w:pPr>
        <w:pStyle w:val="1063"/>
        <w:numPr>
          <w:ilvl w:val="0"/>
          <w:numId w:val="22"/>
        </w:numPr>
        <w:ind w:left="0" w:firstLine="567"/>
        <w:jc w:val="both"/>
        <w:tabs>
          <w:tab w:val="left" w:pos="851" w:leader="none"/>
        </w:tabs>
        <w:rPr>
          <w:rFonts w:ascii="Arial Narrow" w:hAnsi="Arial Narrow"/>
          <w:color w:val="0f0d29"/>
        </w:rPr>
      </w:pPr>
      <w:r>
        <w:rPr>
          <w:rFonts w:ascii="Arial Narrow" w:hAnsi="Arial Narrow"/>
          <w:color w:val="0f0d29"/>
        </w:rPr>
        <w:t xml:space="preserve">многоквартирные жилые дома по ул. Геофизическая в г. Елизово на сумму 11 260 тыс. рублей;</w:t>
      </w:r>
      <w:r>
        <w:rPr>
          <w:rFonts w:ascii="Arial Narrow" w:hAnsi="Arial Narrow"/>
          <w:color w:val="0f0d29"/>
        </w:rPr>
      </w:r>
      <w:r>
        <w:rPr>
          <w:rFonts w:ascii="Arial Narrow" w:hAnsi="Arial Narrow"/>
          <w:color w:val="0f0d29"/>
        </w:rPr>
      </w:r>
    </w:p>
    <w:p>
      <w:pPr>
        <w:pStyle w:val="1063"/>
        <w:numPr>
          <w:ilvl w:val="0"/>
          <w:numId w:val="22"/>
        </w:numPr>
        <w:ind w:left="0" w:firstLine="567"/>
        <w:jc w:val="both"/>
        <w:tabs>
          <w:tab w:val="left" w:pos="851" w:leader="none"/>
        </w:tabs>
        <w:rPr>
          <w:rFonts w:ascii="Arial Narrow" w:hAnsi="Arial Narrow"/>
          <w:color w:val="0f0d29"/>
        </w:rPr>
      </w:pPr>
      <w:r>
        <w:rPr>
          <w:rFonts w:ascii="Arial Narrow" w:hAnsi="Arial Narrow"/>
          <w:color w:val="0f0d29"/>
        </w:rPr>
        <w:t xml:space="preserve">индивидуальный жилой дом, расположенный по адресу: г. Петропавловск-Камчатский, </w:t>
      </w:r>
      <w:r>
        <w:rPr>
          <w:rFonts w:ascii="Arial Narrow" w:hAnsi="Arial Narrow"/>
          <w:color w:val="0f0d29"/>
        </w:rPr>
        <w:br/>
        <w:t xml:space="preserve">ул. Котовского, д. 5 на сумму 42 тыс. рублей;</w:t>
      </w:r>
      <w:r>
        <w:rPr>
          <w:rFonts w:ascii="Arial Narrow" w:hAnsi="Arial Narrow"/>
          <w:color w:val="0f0d29"/>
        </w:rPr>
      </w:r>
      <w:r>
        <w:rPr>
          <w:rFonts w:ascii="Arial Narrow" w:hAnsi="Arial Narrow"/>
          <w:color w:val="0f0d29"/>
        </w:rPr>
      </w:r>
    </w:p>
    <w:p>
      <w:pPr>
        <w:pStyle w:val="1063"/>
        <w:numPr>
          <w:ilvl w:val="0"/>
          <w:numId w:val="22"/>
        </w:numPr>
        <w:ind w:left="0" w:firstLine="567"/>
        <w:jc w:val="both"/>
        <w:tabs>
          <w:tab w:val="left" w:pos="851" w:leader="none"/>
        </w:tabs>
      </w:pPr>
      <w:r>
        <w:rPr>
          <w:rFonts w:ascii="Arial Narrow" w:hAnsi="Arial Narrow"/>
          <w:color w:val="0f0d29"/>
        </w:rPr>
        <w:t xml:space="preserve">здание ЦТП, г. Петропавловск - Камчатский, микрорайон 115А на сумму 881 тыс. рублей.</w:t>
      </w:r>
      <w:r/>
    </w:p>
    <w:p>
      <w:pPr>
        <w:pStyle w:val="1063"/>
        <w:ind w:firstLine="567"/>
        <w:jc w:val="both"/>
      </w:pPr>
      <w:r>
        <w:rPr>
          <w:rFonts w:ascii="Arial Narrow" w:hAnsi="Arial Narrow"/>
          <w:bCs/>
          <w:iCs/>
          <w:color w:val="0f0d29"/>
        </w:rPr>
        <w:t xml:space="preserve">Выручка от реализации прочей товарной продукции (работ, услуг)</w:t>
      </w:r>
      <w:r>
        <w:rPr>
          <w:rFonts w:ascii="Arial Narrow" w:hAnsi="Arial Narrow"/>
          <w:color w:val="0f0d29"/>
        </w:rPr>
        <w:t xml:space="preserve"> за 2024 год составила </w:t>
      </w:r>
      <w:r>
        <w:rPr>
          <w:rFonts w:ascii="Arial Narrow" w:hAnsi="Arial Narrow"/>
          <w:color w:val="0f0d29"/>
        </w:rPr>
        <w:br/>
        <w:t xml:space="preserve">611 222 тыс. рублей, что выше уровня прошлого года на 67 049 тыс. рублей Рост доходов, в основном:</w:t>
      </w:r>
      <w:r/>
    </w:p>
    <w:p>
      <w:pPr>
        <w:pStyle w:val="1063"/>
        <w:ind w:firstLine="567"/>
        <w:jc w:val="both"/>
      </w:pPr>
      <w:r>
        <w:rPr>
          <w:rFonts w:ascii="Arial Narrow" w:hAnsi="Arial Narrow"/>
          <w:color w:val="0f0d29"/>
        </w:rPr>
        <w:t xml:space="preserve">- (+) 30 200 тыс. рублей по услугам по договору доверительного управления имуществом Каскада Толмачевских ГЭС и услугам по эксплуатации Толмачевской ГЭС-2. Доходы по указанным видам деятельности формируются в размере понесенных расходов.</w:t>
      </w:r>
      <w:r/>
    </w:p>
    <w:p>
      <w:pPr>
        <w:pStyle w:val="1063"/>
        <w:ind w:firstLine="567"/>
        <w:jc w:val="both"/>
      </w:pPr>
      <w:r>
        <w:rPr>
          <w:rFonts w:ascii="Arial Narrow" w:hAnsi="Arial Narrow"/>
          <w:color w:val="0f0d29"/>
        </w:rPr>
        <w:t xml:space="preserve">- (+) 20 00</w:t>
      </w:r>
      <w:r>
        <w:rPr>
          <w:rFonts w:ascii="Arial Narrow" w:hAnsi="Arial Narrow"/>
          <w:color w:val="0f0d29"/>
        </w:rPr>
        <w:t xml:space="preserve">0 тыс. рублей за 2024 год начислено вознаграждение доверительного управляющего, фактически начисляется в случае появления чистой прибыли у собственников (дольщиков) по итогам каждого отчетного квартала. В 2023 году было начислено в сумме 8 382 тыс. рублей.</w:t>
      </w:r>
      <w:r/>
    </w:p>
    <w:p>
      <w:pPr>
        <w:pStyle w:val="1063"/>
        <w:ind w:firstLine="567"/>
        <w:jc w:val="both"/>
      </w:pPr>
      <w:r>
        <w:rPr>
          <w:rFonts w:ascii="Arial Narrow" w:hAnsi="Arial Narrow"/>
          <w:color w:val="0f0d29"/>
        </w:rPr>
        <w:t xml:space="preserve">- (+) 6 452 тыс. рублей по услугам хранения и переработки топлива за счет увеличения объемов перевалки мазута сторонних организаций через терминал филиала КТЭЦ и переработки топлива для большего числа контрагентов.</w:t>
      </w:r>
      <w:r/>
    </w:p>
    <w:p>
      <w:pPr>
        <w:pStyle w:val="1063"/>
        <w:ind w:firstLine="567"/>
        <w:jc w:val="both"/>
      </w:pPr>
      <w:r>
        <w:rPr>
          <w:rFonts w:ascii="Arial Narrow" w:hAnsi="Arial Narrow"/>
          <w:color w:val="0f0d29"/>
        </w:rPr>
        <w:t xml:space="preserve">- (+) 3 430 тыс. рублей по доходам от предоставления услуг базы отдыха «Огонёк».</w:t>
      </w:r>
      <w:r/>
    </w:p>
    <w:p>
      <w:pPr>
        <w:pStyle w:val="1063"/>
        <w:ind w:firstLine="567"/>
        <w:jc w:val="both"/>
      </w:pPr>
      <w:r>
        <w:rPr>
          <w:rFonts w:ascii="Arial Narrow" w:hAnsi="Arial Narrow"/>
          <w:bCs/>
          <w:iCs/>
          <w:color w:val="0f0d29"/>
        </w:rPr>
        <w:t xml:space="preserve">Субсидия</w:t>
      </w:r>
      <w:r>
        <w:rPr>
          <w:rFonts w:ascii="Arial Narrow" w:hAnsi="Arial Narrow"/>
          <w:color w:val="0f0d29"/>
        </w:rPr>
        <w:t xml:space="preserve"> на компенсацию льготных тарифов по электроэнергии за 2024 год составила </w:t>
      </w:r>
      <w:r>
        <w:rPr>
          <w:rFonts w:ascii="Arial Narrow" w:hAnsi="Arial Narrow"/>
          <w:color w:val="0f0d29"/>
        </w:rPr>
        <w:br/>
        <w:t xml:space="preserve">12 008 789 тыс. рублей, увеличение по сравнению с 2023 годом на 1 358 842 тыс. рублей (на 13 %) в основном за счет увеличения экономически обоснованных тарифов на электрическую энергию, согласно принятых РСТ и Ц Камчатского края тарифных решений.</w:t>
      </w:r>
      <w:r/>
    </w:p>
    <w:p>
      <w:pPr>
        <w:pStyle w:val="1063"/>
        <w:ind w:firstLine="567"/>
        <w:jc w:val="both"/>
      </w:pPr>
      <w:r>
        <w:rPr>
          <w:rFonts w:ascii="Arial Narrow" w:hAnsi="Arial Narrow"/>
          <w:bCs/>
          <w:iCs/>
          <w:color w:val="0f0d29"/>
        </w:rPr>
        <w:t xml:space="preserve">Субсидия</w:t>
      </w:r>
      <w:r>
        <w:rPr>
          <w:rFonts w:ascii="Arial Narrow" w:hAnsi="Arial Narrow"/>
          <w:color w:val="0f0d29"/>
        </w:rPr>
        <w:t xml:space="preserve"> на компенсацию льготных тарифов по тепловой энергии за 2024 год составила </w:t>
      </w:r>
      <w:r>
        <w:rPr>
          <w:rFonts w:ascii="Arial Narrow" w:hAnsi="Arial Narrow"/>
          <w:color w:val="0f0d29"/>
        </w:rPr>
        <w:br/>
        <w:t xml:space="preserve">8 254 413 тыс. рублей, увеличение по сравнению с аналогичным периодом прошлого года </w:t>
      </w:r>
      <w:r>
        <w:rPr>
          <w:rFonts w:ascii="Arial Narrow" w:hAnsi="Arial Narrow"/>
          <w:color w:val="0f0d29"/>
        </w:rPr>
        <w:br/>
        <w:t xml:space="preserve">на 828 456 тыс. рублей (на 11 %) в связи с ростом экономически обоснованных тарифов в соответствии с утвержденными тарифными решениями регулирующих органов.</w:t>
      </w:r>
      <w:r/>
    </w:p>
    <w:p>
      <w:pPr>
        <w:pStyle w:val="1063"/>
        <w:ind w:firstLine="567"/>
        <w:jc w:val="both"/>
      </w:pPr>
      <w:r>
        <w:rPr>
          <w:rFonts w:ascii="Arial Narrow" w:hAnsi="Arial Narrow"/>
          <w:bCs/>
          <w:iCs/>
          <w:color w:val="0f0d29"/>
        </w:rPr>
        <w:t xml:space="preserve">Себестоимость</w:t>
      </w:r>
      <w:r>
        <w:rPr>
          <w:rFonts w:ascii="Arial Narrow" w:hAnsi="Arial Narrow"/>
          <w:color w:val="0f0d29"/>
        </w:rPr>
        <w:t xml:space="preserve"> реализованной товарной продукции (включая управленческие расходы) в 2024 году увеличилась по сравнению с прошлым годом на 7 704 656 тыс. рублей (на 24 %) и составила </w:t>
      </w:r>
      <w:r>
        <w:rPr>
          <w:rFonts w:ascii="Arial Narrow" w:hAnsi="Arial Narrow"/>
          <w:color w:val="0f0d29"/>
        </w:rPr>
        <w:br/>
        <w:t xml:space="preserve">40 218 690 тыс. рублей. Условно-переме</w:t>
      </w:r>
      <w:r>
        <w:rPr>
          <w:rFonts w:ascii="Arial Narrow" w:hAnsi="Arial Narrow"/>
          <w:color w:val="0f0d29"/>
        </w:rPr>
        <w:t xml:space="preserve">нные расходы Общества (расходы на топливо, покупную энергию, воду на технологические нужды) увеличились относительно 2023 года на 6 418 619 тыс. рублей (на 38 %), условно-постоянные расходы увеличились по сравнению с прошлым годом на 1 286 037 тыс. рублей </w:t>
      </w:r>
      <w:r>
        <w:rPr>
          <w:rFonts w:ascii="Arial Narrow" w:hAnsi="Arial Narrow"/>
          <w:color w:val="0f0d29"/>
        </w:rPr>
        <w:br/>
        <w:t xml:space="preserve">(на 8 %).</w:t>
      </w:r>
      <w:r/>
    </w:p>
    <w:p>
      <w:pPr>
        <w:pStyle w:val="1063"/>
        <w:ind w:firstLine="567"/>
        <w:jc w:val="both"/>
      </w:pPr>
      <w:r>
        <w:rPr>
          <w:rFonts w:ascii="Arial Narrow" w:hAnsi="Arial Narrow"/>
          <w:color w:val="0f0d29"/>
        </w:rPr>
        <w:t xml:space="preserve">В том числе по статьям затрат:</w:t>
      </w: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Затраты на </w:t>
      </w:r>
      <w:r>
        <w:rPr>
          <w:rFonts w:ascii="Arial Narrow" w:hAnsi="Arial Narrow" w:cs="Calibri"/>
          <w:iCs/>
          <w:sz w:val="24"/>
          <w:szCs w:val="24"/>
          <w:lang w:val="ru-RU" w:bidi="ru-RU"/>
        </w:rPr>
        <w:t xml:space="preserve">топливо</w:t>
      </w:r>
      <w:r>
        <w:rPr>
          <w:rFonts w:ascii="Arial Narrow" w:hAnsi="Arial Narrow" w:cs="Calibri"/>
          <w:sz w:val="24"/>
          <w:szCs w:val="24"/>
          <w:lang w:val="ru-RU" w:bidi="ru-RU"/>
        </w:rPr>
        <w:t xml:space="preserve"> выросли по сравнению с прошлым годом на 5 174 208 тыс. рублей, </w:t>
      </w:r>
      <w:r>
        <w:rPr>
          <w:rFonts w:ascii="Arial Narrow" w:hAnsi="Arial Narrow" w:cs="Calibri"/>
          <w:sz w:val="24"/>
          <w:szCs w:val="24"/>
          <w:lang w:val="ru-RU" w:bidi="ru-RU"/>
        </w:rPr>
        <w:br/>
        <w:t xml:space="preserve">(на 47 %). На данный показатель повлияли следующие факторы:</w:t>
      </w:r>
      <w:r>
        <w:rPr>
          <w:lang w:val="ru-RU"/>
        </w:rPr>
      </w:r>
      <w:r>
        <w:rPr>
          <w:lang w:val="ru-RU"/>
        </w:rPr>
      </w:r>
    </w:p>
    <w:p>
      <w:pPr>
        <w:pStyle w:val="1091"/>
        <w:numPr>
          <w:ilvl w:val="0"/>
          <w:numId w:val="12"/>
        </w:numPr>
        <w:ind w:left="0" w:firstLine="360"/>
        <w:jc w:val="both"/>
        <w:spacing w:line="276" w:lineRule="auto"/>
        <w:tabs>
          <w:tab w:val="left" w:pos="709" w:leader="none"/>
        </w:tabs>
        <w:rPr>
          <w:lang w:val="ru-RU"/>
        </w:rPr>
      </w:pPr>
      <w:r>
        <w:rPr>
          <w:rFonts w:ascii="Arial Narrow" w:hAnsi="Arial Narrow" w:cs="Calibri"/>
          <w:sz w:val="24"/>
          <w:szCs w:val="24"/>
          <w:lang w:val="ru-RU" w:bidi="ru-RU"/>
        </w:rPr>
        <w:t xml:space="preserve">рост цены 1 тонны условного топлива на 6 542,59 руб./т.у.т. (+4 595 690 тыс. руб</w:t>
      </w:r>
      <w:r>
        <w:rPr>
          <w:rFonts w:ascii="Arial Narrow" w:hAnsi="Arial Narrow" w:cs="Calibri"/>
          <w:sz w:val="24"/>
          <w:szCs w:val="24"/>
          <w:lang w:val="ru-RU" w:bidi="ru-RU"/>
        </w:rPr>
        <w:t xml:space="preserve">лей), что обусловлено увеличением цен на рынке нефтепродуктов и изменением топливного баланса в сторону более дорогого мазута (в связи со снижением объемов поставки природного газа Общество вынуждено замещать его дефицит резервным видом топлива - мазутом);</w:t>
      </w:r>
      <w:r>
        <w:rPr>
          <w:lang w:val="ru-RU"/>
        </w:rPr>
      </w:r>
      <w:r>
        <w:rPr>
          <w:lang w:val="ru-RU"/>
        </w:rPr>
      </w:r>
    </w:p>
    <w:p>
      <w:pPr>
        <w:pStyle w:val="1091"/>
        <w:numPr>
          <w:ilvl w:val="0"/>
          <w:numId w:val="12"/>
        </w:numPr>
        <w:ind w:left="0" w:firstLine="360"/>
        <w:jc w:val="both"/>
        <w:spacing w:line="276" w:lineRule="auto"/>
        <w:tabs>
          <w:tab w:val="left" w:pos="709" w:leader="none"/>
        </w:tabs>
        <w:rPr>
          <w:lang w:val="ru-RU"/>
        </w:rPr>
      </w:pPr>
      <w:r>
        <w:rPr>
          <w:rFonts w:ascii="Arial Narrow" w:hAnsi="Arial Narrow" w:cs="Calibri"/>
          <w:sz w:val="24"/>
          <w:szCs w:val="24"/>
          <w:lang w:val="ru-RU" w:bidi="ru-RU"/>
        </w:rPr>
        <w:t xml:space="preserve">увеличение отпуска электрической энергии с шин Камчатских ТЭЦ на 95,07 млн. кВтч </w:t>
      </w:r>
      <w:r>
        <w:rPr>
          <w:rFonts w:ascii="Arial Narrow" w:hAnsi="Arial Narrow" w:cs="Calibri"/>
          <w:sz w:val="24"/>
          <w:szCs w:val="24"/>
          <w:lang w:val="ru-RU" w:bidi="ru-RU"/>
        </w:rPr>
        <w:br/>
        <w:t xml:space="preserve">(+54</w:t>
      </w:r>
      <w:r>
        <w:rPr>
          <w:rFonts w:ascii="Arial Narrow" w:hAnsi="Arial Narrow" w:cs="Calibri"/>
          <w:sz w:val="24"/>
          <w:szCs w:val="24"/>
          <w:lang w:val="ru-RU" w:bidi="ru-RU"/>
        </w:rPr>
        <w:t xml:space="preserve">4 144 тыс. рублей) из-за роста электропотребления в ЦЭУ и ОЭУ и снижения объема выработки электроэнергии от каскада Толмачёвских ГЭС. Дополнительная выработка электроэнергии обеспечивалась увеличением загрузки Камчатских ТЭЦ в ЦЭУ и Паужетской ГеоЭС в ОЭУ;</w:t>
      </w:r>
      <w:r>
        <w:rPr>
          <w:lang w:val="ru-RU"/>
        </w:rPr>
      </w:r>
      <w:r>
        <w:rPr>
          <w:lang w:val="ru-RU"/>
        </w:rPr>
      </w:r>
    </w:p>
    <w:p>
      <w:pPr>
        <w:pStyle w:val="1091"/>
        <w:numPr>
          <w:ilvl w:val="0"/>
          <w:numId w:val="12"/>
        </w:numPr>
        <w:ind w:left="0" w:firstLine="360"/>
        <w:jc w:val="both"/>
        <w:spacing w:line="276" w:lineRule="auto"/>
        <w:tabs>
          <w:tab w:val="left" w:pos="709" w:leader="none"/>
        </w:tabs>
        <w:rPr>
          <w:lang w:val="ru-RU"/>
        </w:rPr>
      </w:pPr>
      <w:r>
        <w:rPr>
          <w:rFonts w:ascii="Arial Narrow" w:hAnsi="Arial Narrow" w:cs="Calibri"/>
          <w:sz w:val="24"/>
          <w:szCs w:val="24"/>
          <w:lang w:val="ru-RU" w:bidi="ru-RU"/>
        </w:rPr>
        <w:t xml:space="preserve">уменьшение отпуска тепловой энергии на 19,78 тыс. Гк</w:t>
      </w:r>
      <w:r>
        <w:rPr>
          <w:rFonts w:ascii="Arial Narrow" w:hAnsi="Arial Narrow" w:cs="Calibri"/>
          <w:sz w:val="24"/>
          <w:szCs w:val="24"/>
          <w:lang w:val="ru-RU" w:bidi="ru-RU"/>
        </w:rPr>
        <w:t xml:space="preserve">ал (-55 817 тыс. рублей) за счет снижения потребления ГВС, замены изоляции тепловых сетей ТМ-2,3 и 2-ого контура, расселения части жилых домов, подключенных к ТМ-2, а также уменьшением межотопительного периода в 2024 году на 5 суток относительно 2023 года;</w:t>
      </w:r>
      <w:r>
        <w:rPr>
          <w:lang w:val="ru-RU"/>
        </w:rPr>
      </w:r>
      <w:r>
        <w:rPr>
          <w:lang w:val="ru-RU"/>
        </w:rPr>
      </w:r>
    </w:p>
    <w:p>
      <w:pPr>
        <w:pStyle w:val="1091"/>
        <w:numPr>
          <w:ilvl w:val="0"/>
          <w:numId w:val="12"/>
        </w:numPr>
        <w:ind w:left="0" w:firstLine="360"/>
        <w:jc w:val="both"/>
        <w:spacing w:line="276" w:lineRule="auto"/>
        <w:tabs>
          <w:tab w:val="left" w:pos="709" w:leader="none"/>
        </w:tabs>
        <w:rPr>
          <w:lang w:val="ru-RU"/>
        </w:rPr>
      </w:pPr>
      <w:r>
        <w:rPr>
          <w:rFonts w:ascii="Arial Narrow" w:hAnsi="Arial Narrow" w:cs="Calibri"/>
          <w:sz w:val="24"/>
          <w:szCs w:val="24"/>
          <w:lang w:val="ru-RU" w:bidi="ru-RU"/>
        </w:rPr>
        <w:t xml:space="preserve">рост удельного расхода условного топлива на производство электроэнергии относительно факта прошлого года на 7,24 г/кВтч (+132 494 тыс. рублей), что обусловлено:</w:t>
      </w:r>
      <w:r>
        <w:rPr>
          <w:lang w:val="ru-RU"/>
        </w:rPr>
      </w:r>
      <w:r>
        <w:rPr>
          <w:lang w:val="ru-RU"/>
        </w:rPr>
      </w:r>
    </w:p>
    <w:p>
      <w:pPr>
        <w:pStyle w:val="1091"/>
        <w:numPr>
          <w:ilvl w:val="0"/>
          <w:numId w:val="11"/>
        </w:numPr>
        <w:jc w:val="both"/>
        <w:spacing w:line="276" w:lineRule="auto"/>
        <w:rPr>
          <w:lang w:val="ru-RU"/>
        </w:rPr>
      </w:pPr>
      <w:r>
        <w:rPr>
          <w:rFonts w:ascii="Arial Narrow" w:hAnsi="Arial Narrow"/>
          <w:sz w:val="24"/>
          <w:szCs w:val="24"/>
          <w:lang w:val="ru-RU"/>
        </w:rPr>
        <w:t xml:space="preserve">изменением на КТЭЦ-1 состава турбин (увеличением продолжительности работы конденсационной турбины на 2 261 час и теплофикационной ТГ-6 в конденсационном режиме на 110 часов) и включением в работу дополнительных котлов на 3 538 часов;</w:t>
      </w:r>
      <w:r>
        <w:rPr>
          <w:lang w:val="ru-RU"/>
        </w:rPr>
      </w:r>
      <w:r>
        <w:rPr>
          <w:lang w:val="ru-RU"/>
        </w:rPr>
      </w:r>
    </w:p>
    <w:p>
      <w:pPr>
        <w:pStyle w:val="1091"/>
        <w:numPr>
          <w:ilvl w:val="0"/>
          <w:numId w:val="11"/>
        </w:numPr>
        <w:jc w:val="both"/>
        <w:spacing w:line="276" w:lineRule="auto"/>
        <w:rPr>
          <w:lang w:val="ru-RU"/>
        </w:rPr>
      </w:pPr>
      <w:r>
        <w:rPr>
          <w:rFonts w:ascii="Arial Narrow" w:hAnsi="Arial Narrow"/>
          <w:sz w:val="24"/>
          <w:szCs w:val="24"/>
          <w:lang w:val="ru-RU"/>
        </w:rPr>
        <w:t xml:space="preserve">снижением на КТЭЦ-1 на 7,3 % доли выработки электроэнергии по теплофикационному циклу из-за роста на 23 % объема выработки электроэнергии и увеличением продолжительности работы турбин конденсационной группы;</w:t>
      </w:r>
      <w:r>
        <w:rPr>
          <w:lang w:val="ru-RU"/>
        </w:rPr>
      </w:r>
      <w:r>
        <w:rPr>
          <w:lang w:val="ru-RU"/>
        </w:rPr>
      </w:r>
    </w:p>
    <w:p>
      <w:pPr>
        <w:pStyle w:val="1091"/>
        <w:numPr>
          <w:ilvl w:val="0"/>
          <w:numId w:val="11"/>
        </w:numPr>
        <w:jc w:val="both"/>
        <w:spacing w:line="276" w:lineRule="auto"/>
        <w:rPr>
          <w:lang w:val="ru-RU"/>
        </w:rPr>
      </w:pPr>
      <w:r>
        <w:rPr>
          <w:rFonts w:ascii="Arial Narrow" w:hAnsi="Arial Narrow"/>
          <w:sz w:val="24"/>
          <w:szCs w:val="24"/>
          <w:lang w:val="ru-RU"/>
        </w:rPr>
        <w:t xml:space="preserve">снижением на КТЭЦ-2 доли выработки электроэн</w:t>
      </w:r>
      <w:r>
        <w:rPr>
          <w:rFonts w:ascii="Arial Narrow" w:hAnsi="Arial Narrow"/>
          <w:sz w:val="24"/>
          <w:szCs w:val="24"/>
          <w:lang w:val="ru-RU"/>
        </w:rPr>
        <w:t xml:space="preserve">ергии по теплофикационному циклу на 2,1 % из-за роста объема выработки электроэнергии на 3,5 % при сокращении объема отпуска тепловой энергии на 1,5 % и из-за увеличения на 333 часа продолжительности работы теплофикационных турбин в конденсационном режиме;</w:t>
      </w:r>
      <w:r>
        <w:rPr>
          <w:lang w:val="ru-RU"/>
        </w:rPr>
      </w:r>
      <w:r>
        <w:rPr>
          <w:lang w:val="ru-RU"/>
        </w:rPr>
      </w:r>
    </w:p>
    <w:p>
      <w:pPr>
        <w:pStyle w:val="1091"/>
        <w:numPr>
          <w:ilvl w:val="0"/>
          <w:numId w:val="11"/>
        </w:numPr>
        <w:jc w:val="both"/>
        <w:spacing w:line="276" w:lineRule="auto"/>
        <w:rPr>
          <w:lang w:val="ru-RU"/>
        </w:rPr>
      </w:pPr>
      <w:r>
        <w:rPr>
          <w:rFonts w:ascii="Arial Narrow" w:hAnsi="Arial Narrow"/>
          <w:sz w:val="24"/>
          <w:szCs w:val="24"/>
          <w:lang w:val="ru-RU"/>
        </w:rPr>
        <w:t xml:space="preserve">снижение удельного расхода условного топлива на производство теплоэнергии относительно факта прошлого года на 1,41 кг/Гкал (-42 302 тыс. рублей) за счет:</w:t>
      </w:r>
      <w:r>
        <w:rPr>
          <w:lang w:val="ru-RU"/>
        </w:rPr>
      </w:r>
      <w:r>
        <w:rPr>
          <w:lang w:val="ru-RU"/>
        </w:rPr>
      </w:r>
    </w:p>
    <w:p>
      <w:pPr>
        <w:pStyle w:val="1091"/>
        <w:numPr>
          <w:ilvl w:val="0"/>
          <w:numId w:val="11"/>
        </w:numPr>
        <w:jc w:val="both"/>
        <w:spacing w:line="276" w:lineRule="auto"/>
        <w:rPr>
          <w:lang w:val="ru-RU"/>
        </w:rPr>
      </w:pPr>
      <w:r>
        <w:rPr>
          <w:rFonts w:ascii="Arial Narrow" w:hAnsi="Arial Narrow"/>
          <w:sz w:val="24"/>
          <w:szCs w:val="24"/>
          <w:lang w:val="ru-RU"/>
        </w:rPr>
        <w:t xml:space="preserve">увеличения на КТЭЦ-1 эффективности работы котлов (рост КПД на 0,15 %) при снижении </w:t>
      </w:r>
      <w:r>
        <w:rPr>
          <w:rFonts w:ascii="Arial Narrow" w:hAnsi="Arial Narrow"/>
          <w:sz w:val="24"/>
          <w:szCs w:val="24"/>
          <w:lang w:val="ru-RU"/>
        </w:rPr>
        <w:br/>
        <w:t xml:space="preserve">на 10 числа их пусков;</w:t>
      </w:r>
      <w:r>
        <w:rPr>
          <w:lang w:val="ru-RU"/>
        </w:rPr>
      </w:r>
      <w:r>
        <w:rPr>
          <w:lang w:val="ru-RU"/>
        </w:rPr>
      </w:r>
    </w:p>
    <w:p>
      <w:pPr>
        <w:pStyle w:val="1091"/>
        <w:numPr>
          <w:ilvl w:val="0"/>
          <w:numId w:val="11"/>
        </w:numPr>
        <w:jc w:val="both"/>
        <w:spacing w:line="276" w:lineRule="auto"/>
        <w:rPr>
          <w:lang w:val="ru-RU"/>
        </w:rPr>
      </w:pPr>
      <w:r>
        <w:rPr>
          <w:rFonts w:ascii="Arial Narrow" w:hAnsi="Arial Narrow"/>
          <w:sz w:val="24"/>
          <w:szCs w:val="24"/>
          <w:lang w:val="ru-RU"/>
        </w:rPr>
        <w:t xml:space="preserve">снижения на КТЭЦ-1 расхода электроэнергии на нужды котельного отделения, отнесенного на тепло, из-за рос</w:t>
      </w:r>
      <w:r>
        <w:rPr>
          <w:rFonts w:ascii="Arial Narrow" w:hAnsi="Arial Narrow"/>
          <w:sz w:val="24"/>
          <w:szCs w:val="24"/>
          <w:lang w:val="ru-RU"/>
        </w:rPr>
        <w:t xml:space="preserve">та объема выработки электроэнергии на 23,0 % и повышения доли конденсационной выработки на 7,3 % (в общем объеме производства электроэнергия увеличила свою долю, что повлияло на разделение нужд котельного отделения между электрической и тепловой энергией);</w:t>
      </w:r>
      <w:r>
        <w:rPr>
          <w:lang w:val="ru-RU"/>
        </w:rPr>
      </w:r>
      <w:r>
        <w:rPr>
          <w:lang w:val="ru-RU"/>
        </w:rPr>
      </w:r>
    </w:p>
    <w:p>
      <w:pPr>
        <w:pStyle w:val="1091"/>
        <w:numPr>
          <w:ilvl w:val="0"/>
          <w:numId w:val="11"/>
        </w:numPr>
        <w:jc w:val="both"/>
        <w:spacing w:line="276" w:lineRule="auto"/>
      </w:pPr>
      <w:r>
        <w:rPr>
          <w:rFonts w:ascii="Arial Narrow" w:hAnsi="Arial Narrow"/>
          <w:sz w:val="24"/>
          <w:szCs w:val="24"/>
          <w:lang w:val="ru-RU"/>
        </w:rPr>
        <w:t xml:space="preserve">снижения на КТЭЦ-2 отпуска тепла от пиковых бойлеров на 7,223 тыс. </w:t>
      </w:r>
      <w:r>
        <w:rPr>
          <w:rFonts w:ascii="Arial Narrow" w:hAnsi="Arial Narrow"/>
          <w:sz w:val="24"/>
          <w:szCs w:val="24"/>
        </w:rPr>
        <w:t xml:space="preserve">Гкал;</w:t>
      </w:r>
      <w:r/>
    </w:p>
    <w:p>
      <w:pPr>
        <w:pStyle w:val="1091"/>
        <w:numPr>
          <w:ilvl w:val="0"/>
          <w:numId w:val="11"/>
        </w:numPr>
        <w:jc w:val="both"/>
        <w:spacing w:line="276" w:lineRule="auto"/>
        <w:rPr>
          <w:lang w:val="ru-RU"/>
        </w:rPr>
      </w:pPr>
      <w:r>
        <w:rPr>
          <w:rFonts w:ascii="Arial Narrow" w:hAnsi="Arial Narrow"/>
          <w:sz w:val="24"/>
          <w:szCs w:val="24"/>
          <w:lang w:val="ru-RU"/>
        </w:rPr>
        <w:t xml:space="preserve">увеличения на КТЭЦ-2 эффективности работы котлов (рост КПД на 0,17 %) при снижении на 1,3 % доли мазута в общем объеме сожженного топлива (газ/мазут);</w:t>
      </w:r>
      <w:r>
        <w:rPr>
          <w:lang w:val="ru-RU"/>
        </w:rPr>
      </w:r>
      <w:r>
        <w:rPr>
          <w:lang w:val="ru-RU"/>
        </w:rPr>
      </w:r>
    </w:p>
    <w:p>
      <w:pPr>
        <w:pStyle w:val="1091"/>
        <w:numPr>
          <w:ilvl w:val="0"/>
          <w:numId w:val="11"/>
        </w:numPr>
        <w:jc w:val="both"/>
        <w:spacing w:line="276" w:lineRule="auto"/>
        <w:rPr>
          <w:lang w:val="ru-RU"/>
        </w:rPr>
      </w:pPr>
      <w:r>
        <w:rPr>
          <w:rFonts w:ascii="Arial Narrow" w:hAnsi="Arial Narrow"/>
          <w:sz w:val="24"/>
          <w:szCs w:val="24"/>
          <w:lang w:val="ru-RU"/>
        </w:rPr>
        <w:t xml:space="preserve">снижения удельного расхода топлива на отпуск тепла от угольных и мазутных котельных г. Елизово;</w:t>
      </w:r>
      <w:r>
        <w:rPr>
          <w:lang w:val="ru-RU"/>
        </w:rPr>
      </w:r>
      <w:r>
        <w:rPr>
          <w:lang w:val="ru-RU"/>
        </w:rP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Затраты на </w:t>
      </w:r>
      <w:r>
        <w:rPr>
          <w:rFonts w:ascii="Arial Narrow" w:hAnsi="Arial Narrow" w:cs="Calibri"/>
          <w:iCs/>
          <w:sz w:val="24"/>
          <w:szCs w:val="24"/>
          <w:lang w:val="ru-RU" w:bidi="ru-RU"/>
        </w:rPr>
        <w:t xml:space="preserve">покупную электроэнергию</w:t>
      </w:r>
      <w:r>
        <w:rPr>
          <w:rFonts w:ascii="Arial Narrow" w:hAnsi="Arial Narrow" w:cs="Calibri"/>
          <w:sz w:val="24"/>
          <w:szCs w:val="24"/>
          <w:lang w:val="ru-RU" w:bidi="ru-RU"/>
        </w:rPr>
        <w:t xml:space="preserve"> для дальнейшей реализации увеличились относительно факта 2023 года на 1 145 093 тыс. рублей (или на 22 %).</w:t>
      </w:r>
      <w:r>
        <w:rPr>
          <w:lang w:val="ru-RU"/>
        </w:rPr>
      </w:r>
      <w:r>
        <w:rPr>
          <w:lang w:val="ru-RU"/>
        </w:rPr>
      </w:r>
    </w:p>
    <w:p>
      <w:pPr>
        <w:pStyle w:val="1091"/>
        <w:ind w:left="567"/>
        <w:jc w:val="right"/>
        <w:spacing w:line="276" w:lineRule="auto"/>
        <w:tabs>
          <w:tab w:val="left" w:pos="992" w:leader="none"/>
        </w:tabs>
        <w:rPr>
          <w:lang w:val="en-US"/>
        </w:rPr>
      </w:pPr>
      <w:r>
        <w:rPr>
          <w:rFonts w:ascii="Arial Narrow" w:hAnsi="Arial Narrow" w:cs="Calibri"/>
          <w:i/>
          <w:sz w:val="24"/>
          <w:szCs w:val="24"/>
        </w:rPr>
        <w:t xml:space="preserve">Таблица № 1</w:t>
      </w:r>
      <w:r>
        <w:rPr>
          <w:rFonts w:ascii="Arial Narrow" w:hAnsi="Arial Narrow" w:cs="Calibri"/>
          <w:i/>
          <w:sz w:val="24"/>
          <w:szCs w:val="24"/>
          <w:lang w:val="en-US"/>
        </w:rPr>
        <w:t xml:space="preserve">8</w:t>
      </w:r>
      <w:r>
        <w:rPr>
          <w:lang w:val="en-US"/>
        </w:rPr>
      </w:r>
      <w:r>
        <w:rPr>
          <w:lang w:val="en-US"/>
        </w:rPr>
      </w:r>
    </w:p>
    <w:tbl>
      <w:tblPr>
        <w:tblW w:w="10001" w:type="dxa"/>
        <w:tblInd w:w="2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668"/>
        <w:gridCol w:w="1131"/>
        <w:gridCol w:w="1276"/>
        <w:gridCol w:w="1276"/>
        <w:gridCol w:w="1650"/>
      </w:tblGrid>
      <w:tr>
        <w:trPr>
          <w:trHeight w:val="40"/>
        </w:trPr>
        <w:tc>
          <w:tcPr>
            <w:tcW w:w="4668" w:type="dxa"/>
            <w:vAlign w:val="center"/>
            <w:vMerge w:val="restart"/>
            <w:textDirection w:val="lrTb"/>
            <w:noWrap w:val="false"/>
          </w:tcPr>
          <w:p>
            <w:pPr>
              <w:pStyle w:val="1063"/>
              <w:jc w:val="center"/>
              <w:widowControl w:val="off"/>
              <w:rPr>
                <w:rFonts w:ascii="Arial Narrow" w:hAnsi="Arial Narrow"/>
                <w:color w:val="0f0d29"/>
                <w:sz w:val="16"/>
                <w:szCs w:val="16"/>
              </w:rPr>
            </w:pPr>
            <w:r>
              <w:rPr>
                <w:rFonts w:ascii="Arial Narrow" w:hAnsi="Arial Narrow"/>
                <w:color w:val="0f0d29"/>
                <w:sz w:val="16"/>
                <w:szCs w:val="16"/>
              </w:rPr>
            </w:r>
            <w:r>
              <w:rPr>
                <w:rFonts w:ascii="Arial Narrow" w:hAnsi="Arial Narrow"/>
                <w:color w:val="0f0d29"/>
                <w:sz w:val="16"/>
                <w:szCs w:val="16"/>
              </w:rPr>
            </w:r>
            <w:r>
              <w:rPr>
                <w:rFonts w:ascii="Arial Narrow" w:hAnsi="Arial Narrow"/>
                <w:color w:val="0f0d29"/>
                <w:sz w:val="16"/>
                <w:szCs w:val="16"/>
              </w:rPr>
            </w:r>
          </w:p>
          <w:p>
            <w:pPr>
              <w:pStyle w:val="1063"/>
              <w:jc w:val="center"/>
              <w:widowControl w:val="off"/>
              <w:rPr>
                <w:rFonts w:ascii="Arial Narrow" w:hAnsi="Arial Narrow" w:cs="Calibri"/>
                <w:sz w:val="20"/>
                <w:szCs w:val="20"/>
              </w:rPr>
            </w:pPr>
            <w:r>
              <w:rPr>
                <w:rFonts w:ascii="Arial Narrow" w:hAnsi="Arial Narrow" w:cs="Calibri"/>
                <w:sz w:val="20"/>
                <w:szCs w:val="20"/>
              </w:rPr>
            </w:r>
            <w:r>
              <w:rPr>
                <w:rFonts w:ascii="Arial Narrow" w:hAnsi="Arial Narrow" w:cs="Calibri"/>
                <w:sz w:val="20"/>
                <w:szCs w:val="20"/>
              </w:rPr>
            </w:r>
            <w:r>
              <w:rPr>
                <w:rFonts w:ascii="Arial Narrow" w:hAnsi="Arial Narrow" w:cs="Calibri"/>
                <w:sz w:val="20"/>
                <w:szCs w:val="20"/>
              </w:rPr>
            </w:r>
          </w:p>
        </w:tc>
        <w:tc>
          <w:tcPr>
            <w:gridSpan w:val="2"/>
            <w:tcW w:w="2407" w:type="dxa"/>
            <w:vAlign w:val="center"/>
            <w:textDirection w:val="lrTb"/>
            <w:noWrap w:val="false"/>
          </w:tcPr>
          <w:p>
            <w:pPr>
              <w:pStyle w:val="1063"/>
              <w:jc w:val="center"/>
              <w:widowControl w:val="off"/>
            </w:pPr>
            <w:r>
              <w:rPr>
                <w:rFonts w:ascii="Arial Narrow" w:hAnsi="Arial Narrow" w:cs="Calibri"/>
                <w:bCs/>
                <w:sz w:val="20"/>
                <w:szCs w:val="20"/>
              </w:rPr>
              <w:t xml:space="preserve">12 месяцев факт</w:t>
            </w:r>
            <w:r/>
          </w:p>
        </w:tc>
        <w:tc>
          <w:tcPr>
            <w:tcW w:w="1276" w:type="dxa"/>
            <w:vAlign w:val="center"/>
            <w:vMerge w:val="restart"/>
            <w:textDirection w:val="lrTb"/>
            <w:noWrap w:val="false"/>
          </w:tcPr>
          <w:p>
            <w:pPr>
              <w:pStyle w:val="1063"/>
              <w:jc w:val="center"/>
              <w:widowControl w:val="off"/>
            </w:pPr>
            <w:r>
              <w:rPr>
                <w:rFonts w:ascii="Arial Narrow" w:hAnsi="Arial Narrow" w:cs="Calibri"/>
                <w:bCs/>
                <w:sz w:val="20"/>
                <w:szCs w:val="20"/>
              </w:rPr>
              <w:t xml:space="preserve">Отклонение</w:t>
            </w:r>
            <w:r/>
          </w:p>
        </w:tc>
        <w:tc>
          <w:tcPr>
            <w:tcW w:w="1650" w:type="dxa"/>
            <w:vAlign w:val="center"/>
            <w:vMerge w:val="restart"/>
            <w:textDirection w:val="lrTb"/>
            <w:noWrap w:val="false"/>
          </w:tcPr>
          <w:p>
            <w:pPr>
              <w:pStyle w:val="1063"/>
              <w:jc w:val="center"/>
              <w:widowControl w:val="off"/>
            </w:pPr>
            <w:r>
              <w:rPr>
                <w:rFonts w:ascii="Arial Narrow" w:hAnsi="Arial Narrow" w:cs="Calibri"/>
                <w:bCs/>
                <w:sz w:val="20"/>
                <w:szCs w:val="20"/>
              </w:rPr>
              <w:t xml:space="preserve">Влияние фактора</w:t>
            </w:r>
            <w:r/>
          </w:p>
        </w:tc>
      </w:tr>
      <w:tr>
        <w:trPr>
          <w:trHeight w:val="40"/>
        </w:trPr>
        <w:tc>
          <w:tcPr>
            <w:tcW w:w="4668" w:type="dxa"/>
            <w:vAlign w:val="center"/>
            <w:vMerge w:val="continue"/>
            <w:textDirection w:val="lrTb"/>
            <w:noWrap w:val="false"/>
          </w:tcPr>
          <w:p>
            <w:pPr>
              <w:pStyle w:val="1062"/>
            </w:pPr>
            <w:r/>
            <w:r/>
          </w:p>
        </w:tc>
        <w:tc>
          <w:tcPr>
            <w:tcW w:w="1131" w:type="dxa"/>
            <w:vAlign w:val="center"/>
            <w:textDirection w:val="lrTb"/>
            <w:noWrap w:val="false"/>
          </w:tcPr>
          <w:p>
            <w:pPr>
              <w:pStyle w:val="1063"/>
              <w:jc w:val="center"/>
              <w:widowControl w:val="off"/>
            </w:pPr>
            <w:r>
              <w:rPr>
                <w:rFonts w:ascii="Arial Narrow" w:hAnsi="Arial Narrow" w:cs="Calibri"/>
                <w:bCs/>
                <w:sz w:val="20"/>
                <w:szCs w:val="20"/>
              </w:rPr>
              <w:t xml:space="preserve">2023</w:t>
            </w:r>
            <w:r/>
          </w:p>
        </w:tc>
        <w:tc>
          <w:tcPr>
            <w:tcW w:w="1276" w:type="dxa"/>
            <w:vAlign w:val="center"/>
            <w:textDirection w:val="lrTb"/>
            <w:noWrap w:val="false"/>
          </w:tcPr>
          <w:p>
            <w:pPr>
              <w:pStyle w:val="1063"/>
              <w:jc w:val="center"/>
              <w:widowControl w:val="off"/>
            </w:pPr>
            <w:r>
              <w:rPr>
                <w:rFonts w:ascii="Arial Narrow" w:hAnsi="Arial Narrow" w:cs="Calibri"/>
                <w:bCs/>
                <w:sz w:val="20"/>
                <w:szCs w:val="20"/>
              </w:rPr>
              <w:t xml:space="preserve">2024</w:t>
            </w:r>
            <w:r/>
          </w:p>
        </w:tc>
        <w:tc>
          <w:tcPr>
            <w:tcW w:w="1276" w:type="dxa"/>
            <w:vAlign w:val="center"/>
            <w:vMerge w:val="continue"/>
            <w:textDirection w:val="lrTb"/>
            <w:noWrap w:val="false"/>
          </w:tcPr>
          <w:p>
            <w:pPr>
              <w:pStyle w:val="1062"/>
            </w:pPr>
            <w:r/>
            <w:r/>
          </w:p>
        </w:tc>
        <w:tc>
          <w:tcPr>
            <w:tcW w:w="1650" w:type="dxa"/>
            <w:vAlign w:val="center"/>
            <w:vMerge w:val="continue"/>
            <w:textDirection w:val="lrTb"/>
            <w:noWrap w:val="false"/>
          </w:tcPr>
          <w:p>
            <w:pPr>
              <w:pStyle w:val="1062"/>
            </w:pPr>
            <w:r/>
            <w:r/>
          </w:p>
        </w:tc>
      </w:tr>
      <w:tr>
        <w:trPr>
          <w:trHeight w:val="40"/>
        </w:trPr>
        <w:tc>
          <w:tcPr>
            <w:tcW w:w="4668" w:type="dxa"/>
            <w:vAlign w:val="center"/>
            <w:textDirection w:val="lrTb"/>
            <w:noWrap w:val="false"/>
          </w:tcPr>
          <w:p>
            <w:pPr>
              <w:pStyle w:val="1063"/>
              <w:jc w:val="center"/>
              <w:widowControl w:val="off"/>
            </w:pPr>
            <w:r>
              <w:rPr>
                <w:rFonts w:ascii="Arial Narrow" w:hAnsi="Arial Narrow" w:cs="Calibri"/>
                <w:sz w:val="20"/>
                <w:szCs w:val="20"/>
              </w:rPr>
              <w:t xml:space="preserve">Объем покупной электроэнергии, тыс. кВтч</w:t>
            </w:r>
            <w:r/>
          </w:p>
        </w:tc>
        <w:tc>
          <w:tcPr>
            <w:tcW w:w="1131" w:type="dxa"/>
            <w:vAlign w:val="center"/>
            <w:textDirection w:val="lrTb"/>
            <w:noWrap w:val="false"/>
          </w:tcPr>
          <w:p>
            <w:pPr>
              <w:pStyle w:val="1063"/>
              <w:jc w:val="center"/>
              <w:widowControl w:val="off"/>
            </w:pPr>
            <w:r>
              <w:rPr>
                <w:rFonts w:ascii="Arial Narrow" w:hAnsi="Arial Narrow" w:cs="Calibri"/>
                <w:sz w:val="20"/>
                <w:szCs w:val="20"/>
              </w:rPr>
              <w:t xml:space="preserve">275 074</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274 533</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-541</w:t>
            </w:r>
            <w:r/>
          </w:p>
        </w:tc>
        <w:tc>
          <w:tcPr>
            <w:tcW w:w="1650" w:type="dxa"/>
            <w:vAlign w:val="center"/>
            <w:textDirection w:val="lrTb"/>
            <w:noWrap w:val="false"/>
          </w:tcPr>
          <w:p>
            <w:pPr>
              <w:pStyle w:val="1063"/>
              <w:jc w:val="center"/>
              <w:widowControl w:val="off"/>
              <w:rPr>
                <w:rFonts w:ascii="Arial Narrow" w:hAnsi="Arial Narrow"/>
                <w:bCs/>
                <w:color w:val="0f0d29"/>
                <w:sz w:val="22"/>
              </w:rPr>
            </w:pPr>
            <w:r>
              <w:rPr>
                <w:rFonts w:ascii="Arial Narrow" w:hAnsi="Arial Narrow"/>
                <w:bCs/>
                <w:color w:val="0f0d29"/>
                <w:sz w:val="22"/>
              </w:rPr>
            </w:r>
            <w:r>
              <w:rPr>
                <w:rFonts w:ascii="Arial Narrow" w:hAnsi="Arial Narrow"/>
                <w:bCs/>
                <w:color w:val="0f0d29"/>
                <w:sz w:val="22"/>
              </w:rPr>
            </w:r>
            <w:r>
              <w:rPr>
                <w:rFonts w:ascii="Arial Narrow" w:hAnsi="Arial Narrow"/>
                <w:bCs/>
                <w:color w:val="0f0d29"/>
                <w:sz w:val="22"/>
              </w:rPr>
            </w:r>
          </w:p>
        </w:tc>
      </w:tr>
      <w:tr>
        <w:trPr>
          <w:trHeight w:val="40"/>
        </w:trPr>
        <w:tc>
          <w:tcPr>
            <w:tcW w:w="4668" w:type="dxa"/>
            <w:vAlign w:val="center"/>
            <w:textDirection w:val="lrTb"/>
            <w:noWrap w:val="false"/>
          </w:tcPr>
          <w:p>
            <w:pPr>
              <w:pStyle w:val="1063"/>
              <w:jc w:val="center"/>
              <w:widowControl w:val="off"/>
            </w:pPr>
            <w:r>
              <w:rPr>
                <w:rFonts w:ascii="Arial Narrow" w:hAnsi="Arial Narrow" w:cs="Calibri"/>
                <w:sz w:val="20"/>
                <w:szCs w:val="20"/>
              </w:rPr>
              <w:t xml:space="preserve">в том числе:</w:t>
            </w:r>
            <w:r/>
          </w:p>
        </w:tc>
        <w:tc>
          <w:tcPr>
            <w:tcW w:w="1131"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r>
            <w:r>
              <w:rPr>
                <w:rFonts w:ascii="Arial Narrow" w:hAnsi="Arial Narrow" w:cs="Calibri"/>
                <w:sz w:val="20"/>
                <w:szCs w:val="20"/>
              </w:rPr>
            </w:r>
            <w:r>
              <w:rPr>
                <w:rFonts w:ascii="Arial Narrow" w:hAnsi="Arial Narrow" w:cs="Calibri"/>
                <w:sz w:val="20"/>
                <w:szCs w:val="20"/>
              </w:rPr>
            </w:r>
          </w:p>
        </w:tc>
        <w:tc>
          <w:tcPr>
            <w:tcW w:w="1276" w:type="dxa"/>
            <w:vAlign w:val="center"/>
            <w:textDirection w:val="lrTb"/>
            <w:noWrap w:val="false"/>
          </w:tcPr>
          <w:p>
            <w:pPr>
              <w:pStyle w:val="1063"/>
              <w:jc w:val="center"/>
              <w:widowControl w:val="off"/>
              <w:rPr>
                <w:rFonts w:ascii="Arial Narrow" w:hAnsi="Arial Narrow"/>
                <w:color w:val="0f0d29"/>
                <w:sz w:val="22"/>
              </w:rPr>
            </w:pPr>
            <w:r>
              <w:rPr>
                <w:rFonts w:ascii="Arial Narrow" w:hAnsi="Arial Narrow"/>
                <w:color w:val="0f0d29"/>
                <w:sz w:val="22"/>
              </w:rPr>
            </w:r>
            <w:r>
              <w:rPr>
                <w:rFonts w:ascii="Arial Narrow" w:hAnsi="Arial Narrow"/>
                <w:color w:val="0f0d29"/>
                <w:sz w:val="22"/>
              </w:rPr>
            </w:r>
            <w:r>
              <w:rPr>
                <w:rFonts w:ascii="Arial Narrow" w:hAnsi="Arial Narrow"/>
                <w:color w:val="0f0d29"/>
                <w:sz w:val="22"/>
              </w:rPr>
            </w:r>
          </w:p>
        </w:tc>
        <w:tc>
          <w:tcPr>
            <w:tcW w:w="1276" w:type="dxa"/>
            <w:vAlign w:val="center"/>
            <w:textDirection w:val="lrTb"/>
            <w:noWrap w:val="false"/>
          </w:tcPr>
          <w:p>
            <w:pPr>
              <w:pStyle w:val="1063"/>
              <w:jc w:val="center"/>
              <w:widowControl w:val="off"/>
              <w:rPr>
                <w:rFonts w:ascii="Arial Narrow" w:hAnsi="Arial Narrow"/>
                <w:color w:val="0f0d29"/>
                <w:sz w:val="22"/>
              </w:rPr>
            </w:pPr>
            <w:r>
              <w:rPr>
                <w:rFonts w:ascii="Arial Narrow" w:hAnsi="Arial Narrow"/>
                <w:color w:val="0f0d29"/>
                <w:sz w:val="22"/>
              </w:rPr>
            </w:r>
            <w:r>
              <w:rPr>
                <w:rFonts w:ascii="Arial Narrow" w:hAnsi="Arial Narrow"/>
                <w:color w:val="0f0d29"/>
                <w:sz w:val="22"/>
              </w:rPr>
            </w:r>
            <w:r>
              <w:rPr>
                <w:rFonts w:ascii="Arial Narrow" w:hAnsi="Arial Narrow"/>
                <w:color w:val="0f0d29"/>
                <w:sz w:val="22"/>
              </w:rPr>
            </w:r>
          </w:p>
        </w:tc>
        <w:tc>
          <w:tcPr>
            <w:tcW w:w="1650" w:type="dxa"/>
            <w:vAlign w:val="center"/>
            <w:textDirection w:val="lrTb"/>
            <w:noWrap w:val="false"/>
          </w:tcPr>
          <w:p>
            <w:pPr>
              <w:pStyle w:val="1063"/>
              <w:jc w:val="center"/>
              <w:widowControl w:val="off"/>
              <w:rPr>
                <w:rFonts w:ascii="Arial Narrow" w:hAnsi="Arial Narrow"/>
                <w:bCs/>
                <w:color w:val="0f0d29"/>
                <w:sz w:val="22"/>
              </w:rPr>
            </w:pPr>
            <w:r>
              <w:rPr>
                <w:rFonts w:ascii="Arial Narrow" w:hAnsi="Arial Narrow"/>
                <w:bCs/>
                <w:color w:val="0f0d29"/>
                <w:sz w:val="22"/>
              </w:rPr>
            </w:r>
            <w:r>
              <w:rPr>
                <w:rFonts w:ascii="Arial Narrow" w:hAnsi="Arial Narrow"/>
                <w:bCs/>
                <w:color w:val="0f0d29"/>
                <w:sz w:val="22"/>
              </w:rPr>
            </w:r>
            <w:r>
              <w:rPr>
                <w:rFonts w:ascii="Arial Narrow" w:hAnsi="Arial Narrow"/>
                <w:bCs/>
                <w:color w:val="0f0d29"/>
                <w:sz w:val="22"/>
              </w:rPr>
            </w:r>
          </w:p>
        </w:tc>
      </w:tr>
      <w:tr>
        <w:trPr>
          <w:trHeight w:val="40"/>
        </w:trPr>
        <w:tc>
          <w:tcPr>
            <w:tcW w:w="4668" w:type="dxa"/>
            <w:vAlign w:val="center"/>
            <w:textDirection w:val="lrTb"/>
            <w:noWrap w:val="false"/>
          </w:tcPr>
          <w:p>
            <w:pPr>
              <w:pStyle w:val="1063"/>
              <w:jc w:val="center"/>
              <w:widowControl w:val="off"/>
            </w:pPr>
            <w:r>
              <w:rPr>
                <w:rFonts w:ascii="Arial Narrow" w:hAnsi="Arial Narrow" w:cs="Calibri"/>
                <w:sz w:val="20"/>
                <w:szCs w:val="20"/>
              </w:rPr>
              <w:t xml:space="preserve">ПАО «Камчатскэнерго-ДУ», тыс. кВтч</w:t>
            </w:r>
            <w:r/>
          </w:p>
        </w:tc>
        <w:tc>
          <w:tcPr>
            <w:tcW w:w="1131" w:type="dxa"/>
            <w:vAlign w:val="center"/>
            <w:textDirection w:val="lrTb"/>
            <w:noWrap w:val="false"/>
          </w:tcPr>
          <w:p>
            <w:pPr>
              <w:pStyle w:val="1063"/>
              <w:jc w:val="center"/>
              <w:widowControl w:val="off"/>
            </w:pPr>
            <w:r>
              <w:rPr>
                <w:rFonts w:ascii="Arial Narrow" w:hAnsi="Arial Narrow" w:cs="Calibri"/>
                <w:sz w:val="20"/>
                <w:szCs w:val="20"/>
              </w:rPr>
              <w:t xml:space="preserve">80 761</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66 814</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-13 947</w:t>
            </w:r>
            <w:r/>
          </w:p>
        </w:tc>
        <w:tc>
          <w:tcPr>
            <w:tcW w:w="1650" w:type="dxa"/>
            <w:vAlign w:val="center"/>
            <w:textDirection w:val="lrTb"/>
            <w:noWrap w:val="false"/>
          </w:tcPr>
          <w:p>
            <w:pPr>
              <w:pStyle w:val="1063"/>
              <w:jc w:val="center"/>
              <w:widowControl w:val="off"/>
            </w:pPr>
            <w:r>
              <w:rPr>
                <w:rFonts w:ascii="Arial Narrow" w:hAnsi="Arial Narrow" w:cs="Calibri"/>
                <w:sz w:val="20"/>
                <w:szCs w:val="20"/>
              </w:rPr>
              <w:t xml:space="preserve">-81 241</w:t>
            </w:r>
            <w:r/>
          </w:p>
        </w:tc>
      </w:tr>
      <w:tr>
        <w:trPr>
          <w:trHeight w:val="40"/>
        </w:trPr>
        <w:tc>
          <w:tcPr>
            <w:tcW w:w="4668" w:type="dxa"/>
            <w:vAlign w:val="center"/>
            <w:textDirection w:val="lrTb"/>
            <w:noWrap w:val="false"/>
          </w:tcPr>
          <w:p>
            <w:pPr>
              <w:pStyle w:val="1063"/>
              <w:jc w:val="center"/>
              <w:widowControl w:val="off"/>
            </w:pPr>
            <w:r>
              <w:rPr>
                <w:rFonts w:ascii="Arial Narrow" w:hAnsi="Arial Narrow" w:cs="Calibri"/>
                <w:sz w:val="20"/>
                <w:szCs w:val="20"/>
              </w:rPr>
              <w:t xml:space="preserve">Тариф, руб./кВт ч</w:t>
            </w:r>
            <w:r/>
          </w:p>
        </w:tc>
        <w:tc>
          <w:tcPr>
            <w:tcW w:w="1131" w:type="dxa"/>
            <w:vAlign w:val="center"/>
            <w:textDirection w:val="lrTb"/>
            <w:noWrap w:val="false"/>
          </w:tcPr>
          <w:p>
            <w:pPr>
              <w:pStyle w:val="1063"/>
              <w:jc w:val="center"/>
              <w:widowControl w:val="off"/>
            </w:pPr>
            <w:r>
              <w:rPr>
                <w:rFonts w:ascii="Arial Narrow" w:hAnsi="Arial Narrow" w:cs="Calibri"/>
                <w:sz w:val="20"/>
                <w:szCs w:val="20"/>
              </w:rPr>
              <w:t xml:space="preserve">5,82</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6,89</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1,0685</w:t>
            </w:r>
            <w:r/>
          </w:p>
        </w:tc>
        <w:tc>
          <w:tcPr>
            <w:tcW w:w="1650" w:type="dxa"/>
            <w:vAlign w:val="center"/>
            <w:textDirection w:val="lrTb"/>
            <w:noWrap w:val="false"/>
          </w:tcPr>
          <w:p>
            <w:pPr>
              <w:pStyle w:val="1063"/>
              <w:jc w:val="center"/>
              <w:widowControl w:val="off"/>
            </w:pPr>
            <w:r>
              <w:rPr>
                <w:rFonts w:ascii="Arial Narrow" w:hAnsi="Arial Narrow" w:cs="Calibri"/>
                <w:sz w:val="20"/>
                <w:szCs w:val="20"/>
              </w:rPr>
              <w:t xml:space="preserve">71 391</w:t>
            </w:r>
            <w:r/>
          </w:p>
        </w:tc>
      </w:tr>
      <w:tr>
        <w:trPr>
          <w:trHeight w:val="40"/>
        </w:trPr>
        <w:tc>
          <w:tcPr>
            <w:tcW w:w="4668"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r>
            <w:r>
              <w:rPr>
                <w:rFonts w:ascii="Arial Narrow" w:hAnsi="Arial Narrow" w:cs="Calibri"/>
                <w:sz w:val="20"/>
                <w:szCs w:val="20"/>
              </w:rPr>
            </w:r>
            <w:r>
              <w:rPr>
                <w:rFonts w:ascii="Arial Narrow" w:hAnsi="Arial Narrow" w:cs="Calibri"/>
                <w:sz w:val="20"/>
                <w:szCs w:val="20"/>
              </w:rPr>
            </w:r>
          </w:p>
        </w:tc>
        <w:tc>
          <w:tcPr>
            <w:tcW w:w="1131"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r>
            <w:r>
              <w:rPr>
                <w:rFonts w:ascii="Arial Narrow" w:hAnsi="Arial Narrow" w:cs="Calibri"/>
                <w:sz w:val="20"/>
                <w:szCs w:val="20"/>
              </w:rPr>
            </w:r>
            <w:r>
              <w:rPr>
                <w:rFonts w:ascii="Arial Narrow" w:hAnsi="Arial Narrow" w:cs="Calibri"/>
                <w:sz w:val="20"/>
                <w:szCs w:val="20"/>
              </w:rPr>
            </w:r>
          </w:p>
        </w:tc>
        <w:tc>
          <w:tcPr>
            <w:tcW w:w="1276" w:type="dxa"/>
            <w:vAlign w:val="center"/>
            <w:textDirection w:val="lrTb"/>
            <w:noWrap w:val="false"/>
          </w:tcPr>
          <w:p>
            <w:pPr>
              <w:pStyle w:val="1063"/>
              <w:jc w:val="center"/>
              <w:widowControl w:val="off"/>
              <w:rPr>
                <w:rFonts w:ascii="Arial Narrow" w:hAnsi="Arial Narrow"/>
                <w:color w:val="0f0d29"/>
                <w:sz w:val="22"/>
              </w:rPr>
            </w:pPr>
            <w:r>
              <w:rPr>
                <w:rFonts w:ascii="Arial Narrow" w:hAnsi="Arial Narrow"/>
                <w:color w:val="0f0d29"/>
                <w:sz w:val="22"/>
              </w:rPr>
            </w:r>
            <w:r>
              <w:rPr>
                <w:rFonts w:ascii="Arial Narrow" w:hAnsi="Arial Narrow"/>
                <w:color w:val="0f0d29"/>
                <w:sz w:val="22"/>
              </w:rPr>
            </w:r>
            <w:r>
              <w:rPr>
                <w:rFonts w:ascii="Arial Narrow" w:hAnsi="Arial Narrow"/>
                <w:color w:val="0f0d29"/>
                <w:sz w:val="22"/>
              </w:rPr>
            </w:r>
          </w:p>
        </w:tc>
        <w:tc>
          <w:tcPr>
            <w:tcW w:w="1276" w:type="dxa"/>
            <w:vAlign w:val="center"/>
            <w:textDirection w:val="lrTb"/>
            <w:noWrap w:val="false"/>
          </w:tcPr>
          <w:p>
            <w:pPr>
              <w:pStyle w:val="1063"/>
              <w:jc w:val="center"/>
              <w:widowControl w:val="off"/>
              <w:rPr>
                <w:rFonts w:ascii="Arial Narrow" w:hAnsi="Arial Narrow"/>
                <w:color w:val="0f0d29"/>
                <w:sz w:val="22"/>
              </w:rPr>
            </w:pPr>
            <w:r>
              <w:rPr>
                <w:rFonts w:ascii="Arial Narrow" w:hAnsi="Arial Narrow"/>
                <w:color w:val="0f0d29"/>
                <w:sz w:val="22"/>
              </w:rPr>
            </w:r>
            <w:r>
              <w:rPr>
                <w:rFonts w:ascii="Arial Narrow" w:hAnsi="Arial Narrow"/>
                <w:color w:val="0f0d29"/>
                <w:sz w:val="22"/>
              </w:rPr>
            </w:r>
            <w:r>
              <w:rPr>
                <w:rFonts w:ascii="Arial Narrow" w:hAnsi="Arial Narrow"/>
                <w:color w:val="0f0d29"/>
                <w:sz w:val="22"/>
              </w:rPr>
            </w:r>
          </w:p>
        </w:tc>
        <w:tc>
          <w:tcPr>
            <w:tcW w:w="1650" w:type="dxa"/>
            <w:vAlign w:val="center"/>
            <w:textDirection w:val="lrTb"/>
            <w:noWrap w:val="false"/>
          </w:tcPr>
          <w:p>
            <w:pPr>
              <w:pStyle w:val="1063"/>
              <w:jc w:val="center"/>
              <w:widowControl w:val="off"/>
              <w:rPr>
                <w:rFonts w:ascii="Arial Narrow" w:hAnsi="Arial Narrow"/>
                <w:bCs/>
                <w:color w:val="0f0d29"/>
                <w:sz w:val="22"/>
              </w:rPr>
            </w:pPr>
            <w:r>
              <w:rPr>
                <w:rFonts w:ascii="Arial Narrow" w:hAnsi="Arial Narrow"/>
                <w:bCs/>
                <w:color w:val="0f0d29"/>
                <w:sz w:val="22"/>
              </w:rPr>
            </w:r>
            <w:r>
              <w:rPr>
                <w:rFonts w:ascii="Arial Narrow" w:hAnsi="Arial Narrow"/>
                <w:bCs/>
                <w:color w:val="0f0d29"/>
                <w:sz w:val="22"/>
              </w:rPr>
            </w:r>
            <w:r>
              <w:rPr>
                <w:rFonts w:ascii="Arial Narrow" w:hAnsi="Arial Narrow"/>
                <w:bCs/>
                <w:color w:val="0f0d29"/>
                <w:sz w:val="22"/>
              </w:rPr>
            </w:r>
          </w:p>
        </w:tc>
      </w:tr>
      <w:tr>
        <w:trPr>
          <w:trHeight w:val="40"/>
        </w:trPr>
        <w:tc>
          <w:tcPr>
            <w:tcW w:w="4668" w:type="dxa"/>
            <w:vAlign w:val="center"/>
            <w:textDirection w:val="lrTb"/>
            <w:noWrap w:val="false"/>
          </w:tcPr>
          <w:p>
            <w:pPr>
              <w:pStyle w:val="1063"/>
              <w:jc w:val="center"/>
              <w:widowControl w:val="off"/>
            </w:pPr>
            <w:r>
              <w:rPr>
                <w:rFonts w:ascii="Arial Narrow" w:hAnsi="Arial Narrow" w:cs="Calibri"/>
                <w:sz w:val="20"/>
                <w:szCs w:val="20"/>
              </w:rPr>
              <w:t xml:space="preserve">АО «Корякэнерго», тыс. кВтч</w:t>
            </w:r>
            <w:r/>
          </w:p>
        </w:tc>
        <w:tc>
          <w:tcPr>
            <w:tcW w:w="1131" w:type="dxa"/>
            <w:vAlign w:val="center"/>
            <w:textDirection w:val="lrTb"/>
            <w:noWrap w:val="false"/>
          </w:tcPr>
          <w:p>
            <w:pPr>
              <w:pStyle w:val="1063"/>
              <w:jc w:val="center"/>
              <w:widowControl w:val="off"/>
            </w:pPr>
            <w:r>
              <w:rPr>
                <w:rFonts w:ascii="Arial Narrow" w:hAnsi="Arial Narrow" w:cs="Calibri"/>
                <w:sz w:val="20"/>
                <w:szCs w:val="20"/>
              </w:rPr>
              <w:t xml:space="preserve">42 690</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23 445</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-19 245</w:t>
            </w:r>
            <w:r/>
          </w:p>
        </w:tc>
        <w:tc>
          <w:tcPr>
            <w:tcW w:w="1650" w:type="dxa"/>
            <w:vAlign w:val="center"/>
            <w:textDirection w:val="lrTb"/>
            <w:noWrap w:val="false"/>
          </w:tcPr>
          <w:p>
            <w:pPr>
              <w:pStyle w:val="1063"/>
              <w:jc w:val="center"/>
              <w:widowControl w:val="off"/>
            </w:pPr>
            <w:r>
              <w:rPr>
                <w:rFonts w:ascii="Arial Narrow" w:hAnsi="Arial Narrow" w:cs="Calibri"/>
                <w:sz w:val="20"/>
                <w:szCs w:val="20"/>
              </w:rPr>
              <w:t xml:space="preserve">-524 555</w:t>
            </w:r>
            <w:r/>
          </w:p>
        </w:tc>
      </w:tr>
      <w:tr>
        <w:trPr>
          <w:trHeight w:val="40"/>
        </w:trPr>
        <w:tc>
          <w:tcPr>
            <w:tcW w:w="4668" w:type="dxa"/>
            <w:vAlign w:val="center"/>
            <w:textDirection w:val="lrTb"/>
            <w:noWrap w:val="false"/>
          </w:tcPr>
          <w:p>
            <w:pPr>
              <w:pStyle w:val="1063"/>
              <w:jc w:val="center"/>
              <w:widowControl w:val="off"/>
            </w:pPr>
            <w:r>
              <w:rPr>
                <w:rFonts w:ascii="Arial Narrow" w:hAnsi="Arial Narrow" w:cs="Calibri"/>
                <w:sz w:val="20"/>
                <w:szCs w:val="20"/>
              </w:rPr>
              <w:t xml:space="preserve">Тариф, руб./кВт ч</w:t>
            </w:r>
            <w:r/>
          </w:p>
        </w:tc>
        <w:tc>
          <w:tcPr>
            <w:tcW w:w="1131" w:type="dxa"/>
            <w:vAlign w:val="center"/>
            <w:textDirection w:val="lrTb"/>
            <w:noWrap w:val="false"/>
          </w:tcPr>
          <w:p>
            <w:pPr>
              <w:pStyle w:val="1063"/>
              <w:jc w:val="center"/>
              <w:widowControl w:val="off"/>
            </w:pPr>
            <w:r>
              <w:rPr>
                <w:rFonts w:ascii="Arial Narrow" w:hAnsi="Arial Narrow" w:cs="Calibri"/>
                <w:sz w:val="20"/>
                <w:szCs w:val="20"/>
              </w:rPr>
              <w:t xml:space="preserve">27,26</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37,50</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10,2468</w:t>
            </w:r>
            <w:r/>
          </w:p>
        </w:tc>
        <w:tc>
          <w:tcPr>
            <w:tcW w:w="1650" w:type="dxa"/>
            <w:vAlign w:val="center"/>
            <w:textDirection w:val="lrTb"/>
            <w:noWrap w:val="false"/>
          </w:tcPr>
          <w:p>
            <w:pPr>
              <w:pStyle w:val="1063"/>
              <w:jc w:val="center"/>
              <w:widowControl w:val="off"/>
            </w:pPr>
            <w:r>
              <w:rPr>
                <w:rFonts w:ascii="Arial Narrow" w:hAnsi="Arial Narrow" w:cs="Calibri"/>
                <w:sz w:val="20"/>
                <w:szCs w:val="20"/>
              </w:rPr>
              <w:t xml:space="preserve">240 236</w:t>
            </w:r>
            <w:r/>
          </w:p>
        </w:tc>
      </w:tr>
      <w:tr>
        <w:trPr>
          <w:trHeight w:val="40"/>
        </w:trPr>
        <w:tc>
          <w:tcPr>
            <w:tcW w:w="4668"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r>
            <w:r>
              <w:rPr>
                <w:rFonts w:ascii="Arial Narrow" w:hAnsi="Arial Narrow" w:cs="Calibri"/>
                <w:sz w:val="20"/>
                <w:szCs w:val="20"/>
              </w:rPr>
            </w:r>
            <w:r>
              <w:rPr>
                <w:rFonts w:ascii="Arial Narrow" w:hAnsi="Arial Narrow" w:cs="Calibri"/>
                <w:sz w:val="20"/>
                <w:szCs w:val="20"/>
              </w:rPr>
            </w:r>
          </w:p>
        </w:tc>
        <w:tc>
          <w:tcPr>
            <w:tcW w:w="1131"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r>
            <w:r>
              <w:rPr>
                <w:rFonts w:ascii="Arial Narrow" w:hAnsi="Arial Narrow" w:cs="Calibri"/>
                <w:sz w:val="20"/>
                <w:szCs w:val="20"/>
              </w:rPr>
            </w:r>
            <w:r>
              <w:rPr>
                <w:rFonts w:ascii="Arial Narrow" w:hAnsi="Arial Narrow" w:cs="Calibri"/>
                <w:sz w:val="20"/>
                <w:szCs w:val="20"/>
              </w:rPr>
            </w:r>
          </w:p>
        </w:tc>
        <w:tc>
          <w:tcPr>
            <w:tcW w:w="1276" w:type="dxa"/>
            <w:vAlign w:val="center"/>
            <w:textDirection w:val="lrTb"/>
            <w:noWrap w:val="false"/>
          </w:tcPr>
          <w:p>
            <w:pPr>
              <w:pStyle w:val="1063"/>
              <w:jc w:val="center"/>
              <w:widowControl w:val="off"/>
              <w:rPr>
                <w:rFonts w:ascii="Arial Narrow" w:hAnsi="Arial Narrow"/>
                <w:color w:val="0f0d29"/>
                <w:sz w:val="22"/>
              </w:rPr>
            </w:pPr>
            <w:r>
              <w:rPr>
                <w:rFonts w:ascii="Arial Narrow" w:hAnsi="Arial Narrow"/>
                <w:color w:val="0f0d29"/>
                <w:sz w:val="22"/>
              </w:rPr>
            </w:r>
            <w:r>
              <w:rPr>
                <w:rFonts w:ascii="Arial Narrow" w:hAnsi="Arial Narrow"/>
                <w:color w:val="0f0d29"/>
                <w:sz w:val="22"/>
              </w:rPr>
            </w:r>
            <w:r>
              <w:rPr>
                <w:rFonts w:ascii="Arial Narrow" w:hAnsi="Arial Narrow"/>
                <w:color w:val="0f0d29"/>
                <w:sz w:val="22"/>
              </w:rPr>
            </w:r>
          </w:p>
        </w:tc>
        <w:tc>
          <w:tcPr>
            <w:tcW w:w="1276" w:type="dxa"/>
            <w:vAlign w:val="center"/>
            <w:textDirection w:val="lrTb"/>
            <w:noWrap w:val="false"/>
          </w:tcPr>
          <w:p>
            <w:pPr>
              <w:pStyle w:val="1063"/>
              <w:jc w:val="center"/>
              <w:widowControl w:val="off"/>
              <w:rPr>
                <w:rFonts w:ascii="Arial Narrow" w:hAnsi="Arial Narrow"/>
                <w:color w:val="0f0d29"/>
                <w:sz w:val="22"/>
              </w:rPr>
            </w:pPr>
            <w:r>
              <w:rPr>
                <w:rFonts w:ascii="Arial Narrow" w:hAnsi="Arial Narrow"/>
                <w:color w:val="0f0d29"/>
                <w:sz w:val="22"/>
              </w:rPr>
            </w:r>
            <w:r>
              <w:rPr>
                <w:rFonts w:ascii="Arial Narrow" w:hAnsi="Arial Narrow"/>
                <w:color w:val="0f0d29"/>
                <w:sz w:val="22"/>
              </w:rPr>
            </w:r>
            <w:r>
              <w:rPr>
                <w:rFonts w:ascii="Arial Narrow" w:hAnsi="Arial Narrow"/>
                <w:color w:val="0f0d29"/>
                <w:sz w:val="22"/>
              </w:rPr>
            </w:r>
          </w:p>
        </w:tc>
        <w:tc>
          <w:tcPr>
            <w:tcW w:w="1650" w:type="dxa"/>
            <w:vAlign w:val="center"/>
            <w:textDirection w:val="lrTb"/>
            <w:noWrap w:val="false"/>
          </w:tcPr>
          <w:p>
            <w:pPr>
              <w:pStyle w:val="1063"/>
              <w:jc w:val="center"/>
              <w:widowControl w:val="off"/>
              <w:rPr>
                <w:rFonts w:ascii="Arial Narrow" w:hAnsi="Arial Narrow"/>
                <w:bCs/>
                <w:color w:val="0f0d29"/>
                <w:sz w:val="22"/>
              </w:rPr>
            </w:pPr>
            <w:r>
              <w:rPr>
                <w:rFonts w:ascii="Arial Narrow" w:hAnsi="Arial Narrow"/>
                <w:bCs/>
                <w:color w:val="0f0d29"/>
                <w:sz w:val="22"/>
              </w:rPr>
            </w:r>
            <w:r>
              <w:rPr>
                <w:rFonts w:ascii="Arial Narrow" w:hAnsi="Arial Narrow"/>
                <w:bCs/>
                <w:color w:val="0f0d29"/>
                <w:sz w:val="22"/>
              </w:rPr>
            </w:r>
            <w:r>
              <w:rPr>
                <w:rFonts w:ascii="Arial Narrow" w:hAnsi="Arial Narrow"/>
                <w:bCs/>
                <w:color w:val="0f0d29"/>
                <w:sz w:val="22"/>
              </w:rPr>
            </w:r>
          </w:p>
        </w:tc>
      </w:tr>
      <w:tr>
        <w:trPr>
          <w:trHeight w:val="40"/>
        </w:trPr>
        <w:tc>
          <w:tcPr>
            <w:tcW w:w="4668" w:type="dxa"/>
            <w:vAlign w:val="center"/>
            <w:textDirection w:val="lrTb"/>
            <w:noWrap w:val="false"/>
          </w:tcPr>
          <w:p>
            <w:pPr>
              <w:pStyle w:val="1063"/>
              <w:jc w:val="center"/>
              <w:widowControl w:val="off"/>
            </w:pPr>
            <w:r>
              <w:rPr>
                <w:rFonts w:ascii="Arial Narrow" w:hAnsi="Arial Narrow" w:cs="Calibri"/>
                <w:sz w:val="20"/>
                <w:szCs w:val="20"/>
              </w:rPr>
              <w:t xml:space="preserve">АО «КЭС им Пискунова И.А.», тыс. кВтч</w:t>
            </w:r>
            <w:r/>
          </w:p>
        </w:tc>
        <w:tc>
          <w:tcPr>
            <w:tcW w:w="1131" w:type="dxa"/>
            <w:vAlign w:val="center"/>
            <w:textDirection w:val="lrTb"/>
            <w:noWrap w:val="false"/>
          </w:tcPr>
          <w:p>
            <w:pPr>
              <w:pStyle w:val="1063"/>
              <w:jc w:val="center"/>
              <w:widowControl w:val="off"/>
            </w:pPr>
            <w:r>
              <w:rPr>
                <w:rFonts w:ascii="Arial Narrow" w:hAnsi="Arial Narrow" w:cs="Calibri"/>
                <w:sz w:val="20"/>
                <w:szCs w:val="20"/>
              </w:rPr>
              <w:t xml:space="preserve">24 242</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22 095</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-2 147</w:t>
            </w:r>
            <w:r/>
          </w:p>
        </w:tc>
        <w:tc>
          <w:tcPr>
            <w:tcW w:w="1650" w:type="dxa"/>
            <w:vAlign w:val="center"/>
            <w:textDirection w:val="lrTb"/>
            <w:noWrap w:val="false"/>
          </w:tcPr>
          <w:p>
            <w:pPr>
              <w:pStyle w:val="1063"/>
              <w:jc w:val="center"/>
              <w:widowControl w:val="off"/>
            </w:pPr>
            <w:r>
              <w:rPr>
                <w:rFonts w:ascii="Arial Narrow" w:hAnsi="Arial Narrow" w:cs="Calibri"/>
                <w:sz w:val="20"/>
                <w:szCs w:val="20"/>
              </w:rPr>
              <w:t xml:space="preserve">-37 300</w:t>
            </w:r>
            <w:r/>
          </w:p>
        </w:tc>
      </w:tr>
      <w:tr>
        <w:trPr>
          <w:trHeight w:val="40"/>
        </w:trPr>
        <w:tc>
          <w:tcPr>
            <w:tcW w:w="4668" w:type="dxa"/>
            <w:vAlign w:val="center"/>
            <w:textDirection w:val="lrTb"/>
            <w:noWrap w:val="false"/>
          </w:tcPr>
          <w:p>
            <w:pPr>
              <w:pStyle w:val="1063"/>
              <w:jc w:val="center"/>
              <w:widowControl w:val="off"/>
            </w:pPr>
            <w:r>
              <w:rPr>
                <w:rFonts w:ascii="Arial Narrow" w:hAnsi="Arial Narrow" w:cs="Calibri"/>
                <w:sz w:val="20"/>
                <w:szCs w:val="20"/>
              </w:rPr>
              <w:t xml:space="preserve">Тариф, руб./кВт ч</w:t>
            </w:r>
            <w:r/>
          </w:p>
        </w:tc>
        <w:tc>
          <w:tcPr>
            <w:tcW w:w="1131" w:type="dxa"/>
            <w:vAlign w:val="center"/>
            <w:textDirection w:val="lrTb"/>
            <w:noWrap w:val="false"/>
          </w:tcPr>
          <w:p>
            <w:pPr>
              <w:pStyle w:val="1063"/>
              <w:jc w:val="center"/>
              <w:widowControl w:val="off"/>
            </w:pPr>
            <w:r>
              <w:rPr>
                <w:rFonts w:ascii="Arial Narrow" w:hAnsi="Arial Narrow" w:cs="Calibri"/>
                <w:sz w:val="20"/>
                <w:szCs w:val="20"/>
              </w:rPr>
              <w:t xml:space="preserve">17,37</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17,46</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0,0850</w:t>
            </w:r>
            <w:r/>
          </w:p>
        </w:tc>
        <w:tc>
          <w:tcPr>
            <w:tcW w:w="1650" w:type="dxa"/>
            <w:vAlign w:val="center"/>
            <w:textDirection w:val="lrTb"/>
            <w:noWrap w:val="false"/>
          </w:tcPr>
          <w:p>
            <w:pPr>
              <w:pStyle w:val="1063"/>
              <w:jc w:val="center"/>
              <w:widowControl w:val="off"/>
            </w:pPr>
            <w:r>
              <w:rPr>
                <w:rFonts w:ascii="Arial Narrow" w:hAnsi="Arial Narrow" w:cs="Calibri"/>
                <w:sz w:val="20"/>
                <w:szCs w:val="20"/>
              </w:rPr>
              <w:t xml:space="preserve">1 879</w:t>
            </w:r>
            <w:r/>
          </w:p>
        </w:tc>
      </w:tr>
      <w:tr>
        <w:trPr>
          <w:trHeight w:val="40"/>
        </w:trPr>
        <w:tc>
          <w:tcPr>
            <w:tcW w:w="4668"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r>
            <w:r>
              <w:rPr>
                <w:rFonts w:ascii="Arial Narrow" w:hAnsi="Arial Narrow" w:cs="Calibri"/>
                <w:sz w:val="20"/>
                <w:szCs w:val="20"/>
              </w:rPr>
            </w:r>
            <w:r>
              <w:rPr>
                <w:rFonts w:ascii="Arial Narrow" w:hAnsi="Arial Narrow" w:cs="Calibri"/>
                <w:sz w:val="20"/>
                <w:szCs w:val="20"/>
              </w:rPr>
            </w:r>
          </w:p>
        </w:tc>
        <w:tc>
          <w:tcPr>
            <w:tcW w:w="1131"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r>
            <w:r>
              <w:rPr>
                <w:rFonts w:ascii="Arial Narrow" w:hAnsi="Arial Narrow" w:cs="Calibri"/>
                <w:sz w:val="20"/>
                <w:szCs w:val="20"/>
              </w:rPr>
            </w:r>
            <w:r>
              <w:rPr>
                <w:rFonts w:ascii="Arial Narrow" w:hAnsi="Arial Narrow" w:cs="Calibri"/>
                <w:sz w:val="20"/>
                <w:szCs w:val="20"/>
              </w:rPr>
            </w:r>
          </w:p>
        </w:tc>
        <w:tc>
          <w:tcPr>
            <w:tcW w:w="1276" w:type="dxa"/>
            <w:vAlign w:val="center"/>
            <w:textDirection w:val="lrTb"/>
            <w:noWrap w:val="false"/>
          </w:tcPr>
          <w:p>
            <w:pPr>
              <w:pStyle w:val="1063"/>
              <w:jc w:val="center"/>
              <w:widowControl w:val="off"/>
              <w:rPr>
                <w:rFonts w:ascii="Arial Narrow" w:hAnsi="Arial Narrow"/>
                <w:color w:val="0f0d29"/>
                <w:sz w:val="22"/>
              </w:rPr>
            </w:pPr>
            <w:r>
              <w:rPr>
                <w:rFonts w:ascii="Arial Narrow" w:hAnsi="Arial Narrow"/>
                <w:color w:val="0f0d29"/>
                <w:sz w:val="22"/>
              </w:rPr>
            </w:r>
            <w:r>
              <w:rPr>
                <w:rFonts w:ascii="Arial Narrow" w:hAnsi="Arial Narrow"/>
                <w:color w:val="0f0d29"/>
                <w:sz w:val="22"/>
              </w:rPr>
            </w:r>
            <w:r>
              <w:rPr>
                <w:rFonts w:ascii="Arial Narrow" w:hAnsi="Arial Narrow"/>
                <w:color w:val="0f0d29"/>
                <w:sz w:val="22"/>
              </w:rPr>
            </w:r>
          </w:p>
        </w:tc>
        <w:tc>
          <w:tcPr>
            <w:tcW w:w="1276" w:type="dxa"/>
            <w:vAlign w:val="center"/>
            <w:textDirection w:val="lrTb"/>
            <w:noWrap w:val="false"/>
          </w:tcPr>
          <w:p>
            <w:pPr>
              <w:pStyle w:val="1063"/>
              <w:jc w:val="center"/>
              <w:widowControl w:val="off"/>
              <w:rPr>
                <w:rFonts w:ascii="Arial Narrow" w:hAnsi="Arial Narrow"/>
                <w:color w:val="0f0d29"/>
                <w:sz w:val="22"/>
              </w:rPr>
            </w:pPr>
            <w:r>
              <w:rPr>
                <w:rFonts w:ascii="Arial Narrow" w:hAnsi="Arial Narrow"/>
                <w:color w:val="0f0d29"/>
                <w:sz w:val="22"/>
              </w:rPr>
            </w:r>
            <w:r>
              <w:rPr>
                <w:rFonts w:ascii="Arial Narrow" w:hAnsi="Arial Narrow"/>
                <w:color w:val="0f0d29"/>
                <w:sz w:val="22"/>
              </w:rPr>
            </w:r>
            <w:r>
              <w:rPr>
                <w:rFonts w:ascii="Arial Narrow" w:hAnsi="Arial Narrow"/>
                <w:color w:val="0f0d29"/>
                <w:sz w:val="22"/>
              </w:rPr>
            </w:r>
          </w:p>
        </w:tc>
        <w:tc>
          <w:tcPr>
            <w:tcW w:w="1650" w:type="dxa"/>
            <w:vAlign w:val="center"/>
            <w:textDirection w:val="lrTb"/>
            <w:noWrap w:val="false"/>
          </w:tcPr>
          <w:p>
            <w:pPr>
              <w:pStyle w:val="1063"/>
              <w:jc w:val="center"/>
              <w:widowControl w:val="off"/>
              <w:rPr>
                <w:rFonts w:ascii="Arial Narrow" w:hAnsi="Arial Narrow"/>
                <w:bCs/>
                <w:color w:val="0f0d29"/>
                <w:sz w:val="22"/>
              </w:rPr>
            </w:pPr>
            <w:r>
              <w:rPr>
                <w:rFonts w:ascii="Arial Narrow" w:hAnsi="Arial Narrow"/>
                <w:bCs/>
                <w:color w:val="0f0d29"/>
                <w:sz w:val="22"/>
              </w:rPr>
            </w:r>
            <w:r>
              <w:rPr>
                <w:rFonts w:ascii="Arial Narrow" w:hAnsi="Arial Narrow"/>
                <w:bCs/>
                <w:color w:val="0f0d29"/>
                <w:sz w:val="22"/>
              </w:rPr>
            </w:r>
            <w:r>
              <w:rPr>
                <w:rFonts w:ascii="Arial Narrow" w:hAnsi="Arial Narrow"/>
                <w:bCs/>
                <w:color w:val="0f0d29"/>
                <w:sz w:val="22"/>
              </w:rPr>
            </w:r>
          </w:p>
        </w:tc>
      </w:tr>
      <w:tr>
        <w:trPr>
          <w:trHeight w:val="40"/>
        </w:trPr>
        <w:tc>
          <w:tcPr>
            <w:tcW w:w="4668" w:type="dxa"/>
            <w:vAlign w:val="center"/>
            <w:textDirection w:val="lrTb"/>
            <w:noWrap w:val="false"/>
          </w:tcPr>
          <w:p>
            <w:pPr>
              <w:pStyle w:val="1063"/>
              <w:jc w:val="center"/>
              <w:widowControl w:val="off"/>
            </w:pPr>
            <w:r>
              <w:rPr>
                <w:rFonts w:ascii="Arial Narrow" w:hAnsi="Arial Narrow" w:cs="Calibri"/>
                <w:sz w:val="20"/>
                <w:szCs w:val="20"/>
              </w:rPr>
              <w:t xml:space="preserve">АО «Энергопрогноз», тыс. кВтч</w:t>
            </w:r>
            <w:r/>
          </w:p>
        </w:tc>
        <w:tc>
          <w:tcPr>
            <w:tcW w:w="1131" w:type="dxa"/>
            <w:vAlign w:val="center"/>
            <w:textDirection w:val="lrTb"/>
            <w:noWrap w:val="false"/>
          </w:tcPr>
          <w:p>
            <w:pPr>
              <w:pStyle w:val="1063"/>
              <w:jc w:val="center"/>
              <w:widowControl w:val="off"/>
            </w:pPr>
            <w:r>
              <w:rPr>
                <w:rFonts w:ascii="Arial Narrow" w:hAnsi="Arial Narrow" w:cs="Calibri"/>
                <w:sz w:val="20"/>
                <w:szCs w:val="20"/>
              </w:rPr>
              <w:t xml:space="preserve">120 166</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154 730</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34 564</w:t>
            </w:r>
            <w:r/>
          </w:p>
        </w:tc>
        <w:tc>
          <w:tcPr>
            <w:tcW w:w="1650" w:type="dxa"/>
            <w:vAlign w:val="center"/>
            <w:textDirection w:val="lrTb"/>
            <w:noWrap w:val="false"/>
          </w:tcPr>
          <w:p>
            <w:pPr>
              <w:pStyle w:val="1063"/>
              <w:jc w:val="center"/>
              <w:widowControl w:val="off"/>
            </w:pPr>
            <w:r>
              <w:rPr>
                <w:rFonts w:ascii="Arial Narrow" w:hAnsi="Arial Narrow" w:cs="Calibri"/>
                <w:sz w:val="20"/>
                <w:szCs w:val="20"/>
              </w:rPr>
              <w:t xml:space="preserve">847 277</w:t>
            </w:r>
            <w:r/>
          </w:p>
        </w:tc>
      </w:tr>
      <w:tr>
        <w:trPr>
          <w:trHeight w:val="40"/>
        </w:trPr>
        <w:tc>
          <w:tcPr>
            <w:tcW w:w="4668" w:type="dxa"/>
            <w:vAlign w:val="center"/>
            <w:textDirection w:val="lrTb"/>
            <w:noWrap w:val="false"/>
          </w:tcPr>
          <w:p>
            <w:pPr>
              <w:pStyle w:val="1063"/>
              <w:jc w:val="center"/>
              <w:widowControl w:val="off"/>
            </w:pPr>
            <w:r>
              <w:rPr>
                <w:rFonts w:ascii="Arial Narrow" w:hAnsi="Arial Narrow" w:cs="Calibri"/>
                <w:sz w:val="20"/>
                <w:szCs w:val="20"/>
              </w:rPr>
              <w:t xml:space="preserve">Тариф, руб./кВт ч</w:t>
            </w:r>
            <w:r/>
          </w:p>
        </w:tc>
        <w:tc>
          <w:tcPr>
            <w:tcW w:w="1131" w:type="dxa"/>
            <w:vAlign w:val="center"/>
            <w:textDirection w:val="lrTb"/>
            <w:noWrap w:val="false"/>
          </w:tcPr>
          <w:p>
            <w:pPr>
              <w:pStyle w:val="1063"/>
              <w:jc w:val="center"/>
              <w:widowControl w:val="off"/>
            </w:pPr>
            <w:r>
              <w:rPr>
                <w:rFonts w:ascii="Arial Narrow" w:hAnsi="Arial Narrow" w:cs="Calibri"/>
                <w:sz w:val="20"/>
                <w:szCs w:val="20"/>
              </w:rPr>
              <w:t xml:space="preserve">24,51</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28,53</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4,0174</w:t>
            </w:r>
            <w:r/>
          </w:p>
        </w:tc>
        <w:tc>
          <w:tcPr>
            <w:tcW w:w="1650" w:type="dxa"/>
            <w:vAlign w:val="center"/>
            <w:textDirection w:val="lrTb"/>
            <w:noWrap w:val="false"/>
          </w:tcPr>
          <w:p>
            <w:pPr>
              <w:pStyle w:val="1063"/>
              <w:jc w:val="center"/>
              <w:widowControl w:val="off"/>
            </w:pPr>
            <w:r>
              <w:rPr>
                <w:rFonts w:ascii="Arial Narrow" w:hAnsi="Arial Narrow" w:cs="Calibri"/>
                <w:sz w:val="20"/>
                <w:szCs w:val="20"/>
              </w:rPr>
              <w:t xml:space="preserve">621 607</w:t>
            </w:r>
            <w:r/>
          </w:p>
        </w:tc>
      </w:tr>
      <w:tr>
        <w:trPr>
          <w:trHeight w:val="43"/>
        </w:trPr>
        <w:tc>
          <w:tcPr>
            <w:tcW w:w="4668"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r>
            <w:r>
              <w:rPr>
                <w:rFonts w:ascii="Arial Narrow" w:hAnsi="Arial Narrow" w:cs="Calibri"/>
                <w:sz w:val="20"/>
                <w:szCs w:val="20"/>
              </w:rPr>
            </w:r>
            <w:r>
              <w:rPr>
                <w:rFonts w:ascii="Arial Narrow" w:hAnsi="Arial Narrow" w:cs="Calibri"/>
                <w:sz w:val="20"/>
                <w:szCs w:val="20"/>
              </w:rPr>
            </w:r>
          </w:p>
        </w:tc>
        <w:tc>
          <w:tcPr>
            <w:tcW w:w="1131"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r>
            <w:r>
              <w:rPr>
                <w:rFonts w:ascii="Arial Narrow" w:hAnsi="Arial Narrow" w:cs="Calibri"/>
                <w:sz w:val="20"/>
                <w:szCs w:val="20"/>
              </w:rPr>
            </w:r>
            <w:r>
              <w:rPr>
                <w:rFonts w:ascii="Arial Narrow" w:hAnsi="Arial Narrow" w:cs="Calibri"/>
                <w:sz w:val="20"/>
                <w:szCs w:val="20"/>
              </w:rPr>
            </w:r>
          </w:p>
        </w:tc>
        <w:tc>
          <w:tcPr>
            <w:tcW w:w="1276" w:type="dxa"/>
            <w:vAlign w:val="center"/>
            <w:textDirection w:val="lrTb"/>
            <w:noWrap w:val="false"/>
          </w:tcPr>
          <w:p>
            <w:pPr>
              <w:pStyle w:val="1063"/>
              <w:jc w:val="center"/>
              <w:widowControl w:val="off"/>
              <w:rPr>
                <w:rFonts w:ascii="Arial Narrow" w:hAnsi="Arial Narrow"/>
                <w:color w:val="0f0d29"/>
                <w:sz w:val="22"/>
              </w:rPr>
            </w:pPr>
            <w:r>
              <w:rPr>
                <w:rFonts w:ascii="Arial Narrow" w:hAnsi="Arial Narrow"/>
                <w:color w:val="0f0d29"/>
                <w:sz w:val="22"/>
              </w:rPr>
            </w:r>
            <w:r>
              <w:rPr>
                <w:rFonts w:ascii="Arial Narrow" w:hAnsi="Arial Narrow"/>
                <w:color w:val="0f0d29"/>
                <w:sz w:val="22"/>
              </w:rPr>
            </w:r>
            <w:r>
              <w:rPr>
                <w:rFonts w:ascii="Arial Narrow" w:hAnsi="Arial Narrow"/>
                <w:color w:val="0f0d29"/>
                <w:sz w:val="22"/>
              </w:rPr>
            </w:r>
          </w:p>
        </w:tc>
        <w:tc>
          <w:tcPr>
            <w:tcW w:w="1276" w:type="dxa"/>
            <w:vAlign w:val="center"/>
            <w:textDirection w:val="lrTb"/>
            <w:noWrap w:val="false"/>
          </w:tcPr>
          <w:p>
            <w:pPr>
              <w:pStyle w:val="1063"/>
              <w:jc w:val="center"/>
              <w:widowControl w:val="off"/>
              <w:rPr>
                <w:rFonts w:ascii="Arial Narrow" w:hAnsi="Arial Narrow"/>
                <w:color w:val="0f0d29"/>
                <w:sz w:val="22"/>
              </w:rPr>
            </w:pPr>
            <w:r>
              <w:rPr>
                <w:rFonts w:ascii="Arial Narrow" w:hAnsi="Arial Narrow"/>
                <w:color w:val="0f0d29"/>
                <w:sz w:val="22"/>
              </w:rPr>
            </w:r>
            <w:r>
              <w:rPr>
                <w:rFonts w:ascii="Arial Narrow" w:hAnsi="Arial Narrow"/>
                <w:color w:val="0f0d29"/>
                <w:sz w:val="22"/>
              </w:rPr>
            </w:r>
            <w:r>
              <w:rPr>
                <w:rFonts w:ascii="Arial Narrow" w:hAnsi="Arial Narrow"/>
                <w:color w:val="0f0d29"/>
                <w:sz w:val="22"/>
              </w:rPr>
            </w:r>
          </w:p>
        </w:tc>
        <w:tc>
          <w:tcPr>
            <w:tcW w:w="1650" w:type="dxa"/>
            <w:vAlign w:val="center"/>
            <w:textDirection w:val="lrTb"/>
            <w:noWrap w:val="false"/>
          </w:tcPr>
          <w:p>
            <w:pPr>
              <w:pStyle w:val="1063"/>
              <w:jc w:val="center"/>
              <w:widowControl w:val="off"/>
              <w:rPr>
                <w:rFonts w:ascii="Arial Narrow" w:hAnsi="Arial Narrow"/>
                <w:bCs/>
                <w:color w:val="0f0d29"/>
                <w:sz w:val="22"/>
              </w:rPr>
            </w:pPr>
            <w:r>
              <w:rPr>
                <w:rFonts w:ascii="Arial Narrow" w:hAnsi="Arial Narrow"/>
                <w:bCs/>
                <w:color w:val="0f0d29"/>
                <w:sz w:val="22"/>
              </w:rPr>
            </w:r>
            <w:r>
              <w:rPr>
                <w:rFonts w:ascii="Arial Narrow" w:hAnsi="Arial Narrow"/>
                <w:bCs/>
                <w:color w:val="0f0d29"/>
                <w:sz w:val="22"/>
              </w:rPr>
            </w:r>
            <w:r>
              <w:rPr>
                <w:rFonts w:ascii="Arial Narrow" w:hAnsi="Arial Narrow"/>
                <w:bCs/>
                <w:color w:val="0f0d29"/>
                <w:sz w:val="22"/>
              </w:rPr>
            </w:r>
          </w:p>
        </w:tc>
      </w:tr>
      <w:tr>
        <w:trPr>
          <w:trHeight w:val="300"/>
        </w:trPr>
        <w:tc>
          <w:tcPr>
            <w:tcW w:w="4668" w:type="dxa"/>
            <w:vAlign w:val="center"/>
            <w:textDirection w:val="lrTb"/>
            <w:noWrap w:val="false"/>
          </w:tcPr>
          <w:p>
            <w:pPr>
              <w:pStyle w:val="1063"/>
              <w:jc w:val="center"/>
              <w:widowControl w:val="off"/>
            </w:pPr>
            <w:r>
              <w:rPr>
                <w:rFonts w:ascii="Arial Narrow" w:hAnsi="Arial Narrow" w:cs="Calibri"/>
                <w:sz w:val="20"/>
                <w:szCs w:val="20"/>
              </w:rPr>
              <w:t xml:space="preserve">ООО «Электрические сети Ивашки», тыс. кВтч</w:t>
            </w:r>
            <w:r/>
          </w:p>
        </w:tc>
        <w:tc>
          <w:tcPr>
            <w:tcW w:w="1131" w:type="dxa"/>
            <w:vAlign w:val="center"/>
            <w:textDirection w:val="lrTb"/>
            <w:noWrap w:val="false"/>
          </w:tcPr>
          <w:p>
            <w:pPr>
              <w:pStyle w:val="1063"/>
              <w:jc w:val="center"/>
              <w:widowControl w:val="off"/>
            </w:pPr>
            <w:r>
              <w:rPr>
                <w:rFonts w:ascii="Arial Narrow" w:hAnsi="Arial Narrow" w:cs="Calibri"/>
                <w:sz w:val="20"/>
                <w:szCs w:val="20"/>
              </w:rPr>
              <w:t xml:space="preserve">2 751</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2 351</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-400</w:t>
            </w:r>
            <w:r/>
          </w:p>
        </w:tc>
        <w:tc>
          <w:tcPr>
            <w:tcW w:w="1650" w:type="dxa"/>
            <w:vAlign w:val="center"/>
            <w:textDirection w:val="lrTb"/>
            <w:noWrap w:val="false"/>
          </w:tcPr>
          <w:p>
            <w:pPr>
              <w:pStyle w:val="1063"/>
              <w:jc w:val="center"/>
              <w:widowControl w:val="off"/>
            </w:pPr>
            <w:r>
              <w:rPr>
                <w:rFonts w:ascii="Arial Narrow" w:hAnsi="Arial Narrow" w:cs="Calibri"/>
                <w:sz w:val="20"/>
                <w:szCs w:val="20"/>
              </w:rPr>
              <w:t xml:space="preserve">-10 365</w:t>
            </w:r>
            <w:r/>
          </w:p>
        </w:tc>
      </w:tr>
      <w:tr>
        <w:trPr>
          <w:trHeight w:val="40"/>
        </w:trPr>
        <w:tc>
          <w:tcPr>
            <w:tcW w:w="4668" w:type="dxa"/>
            <w:vAlign w:val="center"/>
            <w:textDirection w:val="lrTb"/>
            <w:noWrap w:val="false"/>
          </w:tcPr>
          <w:p>
            <w:pPr>
              <w:pStyle w:val="1063"/>
              <w:jc w:val="center"/>
              <w:widowControl w:val="off"/>
            </w:pPr>
            <w:r>
              <w:rPr>
                <w:rFonts w:ascii="Arial Narrow" w:hAnsi="Arial Narrow" w:cs="Calibri"/>
                <w:sz w:val="20"/>
                <w:szCs w:val="20"/>
              </w:rPr>
              <w:t xml:space="preserve">Тариф, руб./кВт ч</w:t>
            </w:r>
            <w:r/>
          </w:p>
        </w:tc>
        <w:tc>
          <w:tcPr>
            <w:tcW w:w="1131" w:type="dxa"/>
            <w:vAlign w:val="center"/>
            <w:textDirection w:val="lrTb"/>
            <w:noWrap w:val="false"/>
          </w:tcPr>
          <w:p>
            <w:pPr>
              <w:pStyle w:val="1063"/>
              <w:jc w:val="center"/>
              <w:widowControl w:val="off"/>
            </w:pPr>
            <w:r>
              <w:rPr>
                <w:rFonts w:ascii="Arial Narrow" w:hAnsi="Arial Narrow" w:cs="Calibri"/>
                <w:sz w:val="20"/>
                <w:szCs w:val="20"/>
              </w:rPr>
              <w:t xml:space="preserve">25,91</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30,13</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4,2227</w:t>
            </w:r>
            <w:r/>
          </w:p>
        </w:tc>
        <w:tc>
          <w:tcPr>
            <w:tcW w:w="1650" w:type="dxa"/>
            <w:vAlign w:val="center"/>
            <w:textDirection w:val="lrTb"/>
            <w:noWrap w:val="false"/>
          </w:tcPr>
          <w:p>
            <w:pPr>
              <w:pStyle w:val="1063"/>
              <w:jc w:val="center"/>
              <w:widowControl w:val="off"/>
            </w:pPr>
            <w:r>
              <w:rPr>
                <w:rFonts w:ascii="Arial Narrow" w:hAnsi="Arial Narrow" w:cs="Calibri"/>
                <w:sz w:val="20"/>
                <w:szCs w:val="20"/>
              </w:rPr>
              <w:t xml:space="preserve">9 928</w:t>
            </w:r>
            <w:r/>
          </w:p>
        </w:tc>
      </w:tr>
      <w:tr>
        <w:trPr>
          <w:trHeight w:val="40"/>
        </w:trPr>
        <w:tc>
          <w:tcPr>
            <w:tcW w:w="4668"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r>
            <w:r>
              <w:rPr>
                <w:rFonts w:ascii="Arial Narrow" w:hAnsi="Arial Narrow" w:cs="Calibri"/>
                <w:sz w:val="20"/>
                <w:szCs w:val="20"/>
              </w:rPr>
            </w:r>
            <w:r>
              <w:rPr>
                <w:rFonts w:ascii="Arial Narrow" w:hAnsi="Arial Narrow" w:cs="Calibri"/>
                <w:sz w:val="20"/>
                <w:szCs w:val="20"/>
              </w:rPr>
            </w:r>
          </w:p>
        </w:tc>
        <w:tc>
          <w:tcPr>
            <w:tcW w:w="1131"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r>
            <w:r>
              <w:rPr>
                <w:rFonts w:ascii="Arial Narrow" w:hAnsi="Arial Narrow" w:cs="Calibri"/>
                <w:sz w:val="20"/>
                <w:szCs w:val="20"/>
              </w:rPr>
            </w:r>
            <w:r>
              <w:rPr>
                <w:rFonts w:ascii="Arial Narrow" w:hAnsi="Arial Narrow" w:cs="Calibri"/>
                <w:sz w:val="20"/>
                <w:szCs w:val="20"/>
              </w:rPr>
            </w:r>
          </w:p>
        </w:tc>
        <w:tc>
          <w:tcPr>
            <w:tcW w:w="1276" w:type="dxa"/>
            <w:vAlign w:val="center"/>
            <w:textDirection w:val="lrTb"/>
            <w:noWrap w:val="false"/>
          </w:tcPr>
          <w:p>
            <w:pPr>
              <w:pStyle w:val="1063"/>
              <w:jc w:val="center"/>
              <w:widowControl w:val="off"/>
              <w:rPr>
                <w:rFonts w:ascii="Arial Narrow" w:hAnsi="Arial Narrow"/>
                <w:color w:val="0f0d29"/>
                <w:sz w:val="22"/>
              </w:rPr>
            </w:pPr>
            <w:r>
              <w:rPr>
                <w:rFonts w:ascii="Arial Narrow" w:hAnsi="Arial Narrow"/>
                <w:color w:val="0f0d29"/>
                <w:sz w:val="22"/>
              </w:rPr>
            </w:r>
            <w:r>
              <w:rPr>
                <w:rFonts w:ascii="Arial Narrow" w:hAnsi="Arial Narrow"/>
                <w:color w:val="0f0d29"/>
                <w:sz w:val="22"/>
              </w:rPr>
            </w:r>
            <w:r>
              <w:rPr>
                <w:rFonts w:ascii="Arial Narrow" w:hAnsi="Arial Narrow"/>
                <w:color w:val="0f0d29"/>
                <w:sz w:val="22"/>
              </w:rPr>
            </w:r>
          </w:p>
        </w:tc>
        <w:tc>
          <w:tcPr>
            <w:tcW w:w="1276" w:type="dxa"/>
            <w:vAlign w:val="center"/>
            <w:textDirection w:val="lrTb"/>
            <w:noWrap w:val="false"/>
          </w:tcPr>
          <w:p>
            <w:pPr>
              <w:pStyle w:val="1063"/>
              <w:jc w:val="center"/>
              <w:widowControl w:val="off"/>
              <w:rPr>
                <w:rFonts w:ascii="Arial Narrow" w:hAnsi="Arial Narrow"/>
                <w:color w:val="0f0d29"/>
                <w:sz w:val="22"/>
              </w:rPr>
            </w:pPr>
            <w:r>
              <w:rPr>
                <w:rFonts w:ascii="Arial Narrow" w:hAnsi="Arial Narrow"/>
                <w:color w:val="0f0d29"/>
                <w:sz w:val="22"/>
              </w:rPr>
            </w:r>
            <w:r>
              <w:rPr>
                <w:rFonts w:ascii="Arial Narrow" w:hAnsi="Arial Narrow"/>
                <w:color w:val="0f0d29"/>
                <w:sz w:val="22"/>
              </w:rPr>
            </w:r>
            <w:r>
              <w:rPr>
                <w:rFonts w:ascii="Arial Narrow" w:hAnsi="Arial Narrow"/>
                <w:color w:val="0f0d29"/>
                <w:sz w:val="22"/>
              </w:rPr>
            </w:r>
          </w:p>
        </w:tc>
        <w:tc>
          <w:tcPr>
            <w:tcW w:w="1650" w:type="dxa"/>
            <w:vAlign w:val="center"/>
            <w:textDirection w:val="lrTb"/>
            <w:noWrap w:val="false"/>
          </w:tcPr>
          <w:p>
            <w:pPr>
              <w:pStyle w:val="1063"/>
              <w:jc w:val="center"/>
              <w:widowControl w:val="off"/>
              <w:rPr>
                <w:rFonts w:ascii="Arial Narrow" w:hAnsi="Arial Narrow"/>
                <w:bCs/>
                <w:color w:val="0f0d29"/>
                <w:sz w:val="22"/>
              </w:rPr>
            </w:pPr>
            <w:r>
              <w:rPr>
                <w:rFonts w:ascii="Arial Narrow" w:hAnsi="Arial Narrow"/>
                <w:bCs/>
                <w:color w:val="0f0d29"/>
                <w:sz w:val="22"/>
              </w:rPr>
            </w:r>
            <w:r>
              <w:rPr>
                <w:rFonts w:ascii="Arial Narrow" w:hAnsi="Arial Narrow"/>
                <w:bCs/>
                <w:color w:val="0f0d29"/>
                <w:sz w:val="22"/>
              </w:rPr>
            </w:r>
            <w:r>
              <w:rPr>
                <w:rFonts w:ascii="Arial Narrow" w:hAnsi="Arial Narrow"/>
                <w:bCs/>
                <w:color w:val="0f0d29"/>
                <w:sz w:val="22"/>
              </w:rPr>
            </w:r>
          </w:p>
        </w:tc>
      </w:tr>
      <w:tr>
        <w:trPr>
          <w:trHeight w:val="40"/>
        </w:trPr>
        <w:tc>
          <w:tcPr>
            <w:tcW w:w="4668" w:type="dxa"/>
            <w:vAlign w:val="center"/>
            <w:textDirection w:val="lrTb"/>
            <w:noWrap w:val="false"/>
          </w:tcPr>
          <w:p>
            <w:pPr>
              <w:pStyle w:val="1063"/>
              <w:jc w:val="center"/>
              <w:widowControl w:val="off"/>
            </w:pPr>
            <w:r>
              <w:rPr>
                <w:rFonts w:ascii="Arial Narrow" w:hAnsi="Arial Narrow" w:cs="Calibri"/>
                <w:sz w:val="20"/>
                <w:szCs w:val="20"/>
              </w:rPr>
              <w:t xml:space="preserve">ООО «Вест», ООО «Форвард»  тыс. кВтч</w:t>
            </w:r>
            <w:r/>
          </w:p>
        </w:tc>
        <w:tc>
          <w:tcPr>
            <w:tcW w:w="1131" w:type="dxa"/>
            <w:vAlign w:val="center"/>
            <w:textDirection w:val="lrTb"/>
            <w:noWrap w:val="false"/>
          </w:tcPr>
          <w:p>
            <w:pPr>
              <w:pStyle w:val="1063"/>
              <w:jc w:val="center"/>
              <w:widowControl w:val="off"/>
            </w:pPr>
            <w:r>
              <w:rPr>
                <w:rFonts w:ascii="Arial Narrow" w:hAnsi="Arial Narrow" w:cs="Calibri"/>
                <w:sz w:val="20"/>
                <w:szCs w:val="20"/>
              </w:rPr>
              <w:t xml:space="preserve">1 027</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684</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-343</w:t>
            </w:r>
            <w:r/>
          </w:p>
        </w:tc>
        <w:tc>
          <w:tcPr>
            <w:tcW w:w="1650" w:type="dxa"/>
            <w:vAlign w:val="center"/>
            <w:textDirection w:val="lrTb"/>
            <w:noWrap w:val="false"/>
          </w:tcPr>
          <w:p>
            <w:pPr>
              <w:pStyle w:val="1063"/>
              <w:jc w:val="center"/>
              <w:widowControl w:val="off"/>
            </w:pPr>
            <w:r>
              <w:rPr>
                <w:rFonts w:ascii="Arial Narrow" w:hAnsi="Arial Narrow" w:cs="Calibri"/>
                <w:sz w:val="20"/>
                <w:szCs w:val="20"/>
              </w:rPr>
              <w:t xml:space="preserve">-9 094</w:t>
            </w:r>
            <w:r/>
          </w:p>
        </w:tc>
      </w:tr>
      <w:tr>
        <w:trPr>
          <w:trHeight w:val="40"/>
        </w:trPr>
        <w:tc>
          <w:tcPr>
            <w:tcW w:w="4668" w:type="dxa"/>
            <w:vAlign w:val="center"/>
            <w:textDirection w:val="lrTb"/>
            <w:noWrap w:val="false"/>
          </w:tcPr>
          <w:p>
            <w:pPr>
              <w:pStyle w:val="1063"/>
              <w:jc w:val="center"/>
              <w:widowControl w:val="off"/>
            </w:pPr>
            <w:r>
              <w:rPr>
                <w:rFonts w:ascii="Arial Narrow" w:hAnsi="Arial Narrow" w:cs="Calibri"/>
                <w:sz w:val="20"/>
                <w:szCs w:val="20"/>
              </w:rPr>
              <w:t xml:space="preserve">Тариф, руб./кВт ч</w:t>
            </w:r>
            <w:r/>
          </w:p>
        </w:tc>
        <w:tc>
          <w:tcPr>
            <w:tcW w:w="1131" w:type="dxa"/>
            <w:vAlign w:val="center"/>
            <w:textDirection w:val="lrTb"/>
            <w:noWrap w:val="false"/>
          </w:tcPr>
          <w:p>
            <w:pPr>
              <w:pStyle w:val="1063"/>
              <w:jc w:val="center"/>
              <w:widowControl w:val="off"/>
            </w:pPr>
            <w:r>
              <w:rPr>
                <w:rFonts w:ascii="Arial Narrow" w:hAnsi="Arial Narrow" w:cs="Calibri"/>
                <w:sz w:val="20"/>
                <w:szCs w:val="20"/>
              </w:rPr>
              <w:t xml:space="preserve">26,51</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29,26</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2,7490</w:t>
            </w:r>
            <w:r/>
          </w:p>
        </w:tc>
        <w:tc>
          <w:tcPr>
            <w:tcW w:w="1650" w:type="dxa"/>
            <w:vAlign w:val="center"/>
            <w:textDirection w:val="lrTb"/>
            <w:noWrap w:val="false"/>
          </w:tcPr>
          <w:p>
            <w:pPr>
              <w:pStyle w:val="1063"/>
              <w:jc w:val="center"/>
              <w:widowControl w:val="off"/>
            </w:pPr>
            <w:r>
              <w:rPr>
                <w:rFonts w:ascii="Arial Narrow" w:hAnsi="Arial Narrow" w:cs="Calibri"/>
                <w:sz w:val="20"/>
                <w:szCs w:val="20"/>
              </w:rPr>
              <w:t xml:space="preserve">1 880</w:t>
            </w:r>
            <w:r/>
          </w:p>
        </w:tc>
      </w:tr>
      <w:tr>
        <w:trPr>
          <w:trHeight w:val="40"/>
        </w:trPr>
        <w:tc>
          <w:tcPr>
            <w:tcW w:w="4668"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r>
            <w:r>
              <w:rPr>
                <w:rFonts w:ascii="Arial Narrow" w:hAnsi="Arial Narrow" w:cs="Calibri"/>
                <w:sz w:val="20"/>
                <w:szCs w:val="20"/>
              </w:rPr>
            </w:r>
            <w:r>
              <w:rPr>
                <w:rFonts w:ascii="Arial Narrow" w:hAnsi="Arial Narrow" w:cs="Calibri"/>
                <w:sz w:val="20"/>
                <w:szCs w:val="20"/>
              </w:rPr>
            </w:r>
          </w:p>
        </w:tc>
        <w:tc>
          <w:tcPr>
            <w:tcW w:w="1131"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r>
            <w:r>
              <w:rPr>
                <w:rFonts w:ascii="Arial Narrow" w:hAnsi="Arial Narrow" w:cs="Calibri"/>
                <w:sz w:val="20"/>
                <w:szCs w:val="20"/>
              </w:rPr>
            </w:r>
            <w:r>
              <w:rPr>
                <w:rFonts w:ascii="Arial Narrow" w:hAnsi="Arial Narrow" w:cs="Calibri"/>
                <w:sz w:val="20"/>
                <w:szCs w:val="20"/>
              </w:rPr>
            </w:r>
          </w:p>
        </w:tc>
        <w:tc>
          <w:tcPr>
            <w:tcW w:w="1276" w:type="dxa"/>
            <w:vAlign w:val="center"/>
            <w:textDirection w:val="lrTb"/>
            <w:noWrap w:val="false"/>
          </w:tcPr>
          <w:p>
            <w:pPr>
              <w:pStyle w:val="1063"/>
              <w:jc w:val="center"/>
              <w:widowControl w:val="off"/>
              <w:rPr>
                <w:rFonts w:ascii="Arial Narrow" w:hAnsi="Arial Narrow"/>
                <w:color w:val="0f0d29"/>
                <w:sz w:val="22"/>
              </w:rPr>
            </w:pPr>
            <w:r>
              <w:rPr>
                <w:rFonts w:ascii="Arial Narrow" w:hAnsi="Arial Narrow"/>
                <w:color w:val="0f0d29"/>
                <w:sz w:val="22"/>
              </w:rPr>
            </w:r>
            <w:r>
              <w:rPr>
                <w:rFonts w:ascii="Arial Narrow" w:hAnsi="Arial Narrow"/>
                <w:color w:val="0f0d29"/>
                <w:sz w:val="22"/>
              </w:rPr>
            </w:r>
            <w:r>
              <w:rPr>
                <w:rFonts w:ascii="Arial Narrow" w:hAnsi="Arial Narrow"/>
                <w:color w:val="0f0d29"/>
                <w:sz w:val="22"/>
              </w:rPr>
            </w:r>
          </w:p>
        </w:tc>
        <w:tc>
          <w:tcPr>
            <w:tcW w:w="1276" w:type="dxa"/>
            <w:vAlign w:val="center"/>
            <w:textDirection w:val="lrTb"/>
            <w:noWrap w:val="false"/>
          </w:tcPr>
          <w:p>
            <w:pPr>
              <w:pStyle w:val="1063"/>
              <w:jc w:val="center"/>
              <w:widowControl w:val="off"/>
              <w:rPr>
                <w:rFonts w:ascii="Arial Narrow" w:hAnsi="Arial Narrow"/>
                <w:color w:val="0f0d29"/>
                <w:sz w:val="22"/>
              </w:rPr>
            </w:pPr>
            <w:r>
              <w:rPr>
                <w:rFonts w:ascii="Arial Narrow" w:hAnsi="Arial Narrow"/>
                <w:color w:val="0f0d29"/>
                <w:sz w:val="22"/>
              </w:rPr>
            </w:r>
            <w:r>
              <w:rPr>
                <w:rFonts w:ascii="Arial Narrow" w:hAnsi="Arial Narrow"/>
                <w:color w:val="0f0d29"/>
                <w:sz w:val="22"/>
              </w:rPr>
            </w:r>
            <w:r>
              <w:rPr>
                <w:rFonts w:ascii="Arial Narrow" w:hAnsi="Arial Narrow"/>
                <w:color w:val="0f0d29"/>
                <w:sz w:val="22"/>
              </w:rPr>
            </w:r>
          </w:p>
        </w:tc>
        <w:tc>
          <w:tcPr>
            <w:tcW w:w="1650" w:type="dxa"/>
            <w:vAlign w:val="center"/>
            <w:textDirection w:val="lrTb"/>
            <w:noWrap w:val="false"/>
          </w:tcPr>
          <w:p>
            <w:pPr>
              <w:pStyle w:val="1063"/>
              <w:jc w:val="center"/>
              <w:widowControl w:val="off"/>
              <w:rPr>
                <w:rFonts w:ascii="Arial Narrow" w:hAnsi="Arial Narrow"/>
                <w:bCs/>
                <w:color w:val="0f0d29"/>
                <w:sz w:val="22"/>
              </w:rPr>
            </w:pPr>
            <w:r>
              <w:rPr>
                <w:rFonts w:ascii="Arial Narrow" w:hAnsi="Arial Narrow"/>
                <w:bCs/>
                <w:color w:val="0f0d29"/>
                <w:sz w:val="22"/>
              </w:rPr>
            </w:r>
            <w:r>
              <w:rPr>
                <w:rFonts w:ascii="Arial Narrow" w:hAnsi="Arial Narrow"/>
                <w:bCs/>
                <w:color w:val="0f0d29"/>
                <w:sz w:val="22"/>
              </w:rPr>
            </w:r>
            <w:r>
              <w:rPr>
                <w:rFonts w:ascii="Arial Narrow" w:hAnsi="Arial Narrow"/>
                <w:bCs/>
                <w:color w:val="0f0d29"/>
                <w:sz w:val="22"/>
              </w:rPr>
            </w:r>
          </w:p>
        </w:tc>
      </w:tr>
      <w:tr>
        <w:trPr>
          <w:trHeight w:val="87"/>
        </w:trPr>
        <w:tc>
          <w:tcPr>
            <w:tcW w:w="4668" w:type="dxa"/>
            <w:vAlign w:val="center"/>
            <w:textDirection w:val="lrTb"/>
            <w:noWrap w:val="false"/>
          </w:tcPr>
          <w:p>
            <w:pPr>
              <w:pStyle w:val="1063"/>
              <w:jc w:val="center"/>
              <w:widowControl w:val="off"/>
            </w:pPr>
            <w:r>
              <w:rPr>
                <w:rFonts w:ascii="Arial Narrow" w:hAnsi="Arial Narrow" w:cs="Calibri"/>
                <w:sz w:val="20"/>
                <w:szCs w:val="20"/>
              </w:rPr>
              <w:t xml:space="preserve">ООО ГК «Пенжинский» (Тайгонос), тыс. кВтч</w:t>
            </w:r>
            <w:r/>
          </w:p>
        </w:tc>
        <w:tc>
          <w:tcPr>
            <w:tcW w:w="1131" w:type="dxa"/>
            <w:vAlign w:val="center"/>
            <w:textDirection w:val="lrTb"/>
            <w:noWrap w:val="false"/>
          </w:tcPr>
          <w:p>
            <w:pPr>
              <w:pStyle w:val="1063"/>
              <w:jc w:val="center"/>
              <w:widowControl w:val="off"/>
            </w:pPr>
            <w:r>
              <w:rPr>
                <w:rFonts w:ascii="Arial Narrow" w:hAnsi="Arial Narrow" w:cs="Calibri"/>
                <w:sz w:val="20"/>
                <w:szCs w:val="20"/>
              </w:rPr>
              <w:t xml:space="preserve">3 437</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4 414</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977</w:t>
            </w:r>
            <w:r/>
          </w:p>
        </w:tc>
        <w:tc>
          <w:tcPr>
            <w:tcW w:w="1650" w:type="dxa"/>
            <w:vAlign w:val="center"/>
            <w:textDirection w:val="lrTb"/>
            <w:noWrap w:val="false"/>
          </w:tcPr>
          <w:p>
            <w:pPr>
              <w:pStyle w:val="1063"/>
              <w:jc w:val="center"/>
              <w:widowControl w:val="off"/>
            </w:pPr>
            <w:r>
              <w:rPr>
                <w:rFonts w:ascii="Arial Narrow" w:hAnsi="Arial Narrow" w:cs="Calibri"/>
                <w:sz w:val="20"/>
                <w:szCs w:val="20"/>
              </w:rPr>
              <w:t xml:space="preserve">31 351</w:t>
            </w:r>
            <w:r/>
          </w:p>
        </w:tc>
      </w:tr>
      <w:tr>
        <w:trPr>
          <w:trHeight w:val="40"/>
        </w:trPr>
        <w:tc>
          <w:tcPr>
            <w:tcW w:w="4668" w:type="dxa"/>
            <w:vAlign w:val="center"/>
            <w:textDirection w:val="lrTb"/>
            <w:noWrap w:val="false"/>
          </w:tcPr>
          <w:p>
            <w:pPr>
              <w:pStyle w:val="1063"/>
              <w:jc w:val="center"/>
              <w:widowControl w:val="off"/>
            </w:pPr>
            <w:r>
              <w:rPr>
                <w:rFonts w:ascii="Arial Narrow" w:hAnsi="Arial Narrow" w:cs="Calibri"/>
                <w:sz w:val="20"/>
                <w:szCs w:val="20"/>
              </w:rPr>
              <w:t xml:space="preserve">Тариф, руб./кВт ч</w:t>
            </w:r>
            <w:r/>
          </w:p>
        </w:tc>
        <w:tc>
          <w:tcPr>
            <w:tcW w:w="1131" w:type="dxa"/>
            <w:vAlign w:val="center"/>
            <w:textDirection w:val="lrTb"/>
            <w:noWrap w:val="false"/>
          </w:tcPr>
          <w:p>
            <w:pPr>
              <w:pStyle w:val="1063"/>
              <w:jc w:val="center"/>
              <w:widowControl w:val="off"/>
            </w:pPr>
            <w:r>
              <w:rPr>
                <w:rFonts w:ascii="Arial Narrow" w:hAnsi="Arial Narrow" w:cs="Calibri"/>
                <w:sz w:val="20"/>
                <w:szCs w:val="20"/>
              </w:rPr>
              <w:t xml:space="preserve">32,09</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28,03</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-4,0556</w:t>
            </w:r>
            <w:r/>
          </w:p>
        </w:tc>
        <w:tc>
          <w:tcPr>
            <w:tcW w:w="1650" w:type="dxa"/>
            <w:vAlign w:val="center"/>
            <w:textDirection w:val="lrTb"/>
            <w:noWrap w:val="false"/>
          </w:tcPr>
          <w:p>
            <w:pPr>
              <w:pStyle w:val="1063"/>
              <w:jc w:val="center"/>
              <w:widowControl w:val="off"/>
            </w:pPr>
            <w:r>
              <w:rPr>
                <w:rFonts w:ascii="Arial Narrow" w:hAnsi="Arial Narrow" w:cs="Calibri"/>
                <w:sz w:val="20"/>
                <w:szCs w:val="20"/>
              </w:rPr>
              <w:t xml:space="preserve">-17 901</w:t>
            </w:r>
            <w:r/>
          </w:p>
        </w:tc>
      </w:tr>
      <w:tr>
        <w:trPr>
          <w:trHeight w:val="40"/>
        </w:trPr>
        <w:tc>
          <w:tcPr>
            <w:tcW w:w="4668" w:type="dxa"/>
            <w:vAlign w:val="center"/>
            <w:textDirection w:val="lrTb"/>
            <w:noWrap w:val="false"/>
          </w:tcPr>
          <w:p>
            <w:pPr>
              <w:pStyle w:val="1063"/>
              <w:jc w:val="center"/>
              <w:widowControl w:val="off"/>
            </w:pPr>
            <w:r>
              <w:rPr>
                <w:rFonts w:ascii="Arial Narrow" w:hAnsi="Arial Narrow" w:cs="Calibri"/>
                <w:sz w:val="20"/>
                <w:szCs w:val="20"/>
              </w:rPr>
              <w:t xml:space="preserve">Стоимость покупной электроэнергии всего, тыс. рублей</w:t>
            </w:r>
            <w:r/>
          </w:p>
        </w:tc>
        <w:tc>
          <w:tcPr>
            <w:tcW w:w="1131" w:type="dxa"/>
            <w:vAlign w:val="center"/>
            <w:textDirection w:val="lrTb"/>
            <w:noWrap w:val="false"/>
          </w:tcPr>
          <w:p>
            <w:pPr>
              <w:pStyle w:val="1063"/>
              <w:jc w:val="center"/>
              <w:widowControl w:val="off"/>
            </w:pPr>
            <w:r>
              <w:rPr>
                <w:rFonts w:ascii="Arial Narrow" w:hAnsi="Arial Narrow" w:cs="Calibri"/>
                <w:sz w:val="20"/>
                <w:szCs w:val="20"/>
              </w:rPr>
              <w:t xml:space="preserve">5 209 641</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6 354 734</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1 145 093</w:t>
            </w:r>
            <w:r/>
          </w:p>
        </w:tc>
        <w:tc>
          <w:tcPr>
            <w:tcW w:w="1650" w:type="dxa"/>
            <w:vAlign w:val="center"/>
            <w:textDirection w:val="lrTb"/>
            <w:noWrap w:val="false"/>
          </w:tcPr>
          <w:p>
            <w:pPr>
              <w:pStyle w:val="1063"/>
              <w:jc w:val="center"/>
              <w:widowControl w:val="off"/>
              <w:rPr>
                <w:rFonts w:ascii="Arial Narrow" w:hAnsi="Arial Narrow"/>
                <w:bCs/>
                <w:i/>
                <w:color w:val="0f0d29"/>
                <w:sz w:val="22"/>
              </w:rPr>
            </w:pPr>
            <w:r>
              <w:rPr>
                <w:rFonts w:ascii="Arial Narrow" w:hAnsi="Arial Narrow"/>
                <w:bCs/>
                <w:i/>
                <w:color w:val="0f0d29"/>
                <w:sz w:val="22"/>
              </w:rPr>
            </w:r>
            <w:r>
              <w:rPr>
                <w:rFonts w:ascii="Arial Narrow" w:hAnsi="Arial Narrow"/>
                <w:bCs/>
                <w:i/>
                <w:color w:val="0f0d29"/>
                <w:sz w:val="22"/>
              </w:rPr>
            </w:r>
            <w:r>
              <w:rPr>
                <w:rFonts w:ascii="Arial Narrow" w:hAnsi="Arial Narrow"/>
                <w:bCs/>
                <w:i/>
                <w:color w:val="0f0d29"/>
                <w:sz w:val="22"/>
              </w:rPr>
            </w:r>
          </w:p>
        </w:tc>
      </w:tr>
      <w:tr>
        <w:trPr>
          <w:trHeight w:val="40"/>
        </w:trPr>
        <w:tc>
          <w:tcPr>
            <w:tcW w:w="4668" w:type="dxa"/>
            <w:vAlign w:val="center"/>
            <w:textDirection w:val="lrTb"/>
            <w:noWrap w:val="false"/>
          </w:tcPr>
          <w:p>
            <w:pPr>
              <w:pStyle w:val="1063"/>
              <w:jc w:val="center"/>
              <w:widowControl w:val="off"/>
            </w:pPr>
            <w:r>
              <w:rPr>
                <w:rFonts w:ascii="Arial Narrow" w:hAnsi="Arial Narrow" w:cs="Calibri"/>
                <w:sz w:val="20"/>
                <w:szCs w:val="20"/>
              </w:rPr>
              <w:t xml:space="preserve">ПАО «Камчатскэнерго-ДУ»</w:t>
            </w:r>
            <w:r/>
          </w:p>
        </w:tc>
        <w:tc>
          <w:tcPr>
            <w:shd w:val="clear" w:color="auto" w:fill="ffffff"/>
            <w:tcW w:w="1131" w:type="dxa"/>
            <w:vAlign w:val="center"/>
            <w:textDirection w:val="lrTb"/>
            <w:noWrap w:val="false"/>
          </w:tcPr>
          <w:p>
            <w:pPr>
              <w:pStyle w:val="1063"/>
              <w:jc w:val="center"/>
              <w:widowControl w:val="off"/>
            </w:pPr>
            <w:r>
              <w:rPr>
                <w:rFonts w:ascii="Arial Narrow" w:hAnsi="Arial Narrow" w:cs="Calibri"/>
                <w:sz w:val="20"/>
                <w:szCs w:val="20"/>
              </w:rPr>
              <w:t xml:space="preserve">470 431</w:t>
            </w:r>
            <w:r/>
          </w:p>
        </w:tc>
        <w:tc>
          <w:tcPr>
            <w:shd w:val="clear" w:color="auto" w:fill="ffffff"/>
            <w:tcW w:w="1276" w:type="dxa"/>
            <w:vAlign w:val="center"/>
            <w:textDirection w:val="lrTb"/>
            <w:noWrap w:val="false"/>
          </w:tcPr>
          <w:p>
            <w:pPr>
              <w:pStyle w:val="1063"/>
              <w:jc w:val="center"/>
              <w:widowControl w:val="off"/>
            </w:pPr>
            <w:r>
              <w:rPr>
                <w:rFonts w:ascii="Arial Narrow" w:hAnsi="Arial Narrow" w:cs="Calibri"/>
                <w:sz w:val="20"/>
                <w:szCs w:val="20"/>
              </w:rPr>
              <w:t xml:space="preserve">460 581</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-9 850</w:t>
            </w:r>
            <w:r/>
          </w:p>
        </w:tc>
        <w:tc>
          <w:tcPr>
            <w:tcW w:w="1650" w:type="dxa"/>
            <w:vAlign w:val="center"/>
            <w:textDirection w:val="lrTb"/>
            <w:noWrap w:val="false"/>
          </w:tcPr>
          <w:p>
            <w:pPr>
              <w:pStyle w:val="1063"/>
              <w:jc w:val="center"/>
              <w:widowControl w:val="off"/>
              <w:rPr>
                <w:rFonts w:ascii="Arial Narrow" w:hAnsi="Arial Narrow"/>
                <w:bCs/>
                <w:color w:val="0f0d29"/>
                <w:sz w:val="22"/>
              </w:rPr>
            </w:pPr>
            <w:r>
              <w:rPr>
                <w:rFonts w:ascii="Arial Narrow" w:hAnsi="Arial Narrow"/>
                <w:bCs/>
                <w:color w:val="0f0d29"/>
                <w:sz w:val="22"/>
              </w:rPr>
            </w:r>
            <w:r>
              <w:rPr>
                <w:rFonts w:ascii="Arial Narrow" w:hAnsi="Arial Narrow"/>
                <w:bCs/>
                <w:color w:val="0f0d29"/>
                <w:sz w:val="22"/>
              </w:rPr>
            </w:r>
            <w:r>
              <w:rPr>
                <w:rFonts w:ascii="Arial Narrow" w:hAnsi="Arial Narrow"/>
                <w:bCs/>
                <w:color w:val="0f0d29"/>
                <w:sz w:val="22"/>
              </w:rPr>
            </w:r>
          </w:p>
        </w:tc>
      </w:tr>
      <w:tr>
        <w:trPr>
          <w:trHeight w:val="40"/>
        </w:trPr>
        <w:tc>
          <w:tcPr>
            <w:tcW w:w="4668" w:type="dxa"/>
            <w:vAlign w:val="center"/>
            <w:textDirection w:val="lrTb"/>
            <w:noWrap w:val="false"/>
          </w:tcPr>
          <w:p>
            <w:pPr>
              <w:pStyle w:val="1063"/>
              <w:jc w:val="center"/>
              <w:widowControl w:val="off"/>
            </w:pPr>
            <w:r>
              <w:rPr>
                <w:rFonts w:ascii="Arial Narrow" w:hAnsi="Arial Narrow" w:cs="Calibri"/>
                <w:sz w:val="20"/>
                <w:szCs w:val="20"/>
              </w:rPr>
              <w:t xml:space="preserve">АО «Корякэнерго»</w:t>
            </w:r>
            <w:r/>
          </w:p>
        </w:tc>
        <w:tc>
          <w:tcPr>
            <w:tcW w:w="1131" w:type="dxa"/>
            <w:vAlign w:val="center"/>
            <w:textDirection w:val="lrTb"/>
            <w:noWrap w:val="false"/>
          </w:tcPr>
          <w:p>
            <w:pPr>
              <w:pStyle w:val="1063"/>
              <w:jc w:val="center"/>
              <w:widowControl w:val="off"/>
            </w:pPr>
            <w:r>
              <w:rPr>
                <w:rFonts w:ascii="Arial Narrow" w:hAnsi="Arial Narrow" w:cs="Calibri"/>
                <w:sz w:val="20"/>
                <w:szCs w:val="20"/>
              </w:rPr>
              <w:t xml:space="preserve">1 163 587</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879 268</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-284 319</w:t>
            </w:r>
            <w:r/>
          </w:p>
        </w:tc>
        <w:tc>
          <w:tcPr>
            <w:tcW w:w="1650" w:type="dxa"/>
            <w:vAlign w:val="center"/>
            <w:textDirection w:val="lrTb"/>
            <w:noWrap w:val="false"/>
          </w:tcPr>
          <w:p>
            <w:pPr>
              <w:pStyle w:val="1063"/>
              <w:jc w:val="center"/>
              <w:widowControl w:val="off"/>
              <w:rPr>
                <w:rFonts w:ascii="Arial Narrow" w:hAnsi="Arial Narrow"/>
                <w:bCs/>
                <w:color w:val="0f0d29"/>
                <w:sz w:val="22"/>
              </w:rPr>
            </w:pPr>
            <w:r>
              <w:rPr>
                <w:rFonts w:ascii="Arial Narrow" w:hAnsi="Arial Narrow"/>
                <w:bCs/>
                <w:color w:val="0f0d29"/>
                <w:sz w:val="22"/>
              </w:rPr>
            </w:r>
            <w:r>
              <w:rPr>
                <w:rFonts w:ascii="Arial Narrow" w:hAnsi="Arial Narrow"/>
                <w:bCs/>
                <w:color w:val="0f0d29"/>
                <w:sz w:val="22"/>
              </w:rPr>
            </w:r>
            <w:r>
              <w:rPr>
                <w:rFonts w:ascii="Arial Narrow" w:hAnsi="Arial Narrow"/>
                <w:bCs/>
                <w:color w:val="0f0d29"/>
                <w:sz w:val="22"/>
              </w:rPr>
            </w:r>
          </w:p>
        </w:tc>
      </w:tr>
      <w:tr>
        <w:trPr>
          <w:trHeight w:val="40"/>
        </w:trPr>
        <w:tc>
          <w:tcPr>
            <w:tcW w:w="4668" w:type="dxa"/>
            <w:vAlign w:val="center"/>
            <w:textDirection w:val="lrTb"/>
            <w:noWrap w:val="false"/>
          </w:tcPr>
          <w:p>
            <w:pPr>
              <w:pStyle w:val="1063"/>
              <w:jc w:val="center"/>
              <w:widowControl w:val="off"/>
            </w:pPr>
            <w:r>
              <w:rPr>
                <w:rFonts w:ascii="Arial Narrow" w:hAnsi="Arial Narrow" w:cs="Calibri"/>
                <w:sz w:val="20"/>
                <w:szCs w:val="20"/>
              </w:rPr>
              <w:t xml:space="preserve">АО «КЭС им Пискунова И.А.»</w:t>
            </w:r>
            <w:r/>
          </w:p>
        </w:tc>
        <w:tc>
          <w:tcPr>
            <w:tcW w:w="1131" w:type="dxa"/>
            <w:vAlign w:val="center"/>
            <w:textDirection w:val="lrTb"/>
            <w:noWrap w:val="false"/>
          </w:tcPr>
          <w:p>
            <w:pPr>
              <w:pStyle w:val="1063"/>
              <w:jc w:val="center"/>
              <w:widowControl w:val="off"/>
            </w:pPr>
            <w:r>
              <w:rPr>
                <w:rFonts w:ascii="Arial Narrow" w:hAnsi="Arial Narrow" w:cs="Calibri"/>
                <w:sz w:val="20"/>
                <w:szCs w:val="20"/>
              </w:rPr>
              <w:t xml:space="preserve">421 158</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385 737</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-35 421</w:t>
            </w:r>
            <w:r/>
          </w:p>
        </w:tc>
        <w:tc>
          <w:tcPr>
            <w:tcW w:w="1650" w:type="dxa"/>
            <w:vAlign w:val="center"/>
            <w:textDirection w:val="lrTb"/>
            <w:noWrap w:val="false"/>
          </w:tcPr>
          <w:p>
            <w:pPr>
              <w:pStyle w:val="1063"/>
              <w:jc w:val="center"/>
              <w:widowControl w:val="off"/>
              <w:rPr>
                <w:rFonts w:ascii="Arial Narrow" w:hAnsi="Arial Narrow"/>
                <w:bCs/>
                <w:color w:val="0f0d29"/>
                <w:sz w:val="22"/>
              </w:rPr>
            </w:pPr>
            <w:r>
              <w:rPr>
                <w:rFonts w:ascii="Arial Narrow" w:hAnsi="Arial Narrow"/>
                <w:bCs/>
                <w:color w:val="0f0d29"/>
                <w:sz w:val="22"/>
              </w:rPr>
            </w:r>
            <w:r>
              <w:rPr>
                <w:rFonts w:ascii="Arial Narrow" w:hAnsi="Arial Narrow"/>
                <w:bCs/>
                <w:color w:val="0f0d29"/>
                <w:sz w:val="22"/>
              </w:rPr>
            </w:r>
            <w:r>
              <w:rPr>
                <w:rFonts w:ascii="Arial Narrow" w:hAnsi="Arial Narrow"/>
                <w:bCs/>
                <w:color w:val="0f0d29"/>
                <w:sz w:val="22"/>
              </w:rPr>
            </w:r>
          </w:p>
        </w:tc>
      </w:tr>
      <w:tr>
        <w:trPr>
          <w:trHeight w:val="40"/>
        </w:trPr>
        <w:tc>
          <w:tcPr>
            <w:tcW w:w="4668" w:type="dxa"/>
            <w:vAlign w:val="center"/>
            <w:textDirection w:val="lrTb"/>
            <w:noWrap w:val="false"/>
          </w:tcPr>
          <w:p>
            <w:pPr>
              <w:pStyle w:val="1063"/>
              <w:jc w:val="center"/>
              <w:widowControl w:val="off"/>
            </w:pPr>
            <w:r>
              <w:rPr>
                <w:rFonts w:ascii="Arial Narrow" w:hAnsi="Arial Narrow" w:cs="Calibri"/>
                <w:sz w:val="20"/>
                <w:szCs w:val="20"/>
              </w:rPr>
              <w:t xml:space="preserve">АО «Энергопрогноз»</w:t>
            </w:r>
            <w:r/>
          </w:p>
        </w:tc>
        <w:tc>
          <w:tcPr>
            <w:tcW w:w="1131" w:type="dxa"/>
            <w:vAlign w:val="center"/>
            <w:textDirection w:val="lrTb"/>
            <w:noWrap w:val="false"/>
          </w:tcPr>
          <w:p>
            <w:pPr>
              <w:pStyle w:val="1063"/>
              <w:jc w:val="center"/>
              <w:widowControl w:val="off"/>
            </w:pPr>
            <w:r>
              <w:rPr>
                <w:rFonts w:ascii="Arial Narrow" w:hAnsi="Arial Narrow" w:cs="Calibri"/>
                <w:sz w:val="20"/>
                <w:szCs w:val="20"/>
              </w:rPr>
              <w:t xml:space="preserve">2 945 662</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4 414 546</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1 468 884</w:t>
            </w:r>
            <w:r/>
          </w:p>
        </w:tc>
        <w:tc>
          <w:tcPr>
            <w:tcW w:w="1650" w:type="dxa"/>
            <w:vAlign w:val="center"/>
            <w:textDirection w:val="lrTb"/>
            <w:noWrap w:val="false"/>
          </w:tcPr>
          <w:p>
            <w:pPr>
              <w:pStyle w:val="1063"/>
              <w:jc w:val="center"/>
              <w:widowControl w:val="off"/>
              <w:rPr>
                <w:rFonts w:ascii="Arial Narrow" w:hAnsi="Arial Narrow"/>
                <w:bCs/>
                <w:color w:val="0f0d29"/>
                <w:sz w:val="22"/>
              </w:rPr>
            </w:pPr>
            <w:r>
              <w:rPr>
                <w:rFonts w:ascii="Arial Narrow" w:hAnsi="Arial Narrow"/>
                <w:bCs/>
                <w:color w:val="0f0d29"/>
                <w:sz w:val="22"/>
              </w:rPr>
            </w:r>
            <w:r>
              <w:rPr>
                <w:rFonts w:ascii="Arial Narrow" w:hAnsi="Arial Narrow"/>
                <w:bCs/>
                <w:color w:val="0f0d29"/>
                <w:sz w:val="22"/>
              </w:rPr>
            </w:r>
            <w:r>
              <w:rPr>
                <w:rFonts w:ascii="Arial Narrow" w:hAnsi="Arial Narrow"/>
                <w:bCs/>
                <w:color w:val="0f0d29"/>
                <w:sz w:val="22"/>
              </w:rPr>
            </w:r>
          </w:p>
        </w:tc>
      </w:tr>
      <w:tr>
        <w:trPr>
          <w:trHeight w:val="40"/>
        </w:trPr>
        <w:tc>
          <w:tcPr>
            <w:tcW w:w="4668" w:type="dxa"/>
            <w:vAlign w:val="center"/>
            <w:textDirection w:val="lrTb"/>
            <w:noWrap w:val="false"/>
          </w:tcPr>
          <w:p>
            <w:pPr>
              <w:pStyle w:val="1063"/>
              <w:jc w:val="center"/>
              <w:widowControl w:val="off"/>
            </w:pPr>
            <w:r>
              <w:rPr>
                <w:rFonts w:ascii="Arial Narrow" w:hAnsi="Arial Narrow" w:cs="Calibri"/>
                <w:sz w:val="20"/>
                <w:szCs w:val="20"/>
              </w:rPr>
              <w:t xml:space="preserve">ООО «Эл.сети Ивашки»</w:t>
            </w:r>
            <w:r/>
          </w:p>
        </w:tc>
        <w:tc>
          <w:tcPr>
            <w:tcW w:w="1131" w:type="dxa"/>
            <w:vAlign w:val="center"/>
            <w:textDirection w:val="lrTb"/>
            <w:noWrap w:val="false"/>
          </w:tcPr>
          <w:p>
            <w:pPr>
              <w:pStyle w:val="1063"/>
              <w:jc w:val="center"/>
              <w:widowControl w:val="off"/>
            </w:pPr>
            <w:r>
              <w:rPr>
                <w:rFonts w:ascii="Arial Narrow" w:hAnsi="Arial Narrow" w:cs="Calibri"/>
                <w:sz w:val="20"/>
                <w:szCs w:val="20"/>
              </w:rPr>
              <w:t xml:space="preserve">71 282</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70 845</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-437</w:t>
            </w:r>
            <w:r/>
          </w:p>
        </w:tc>
        <w:tc>
          <w:tcPr>
            <w:tcW w:w="1650" w:type="dxa"/>
            <w:vAlign w:val="center"/>
            <w:textDirection w:val="lrTb"/>
            <w:noWrap w:val="false"/>
          </w:tcPr>
          <w:p>
            <w:pPr>
              <w:pStyle w:val="1063"/>
              <w:jc w:val="center"/>
              <w:widowControl w:val="off"/>
              <w:rPr>
                <w:rFonts w:ascii="Arial Narrow" w:hAnsi="Arial Narrow"/>
                <w:bCs/>
                <w:color w:val="0f0d29"/>
                <w:sz w:val="22"/>
              </w:rPr>
            </w:pPr>
            <w:r>
              <w:rPr>
                <w:rFonts w:ascii="Arial Narrow" w:hAnsi="Arial Narrow"/>
                <w:bCs/>
                <w:color w:val="0f0d29"/>
                <w:sz w:val="22"/>
              </w:rPr>
            </w:r>
            <w:r>
              <w:rPr>
                <w:rFonts w:ascii="Arial Narrow" w:hAnsi="Arial Narrow"/>
                <w:bCs/>
                <w:color w:val="0f0d29"/>
                <w:sz w:val="22"/>
              </w:rPr>
            </w:r>
            <w:r>
              <w:rPr>
                <w:rFonts w:ascii="Arial Narrow" w:hAnsi="Arial Narrow"/>
                <w:bCs/>
                <w:color w:val="0f0d29"/>
                <w:sz w:val="22"/>
              </w:rPr>
            </w:r>
          </w:p>
        </w:tc>
      </w:tr>
      <w:tr>
        <w:trPr>
          <w:trHeight w:val="40"/>
        </w:trPr>
        <w:tc>
          <w:tcPr>
            <w:tcW w:w="4668" w:type="dxa"/>
            <w:vAlign w:val="center"/>
            <w:textDirection w:val="lrTb"/>
            <w:noWrap w:val="false"/>
          </w:tcPr>
          <w:p>
            <w:pPr>
              <w:pStyle w:val="1063"/>
              <w:jc w:val="center"/>
              <w:widowControl w:val="off"/>
            </w:pPr>
            <w:r>
              <w:rPr>
                <w:rFonts w:ascii="Arial Narrow" w:hAnsi="Arial Narrow" w:cs="Calibri"/>
                <w:sz w:val="20"/>
                <w:szCs w:val="20"/>
              </w:rPr>
              <w:t xml:space="preserve">ООО «Вест», ООО «Форвард»</w:t>
            </w:r>
            <w:r/>
          </w:p>
        </w:tc>
        <w:tc>
          <w:tcPr>
            <w:tcW w:w="1131" w:type="dxa"/>
            <w:vAlign w:val="center"/>
            <w:textDirection w:val="lrTb"/>
            <w:noWrap w:val="false"/>
          </w:tcPr>
          <w:p>
            <w:pPr>
              <w:pStyle w:val="1063"/>
              <w:jc w:val="center"/>
              <w:widowControl w:val="off"/>
            </w:pPr>
            <w:r>
              <w:rPr>
                <w:rFonts w:ascii="Arial Narrow" w:hAnsi="Arial Narrow" w:cs="Calibri"/>
                <w:sz w:val="20"/>
                <w:szCs w:val="20"/>
              </w:rPr>
              <w:t xml:space="preserve">27 230</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20 016</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-7 214</w:t>
            </w:r>
            <w:r/>
          </w:p>
        </w:tc>
        <w:tc>
          <w:tcPr>
            <w:tcW w:w="1650" w:type="dxa"/>
            <w:vAlign w:val="center"/>
            <w:textDirection w:val="lrTb"/>
            <w:noWrap w:val="false"/>
          </w:tcPr>
          <w:p>
            <w:pPr>
              <w:pStyle w:val="1063"/>
              <w:jc w:val="center"/>
              <w:widowControl w:val="off"/>
              <w:rPr>
                <w:rFonts w:ascii="Arial Narrow" w:hAnsi="Arial Narrow"/>
                <w:bCs/>
                <w:color w:val="0f0d29"/>
                <w:sz w:val="22"/>
              </w:rPr>
            </w:pPr>
            <w:r>
              <w:rPr>
                <w:rFonts w:ascii="Arial Narrow" w:hAnsi="Arial Narrow"/>
                <w:bCs/>
                <w:color w:val="0f0d29"/>
                <w:sz w:val="22"/>
              </w:rPr>
            </w:r>
            <w:r>
              <w:rPr>
                <w:rFonts w:ascii="Arial Narrow" w:hAnsi="Arial Narrow"/>
                <w:bCs/>
                <w:color w:val="0f0d29"/>
                <w:sz w:val="22"/>
              </w:rPr>
            </w:r>
            <w:r>
              <w:rPr>
                <w:rFonts w:ascii="Arial Narrow" w:hAnsi="Arial Narrow"/>
                <w:bCs/>
                <w:color w:val="0f0d29"/>
                <w:sz w:val="22"/>
              </w:rPr>
            </w:r>
          </w:p>
        </w:tc>
      </w:tr>
      <w:tr>
        <w:trPr>
          <w:trHeight w:val="40"/>
        </w:trPr>
        <w:tc>
          <w:tcPr>
            <w:tcW w:w="4668" w:type="dxa"/>
            <w:vAlign w:val="center"/>
            <w:textDirection w:val="lrTb"/>
            <w:noWrap w:val="false"/>
          </w:tcPr>
          <w:p>
            <w:pPr>
              <w:pStyle w:val="1063"/>
              <w:jc w:val="center"/>
              <w:widowControl w:val="off"/>
            </w:pPr>
            <w:r>
              <w:rPr>
                <w:rFonts w:ascii="Arial Narrow" w:hAnsi="Arial Narrow" w:cs="Calibri"/>
                <w:sz w:val="20"/>
                <w:szCs w:val="20"/>
              </w:rPr>
              <w:t xml:space="preserve">ООО ГК «Пенжинский»(Тайгонос)</w:t>
            </w:r>
            <w:r/>
          </w:p>
        </w:tc>
        <w:tc>
          <w:tcPr>
            <w:tcW w:w="1131" w:type="dxa"/>
            <w:vAlign w:val="center"/>
            <w:textDirection w:val="lrTb"/>
            <w:noWrap w:val="false"/>
          </w:tcPr>
          <w:p>
            <w:pPr>
              <w:pStyle w:val="1063"/>
              <w:jc w:val="center"/>
              <w:widowControl w:val="off"/>
            </w:pPr>
            <w:r>
              <w:rPr>
                <w:rFonts w:ascii="Arial Narrow" w:hAnsi="Arial Narrow" w:cs="Calibri"/>
                <w:sz w:val="20"/>
                <w:szCs w:val="20"/>
              </w:rPr>
              <w:t xml:space="preserve">110 291</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123 741</w:t>
            </w:r>
            <w:r/>
          </w:p>
        </w:tc>
        <w:tc>
          <w:tcPr>
            <w:tcW w:w="1276" w:type="dxa"/>
            <w:vAlign w:val="center"/>
            <w:textDirection w:val="lrTb"/>
            <w:noWrap w:val="false"/>
          </w:tcPr>
          <w:p>
            <w:pPr>
              <w:pStyle w:val="1063"/>
              <w:jc w:val="center"/>
              <w:widowControl w:val="off"/>
            </w:pPr>
            <w:r>
              <w:rPr>
                <w:rFonts w:ascii="Arial Narrow" w:hAnsi="Arial Narrow" w:cs="Calibri"/>
                <w:sz w:val="20"/>
                <w:szCs w:val="20"/>
              </w:rPr>
              <w:t xml:space="preserve">13 450</w:t>
            </w:r>
            <w:r/>
          </w:p>
        </w:tc>
        <w:tc>
          <w:tcPr>
            <w:tcW w:w="1650" w:type="dxa"/>
            <w:vAlign w:val="center"/>
            <w:textDirection w:val="lrTb"/>
            <w:noWrap w:val="false"/>
          </w:tcPr>
          <w:p>
            <w:pPr>
              <w:pStyle w:val="1063"/>
              <w:jc w:val="center"/>
              <w:widowControl w:val="off"/>
              <w:rPr>
                <w:rFonts w:ascii="Arial Narrow" w:hAnsi="Arial Narrow"/>
                <w:bCs/>
                <w:color w:val="0f0d29"/>
                <w:sz w:val="22"/>
              </w:rPr>
            </w:pPr>
            <w:r>
              <w:rPr>
                <w:rFonts w:ascii="Arial Narrow" w:hAnsi="Arial Narrow"/>
                <w:bCs/>
                <w:color w:val="0f0d29"/>
                <w:sz w:val="22"/>
              </w:rPr>
            </w:r>
            <w:r>
              <w:rPr>
                <w:rFonts w:ascii="Arial Narrow" w:hAnsi="Arial Narrow"/>
                <w:bCs/>
                <w:color w:val="0f0d29"/>
                <w:sz w:val="22"/>
              </w:rPr>
            </w:r>
            <w:r>
              <w:rPr>
                <w:rFonts w:ascii="Arial Narrow" w:hAnsi="Arial Narrow"/>
                <w:bCs/>
                <w:color w:val="0f0d29"/>
                <w:sz w:val="22"/>
              </w:rPr>
            </w:r>
          </w:p>
        </w:tc>
      </w:tr>
    </w:tbl>
    <w:p>
      <w:pPr>
        <w:pStyle w:val="1063"/>
        <w:ind w:firstLine="709"/>
        <w:jc w:val="both"/>
        <w:rPr>
          <w:rFonts w:ascii="Arial Narrow" w:hAnsi="Arial Narrow" w:cs="Calibri"/>
        </w:rPr>
      </w:pPr>
      <w:r>
        <w:rPr>
          <w:rFonts w:ascii="Arial Narrow" w:hAnsi="Arial Narrow" w:cs="Calibri"/>
        </w:rPr>
      </w:r>
      <w:r>
        <w:rPr>
          <w:rFonts w:ascii="Arial Narrow" w:hAnsi="Arial Narrow" w:cs="Calibri"/>
        </w:rPr>
      </w:r>
      <w:r>
        <w:rPr>
          <w:rFonts w:ascii="Arial Narrow" w:hAnsi="Arial Narrow" w:cs="Calibri"/>
        </w:rPr>
      </w:r>
    </w:p>
    <w:p>
      <w:pPr>
        <w:pStyle w:val="1063"/>
        <w:ind w:firstLine="567"/>
        <w:jc w:val="both"/>
      </w:pPr>
      <w:r>
        <w:rPr>
          <w:rFonts w:ascii="Arial Narrow" w:hAnsi="Arial Narrow"/>
          <w:color w:val="0f0d29"/>
        </w:rPr>
        <w:t xml:space="preserve">Покупка электр</w:t>
      </w:r>
      <w:r>
        <w:rPr>
          <w:rFonts w:ascii="Arial Narrow" w:hAnsi="Arial Narrow"/>
          <w:color w:val="0f0d29"/>
        </w:rPr>
        <w:t xml:space="preserve">оэнергии от Каскада Толмачевских ГЭС (ПАО «Камчатскэнерго –ДУ») составила 80,761 млн. кВтч, что на -13,947 млн. кВтч ниже факта прошлого года произошло из-за меньшей загрузки каскада ГЭС для выполнения плановых объемов выработки электроэнергии за 2024 год.</w:t>
      </w:r>
      <w:r/>
    </w:p>
    <w:p>
      <w:pPr>
        <w:pStyle w:val="1063"/>
        <w:ind w:firstLine="567"/>
        <w:jc w:val="both"/>
      </w:pPr>
      <w:r>
        <w:rPr>
          <w:rFonts w:ascii="Arial Narrow" w:hAnsi="Arial Narrow"/>
          <w:color w:val="0f0d29"/>
        </w:rPr>
        <w:t xml:space="preserve">Покупка электроэнергии от АО «КЭС им Пискунова И.А.» составила 22,095 млн. кВтч, что </w:t>
      </w:r>
      <w:r>
        <w:rPr>
          <w:rFonts w:ascii="Arial Narrow" w:hAnsi="Arial Narrow"/>
          <w:color w:val="0f0d29"/>
        </w:rPr>
        <w:br/>
        <w:t xml:space="preserve">на 2,147 млн. кВтч ниже факта прошлого года за счет изменения электропотребления в сетях АО «КЭС </w:t>
      </w:r>
      <w:r>
        <w:rPr>
          <w:rFonts w:ascii="Arial Narrow" w:hAnsi="Arial Narrow"/>
          <w:color w:val="0f0d29"/>
        </w:rPr>
        <w:br/>
        <w:t xml:space="preserve">им. Пискунова И.А.».</w:t>
      </w:r>
      <w:r/>
    </w:p>
    <w:p>
      <w:pPr>
        <w:pStyle w:val="1063"/>
        <w:ind w:firstLine="567"/>
        <w:jc w:val="both"/>
      </w:pPr>
      <w:r>
        <w:rPr>
          <w:rFonts w:ascii="Arial Narrow" w:hAnsi="Arial Narrow"/>
          <w:color w:val="0f0d29"/>
        </w:rPr>
        <w:t xml:space="preserve">Покупка элек</w:t>
      </w:r>
      <w:r>
        <w:rPr>
          <w:rFonts w:ascii="Arial Narrow" w:hAnsi="Arial Narrow"/>
          <w:color w:val="0f0d29"/>
        </w:rPr>
        <w:t xml:space="preserve">троэнергии по изолированным узлам от АО «Корякэнерго», ООО «Энергопрогноз», ООО «Электрические сети Ивашки», ООО «ГК Пенжинский» («Тайгонос»), ООО «Форвард» гарантирующим поставщиком которых выступает ПАО «Камчатскэнерго», составила 185,624 млн. кВтч, что </w:t>
      </w:r>
      <w:r>
        <w:rPr>
          <w:rFonts w:ascii="Arial Narrow" w:hAnsi="Arial Narrow"/>
          <w:color w:val="0f0d29"/>
        </w:rPr>
        <w:br/>
        <w:t xml:space="preserve">на 15,553 млн. кВтч больше факта прошлого года из-за увеличения объема покупки электроэнергии. Покупка электрической энергии для нужд горнодобывающих и рыбоперерабатывающих компаний осуществляется по факту их потребления.</w:t>
      </w:r>
      <w:r/>
    </w:p>
    <w:p>
      <w:pPr>
        <w:pStyle w:val="1063"/>
        <w:ind w:firstLine="567"/>
        <w:jc w:val="both"/>
      </w:pPr>
      <w:r>
        <w:rPr>
          <w:rFonts w:ascii="Arial Narrow" w:hAnsi="Arial Narrow"/>
          <w:color w:val="0f0d29"/>
        </w:rPr>
        <w:t xml:space="preserve">Рост тарифов на покупку электрической энергии соответствует принятым регулирующим органом тарифным решениям.</w:t>
      </w: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Затраты на </w:t>
      </w:r>
      <w:r>
        <w:rPr>
          <w:rFonts w:ascii="Arial Narrow" w:hAnsi="Arial Narrow" w:cs="Calibri"/>
          <w:iCs/>
          <w:sz w:val="24"/>
          <w:szCs w:val="24"/>
          <w:lang w:val="ru-RU" w:bidi="ru-RU"/>
        </w:rPr>
        <w:t xml:space="preserve">покупную тепловую энергию</w:t>
      </w:r>
      <w:r>
        <w:rPr>
          <w:rFonts w:ascii="Arial Narrow" w:hAnsi="Arial Narrow" w:cs="Calibri"/>
          <w:sz w:val="24"/>
          <w:szCs w:val="24"/>
          <w:lang w:val="ru-RU" w:bidi="ru-RU"/>
        </w:rPr>
        <w:t xml:space="preserve"> меньше прошлого года на 215 734 тыс. рублей, по данной статье учтены расходы на покупку геотермального пара для Паужетской ГеоЭС, снижение затрат на пар обусловлено уменьшением утвержденного тарифа на ресурс (с 885,02 рублей в 2023  году </w:t>
      </w:r>
      <w:r>
        <w:rPr>
          <w:rFonts w:ascii="Arial Narrow" w:hAnsi="Arial Narrow" w:cs="Calibri"/>
          <w:sz w:val="24"/>
          <w:szCs w:val="24"/>
          <w:lang w:val="ru-RU" w:bidi="ru-RU"/>
        </w:rPr>
        <w:br/>
        <w:t xml:space="preserve">до 485,97 рублей в 2024 году);</w:t>
      </w:r>
      <w:r>
        <w:rPr>
          <w:lang w:val="ru-RU"/>
        </w:rPr>
      </w:r>
      <w:r>
        <w:rPr>
          <w:lang w:val="ru-RU"/>
        </w:rP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Затраты на </w:t>
      </w:r>
      <w:r>
        <w:rPr>
          <w:rFonts w:ascii="Arial Narrow" w:hAnsi="Arial Narrow" w:cs="Calibri"/>
          <w:iCs/>
          <w:sz w:val="24"/>
          <w:szCs w:val="24"/>
          <w:lang w:val="ru-RU" w:bidi="ru-RU"/>
        </w:rPr>
        <w:t xml:space="preserve">воду на технологические нужды</w:t>
      </w:r>
      <w:r>
        <w:rPr>
          <w:rFonts w:ascii="Arial Narrow" w:hAnsi="Arial Narrow" w:cs="Calibri"/>
          <w:sz w:val="24"/>
          <w:szCs w:val="24"/>
          <w:lang w:val="ru-RU" w:bidi="ru-RU"/>
        </w:rPr>
        <w:t xml:space="preserve"> больше прошлого года на 315 052 тыс. рублей </w:t>
      </w:r>
      <w:r>
        <w:rPr>
          <w:rFonts w:ascii="Arial Narrow" w:hAnsi="Arial Narrow" w:cs="Calibri"/>
          <w:sz w:val="24"/>
          <w:szCs w:val="24"/>
          <w:lang w:val="ru-RU" w:bidi="ru-RU"/>
        </w:rPr>
        <w:br/>
        <w:t xml:space="preserve">(на 82 %), в связи с ростом тарифов на воду и водоотведение, утвержденных регулирующим органом;</w:t>
      </w:r>
      <w:r>
        <w:rPr>
          <w:lang w:val="ru-RU"/>
        </w:rPr>
      </w:r>
      <w:r>
        <w:rPr>
          <w:lang w:val="ru-RU"/>
        </w:rP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Затраты на </w:t>
      </w:r>
      <w:r>
        <w:rPr>
          <w:rFonts w:ascii="Arial Narrow" w:hAnsi="Arial Narrow" w:cs="Calibri"/>
          <w:iCs/>
          <w:sz w:val="24"/>
          <w:szCs w:val="24"/>
          <w:lang w:val="ru-RU" w:bidi="ru-RU"/>
        </w:rPr>
        <w:t xml:space="preserve">оплату труда персонала</w:t>
      </w:r>
      <w:r>
        <w:rPr>
          <w:rFonts w:ascii="Arial Narrow" w:hAnsi="Arial Narrow" w:cs="Calibri"/>
          <w:sz w:val="24"/>
          <w:szCs w:val="24"/>
          <w:lang w:val="ru-RU" w:bidi="ru-RU"/>
        </w:rPr>
        <w:t xml:space="preserve"> увеличились по сравнению с прошлым годом </w:t>
      </w:r>
      <w:r>
        <w:rPr>
          <w:rFonts w:ascii="Arial Narrow" w:hAnsi="Arial Narrow" w:cs="Calibri"/>
          <w:sz w:val="24"/>
          <w:szCs w:val="24"/>
          <w:lang w:val="ru-RU" w:bidi="ru-RU"/>
        </w:rPr>
        <w:br/>
        <w:t xml:space="preserve">на 205 300 тыс. рублей (на 3,7 %), что связано, в основном, с индексацией ММТС на 6 % (2023 год – </w:t>
      </w:r>
      <w:r>
        <w:rPr>
          <w:rFonts w:ascii="Arial Narrow" w:hAnsi="Arial Narrow" w:cs="Calibri"/>
          <w:sz w:val="24"/>
          <w:szCs w:val="24"/>
          <w:lang w:val="ru-RU" w:bidi="ru-RU"/>
        </w:rPr>
        <w:br/>
        <w:t xml:space="preserve">11 191 рублей, 2024 год – 11 857 рублей);</w:t>
      </w:r>
      <w:r>
        <w:rPr>
          <w:lang w:val="ru-RU"/>
        </w:rPr>
      </w:r>
      <w:r>
        <w:rPr>
          <w:lang w:val="ru-RU"/>
        </w:rP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По расходам на </w:t>
      </w:r>
      <w:r>
        <w:rPr>
          <w:rFonts w:ascii="Arial Narrow" w:hAnsi="Arial Narrow" w:cs="Calibri"/>
          <w:iCs/>
          <w:sz w:val="24"/>
          <w:szCs w:val="24"/>
          <w:lang w:val="ru-RU" w:bidi="ru-RU"/>
        </w:rPr>
        <w:t xml:space="preserve">уплату страховых взносов</w:t>
      </w:r>
      <w:r>
        <w:rPr>
          <w:rFonts w:ascii="Arial Narrow" w:hAnsi="Arial Narrow" w:cs="Calibri"/>
          <w:sz w:val="24"/>
          <w:szCs w:val="24"/>
          <w:lang w:val="ru-RU" w:bidi="ru-RU"/>
        </w:rPr>
        <w:t xml:space="preserve"> рост по сравнению с прошлым годом </w:t>
      </w:r>
      <w:r>
        <w:rPr>
          <w:rFonts w:ascii="Arial Narrow" w:hAnsi="Arial Narrow" w:cs="Calibri"/>
          <w:sz w:val="24"/>
          <w:szCs w:val="24"/>
          <w:lang w:val="ru-RU" w:bidi="ru-RU"/>
        </w:rPr>
        <w:br/>
        <w:t xml:space="preserve">на 77 212 тыс. рублей (на +4,8 %) за счет увеличения ФОТ и предельной величины для расчета страховых взносов;</w:t>
      </w:r>
      <w:r>
        <w:rPr>
          <w:lang w:val="ru-RU"/>
        </w:rPr>
      </w:r>
      <w:r>
        <w:rPr>
          <w:lang w:val="ru-RU"/>
        </w:rP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iCs/>
          <w:sz w:val="24"/>
          <w:szCs w:val="24"/>
          <w:lang w:val="ru-RU" w:bidi="ru-RU"/>
        </w:rPr>
        <w:t xml:space="preserve">Расходы на сырье и материалы и услуги сторонних организаций для реализации ремонтной программы</w:t>
      </w:r>
      <w:r>
        <w:rPr>
          <w:rFonts w:ascii="Arial Narrow" w:hAnsi="Arial Narrow" w:cs="Calibri"/>
          <w:sz w:val="24"/>
          <w:szCs w:val="24"/>
          <w:lang w:val="ru-RU" w:bidi="ru-RU"/>
        </w:rPr>
        <w:t xml:space="preserve"> увеличились на 200 946 тыс. рублей. Увеличение затрат в 2024 году связано с переходящими объемами ремонтов с 2023 года и необходимостью внеплановых работ.</w:t>
      </w:r>
      <w:r>
        <w:rPr>
          <w:lang w:val="ru-RU"/>
        </w:rPr>
      </w:r>
      <w:r>
        <w:rPr>
          <w:lang w:val="ru-RU"/>
        </w:rP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Расходы на </w:t>
      </w:r>
      <w:r>
        <w:rPr>
          <w:rFonts w:ascii="Arial Narrow" w:hAnsi="Arial Narrow" w:cs="Calibri"/>
          <w:iCs/>
          <w:sz w:val="24"/>
          <w:szCs w:val="24"/>
          <w:lang w:val="ru-RU" w:bidi="ru-RU"/>
        </w:rPr>
        <w:t xml:space="preserve">услуги по сбору денежных средств</w:t>
      </w:r>
      <w:r>
        <w:rPr>
          <w:rFonts w:ascii="Arial Narrow" w:hAnsi="Arial Narrow" w:cs="Calibri"/>
          <w:sz w:val="24"/>
          <w:szCs w:val="24"/>
          <w:lang w:val="ru-RU" w:bidi="ru-RU"/>
        </w:rPr>
        <w:t xml:space="preserve"> увеличились на 35 496 тыс. рублей или на 3,3 </w:t>
      </w:r>
      <w:r>
        <w:rPr>
          <w:rFonts w:ascii="Arial Narrow" w:hAnsi="Arial Narrow" w:cs="Calibri"/>
          <w:sz w:val="24"/>
          <w:szCs w:val="24"/>
          <w:lang w:val="ru-RU" w:bidi="ru-RU"/>
        </w:rPr>
        <w:t xml:space="preserve">% относительно факта прошлого года, что обусловлено ростом стоимости услуг по агентскому договору на осуществление функций сбыта электрической и тепловой энергии и ГВС юридическим и физическим лицам на территории Камчатского края, заключенному с ПАО «ДЭК».</w:t>
      </w:r>
      <w:r>
        <w:rPr>
          <w:lang w:val="ru-RU"/>
        </w:rPr>
      </w:r>
      <w:r>
        <w:rPr>
          <w:lang w:val="ru-RU"/>
        </w:rP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Рост </w:t>
      </w:r>
      <w:r>
        <w:rPr>
          <w:rFonts w:ascii="Arial Narrow" w:hAnsi="Arial Narrow" w:cs="Calibri"/>
          <w:iCs/>
          <w:sz w:val="24"/>
          <w:szCs w:val="24"/>
          <w:lang w:val="ru-RU" w:bidi="ru-RU"/>
        </w:rPr>
        <w:t xml:space="preserve">амортизационных отчислений</w:t>
      </w:r>
      <w:r>
        <w:rPr>
          <w:rFonts w:ascii="Arial Narrow" w:hAnsi="Arial Narrow" w:cs="Calibri"/>
          <w:sz w:val="24"/>
          <w:szCs w:val="24"/>
          <w:lang w:val="ru-RU" w:bidi="ru-RU"/>
        </w:rPr>
        <w:t xml:space="preserve"> по сравнению с прошлым годом составил </w:t>
      </w:r>
      <w:r>
        <w:rPr>
          <w:rFonts w:ascii="Arial Narrow" w:hAnsi="Arial Narrow" w:cs="Calibri"/>
          <w:sz w:val="24"/>
          <w:szCs w:val="24"/>
          <w:lang w:val="ru-RU" w:bidi="ru-RU"/>
        </w:rPr>
        <w:br/>
        <w:t xml:space="preserve">144 929 тыс. рублей (на 8,4 %). Из них рост амортизации по объектам, вводимым в эксплуатацию в рамках реализации инвестиционной программы Общества составил 98</w:t>
      </w:r>
      <w:r>
        <w:rPr>
          <w:rFonts w:ascii="Arial Narrow" w:hAnsi="Arial Narrow" w:cs="Calibri"/>
          <w:sz w:val="24"/>
          <w:szCs w:val="24"/>
          <w:lang w:bidi="ru-RU"/>
        </w:rPr>
        <w:t xml:space="preserve"> </w:t>
      </w:r>
      <w:r>
        <w:rPr>
          <w:rFonts w:ascii="Arial Narrow" w:hAnsi="Arial Narrow" w:cs="Calibri"/>
          <w:sz w:val="24"/>
          <w:szCs w:val="24"/>
          <w:lang w:val="ru-RU" w:bidi="ru-RU"/>
        </w:rPr>
        <w:t xml:space="preserve">682 тыс. рублей, по амортизации прав пользования активами (+) 7 086 тыс. рублей, по амортизации капитализируемых ремонтов </w:t>
      </w:r>
      <w:r>
        <w:rPr>
          <w:rFonts w:ascii="Arial Narrow" w:hAnsi="Arial Narrow" w:cs="Calibri"/>
          <w:sz w:val="24"/>
          <w:szCs w:val="24"/>
          <w:lang w:val="ru-RU" w:bidi="ru-RU"/>
        </w:rPr>
        <w:br/>
        <w:t xml:space="preserve">(+) 27 370 тыс. рублей, по амортизации НМА (+) 10</w:t>
      </w:r>
      <w:r>
        <w:rPr>
          <w:rFonts w:ascii="Arial Narrow" w:hAnsi="Arial Narrow" w:cs="Calibri"/>
          <w:sz w:val="24"/>
          <w:szCs w:val="24"/>
          <w:lang w:bidi="ru-RU"/>
        </w:rPr>
        <w:t xml:space="preserve"> </w:t>
      </w:r>
      <w:r>
        <w:rPr>
          <w:rFonts w:ascii="Arial Narrow" w:hAnsi="Arial Narrow" w:cs="Calibri"/>
          <w:sz w:val="24"/>
          <w:szCs w:val="24"/>
          <w:lang w:val="ru-RU" w:bidi="ru-RU"/>
        </w:rPr>
        <w:t xml:space="preserve">957 тыс. рублей.</w:t>
      </w:r>
      <w:r>
        <w:rPr>
          <w:lang w:val="ru-RU"/>
        </w:rPr>
      </w:r>
      <w:r>
        <w:rPr>
          <w:lang w:val="ru-RU"/>
        </w:rPr>
      </w:r>
    </w:p>
    <w:p>
      <w:pPr>
        <w:rPr>
          <w:rFonts w:ascii="Arial Narrow" w:hAnsi="Arial Narrow" w:cs="Calibri"/>
          <w:sz w:val="24"/>
          <w:szCs w:val="24"/>
          <w:lang w:bidi="ru-RU"/>
        </w:rPr>
      </w:pPr>
      <w:r>
        <w:br w:type="page" w:clear="all"/>
      </w:r>
      <w:r>
        <w:rPr>
          <w:rFonts w:ascii="Arial Narrow" w:hAnsi="Arial Narrow" w:cs="Calibri"/>
          <w:sz w:val="24"/>
          <w:szCs w:val="24"/>
          <w:lang w:bidi="ru-RU"/>
        </w:rPr>
      </w:r>
      <w:r>
        <w:rPr>
          <w:rFonts w:ascii="Arial Narrow" w:hAnsi="Arial Narrow" w:cs="Calibri"/>
          <w:sz w:val="24"/>
          <w:szCs w:val="24"/>
          <w:lang w:bidi="ru-RU"/>
        </w:rPr>
      </w:r>
    </w:p>
    <w:p>
      <w:pPr>
        <w:jc w:val="right"/>
        <w:rPr>
          <w:rFonts w:ascii="Arial Narrow" w:hAnsi="Arial Narrow" w:eastAsia="Calibri" w:cs="Calibri"/>
          <w:i/>
          <w:sz w:val="24"/>
          <w:szCs w:val="24"/>
          <w:lang w:eastAsia="ja-JP"/>
        </w:rPr>
      </w:pPr>
      <w:r>
        <w:rPr>
          <w:rFonts w:ascii="Arial Narrow" w:hAnsi="Arial Narrow" w:eastAsia="Calibri" w:cs="Calibri"/>
          <w:i/>
          <w:sz w:val="24"/>
          <w:szCs w:val="24"/>
          <w:lang w:eastAsia="ja-JP"/>
        </w:rPr>
        <w:t xml:space="preserve">Таблица № 19, тыс. рублей</w:t>
      </w:r>
      <w:r>
        <w:rPr>
          <w:rFonts w:ascii="Arial Narrow" w:hAnsi="Arial Narrow" w:eastAsia="Calibri" w:cs="Calibri"/>
          <w:i/>
          <w:sz w:val="24"/>
          <w:szCs w:val="24"/>
          <w:lang w:eastAsia="ja-JP"/>
        </w:rPr>
      </w:r>
      <w:r>
        <w:rPr>
          <w:rFonts w:ascii="Arial Narrow" w:hAnsi="Arial Narrow" w:eastAsia="Calibri" w:cs="Calibri"/>
          <w:i/>
          <w:sz w:val="24"/>
          <w:szCs w:val="24"/>
          <w:lang w:eastAsia="ja-JP"/>
        </w:rPr>
      </w:r>
    </w:p>
    <w:tbl>
      <w:tblPr>
        <w:tblW w:w="10083" w:type="dxa"/>
        <w:jc w:val="center"/>
        <w:tblLayout w:type="fixed"/>
        <w:tblLook w:val="04A0" w:firstRow="1" w:lastRow="0" w:firstColumn="1" w:lastColumn="0" w:noHBand="0" w:noVBand="1"/>
      </w:tblPr>
      <w:tblGrid>
        <w:gridCol w:w="5974"/>
        <w:gridCol w:w="1390"/>
        <w:gridCol w:w="1445"/>
        <w:gridCol w:w="1274"/>
      </w:tblGrid>
      <w:tr>
        <w:trPr>
          <w:jc w:val="center"/>
          <w:trHeight w:val="290"/>
        </w:trPr>
        <w:tc>
          <w:tcPr>
            <w:tcBorders>
              <w:top w:val="single" w:color="000000" w:sz="4" w:space="0"/>
              <w:left w:val="single" w:color="000000" w:sz="4" w:space="0"/>
              <w:bottom w:val="single" w:color="000000" w:sz="4" w:space="0"/>
              <w:right w:val="single" w:color="000000" w:sz="4" w:space="0"/>
            </w:tcBorders>
            <w:tcW w:w="5973" w:type="dxa"/>
            <w:vAlign w:val="center"/>
            <w:textDirection w:val="lrTb"/>
            <w:noWrap w:val="false"/>
          </w:tcPr>
          <w:p>
            <w:pPr>
              <w:pStyle w:val="1063"/>
              <w:jc w:val="center"/>
              <w:widowControl w:val="off"/>
            </w:pPr>
            <w:r>
              <w:rPr>
                <w:rFonts w:ascii="Arial Narrow" w:hAnsi="Arial Narrow"/>
                <w:bCs/>
                <w:color w:val="000000"/>
                <w:sz w:val="20"/>
                <w:szCs w:val="20"/>
              </w:rPr>
              <w:t xml:space="preserve">Наименование статьи</w:t>
            </w:r>
            <w:r/>
          </w:p>
        </w:tc>
        <w:tc>
          <w:tcPr>
            <w:tcBorders>
              <w:top w:val="single" w:color="000000" w:sz="4" w:space="0"/>
              <w:left w:val="single" w:color="000000" w:sz="4" w:space="0"/>
              <w:bottom w:val="single" w:color="000000" w:sz="4" w:space="0"/>
              <w:right w:val="single" w:color="000000" w:sz="4" w:space="0"/>
            </w:tcBorders>
            <w:tcW w:w="1390" w:type="dxa"/>
            <w:vAlign w:val="center"/>
            <w:textDirection w:val="lrTb"/>
            <w:noWrap w:val="false"/>
          </w:tcPr>
          <w:p>
            <w:pPr>
              <w:pStyle w:val="1063"/>
              <w:jc w:val="center"/>
              <w:widowControl w:val="off"/>
            </w:pPr>
            <w:r>
              <w:rPr>
                <w:rFonts w:ascii="Arial Narrow" w:hAnsi="Arial Narrow"/>
                <w:bCs/>
                <w:color w:val="000000"/>
                <w:sz w:val="20"/>
                <w:szCs w:val="20"/>
              </w:rPr>
              <w:t xml:space="preserve">2023</w:t>
            </w:r>
            <w:r/>
          </w:p>
          <w:p>
            <w:pPr>
              <w:pStyle w:val="1063"/>
              <w:jc w:val="center"/>
              <w:widowControl w:val="off"/>
            </w:pPr>
            <w:r>
              <w:rPr>
                <w:rFonts w:ascii="Arial Narrow" w:hAnsi="Arial Narrow"/>
                <w:bCs/>
                <w:color w:val="000000"/>
                <w:sz w:val="20"/>
                <w:szCs w:val="20"/>
              </w:rPr>
              <w:t xml:space="preserve">Факт</w:t>
            </w:r>
            <w:r/>
          </w:p>
        </w:tc>
        <w:tc>
          <w:tcPr>
            <w:tcBorders>
              <w:top w:val="single" w:color="000000" w:sz="4" w:space="0"/>
              <w:left w:val="single" w:color="000000" w:sz="4" w:space="0"/>
              <w:bottom w:val="single" w:color="000000" w:sz="4" w:space="0"/>
              <w:right w:val="single" w:color="000000" w:sz="4" w:space="0"/>
            </w:tcBorders>
            <w:tcW w:w="1445" w:type="dxa"/>
            <w:vAlign w:val="center"/>
            <w:textDirection w:val="lrTb"/>
            <w:noWrap w:val="false"/>
          </w:tcPr>
          <w:p>
            <w:pPr>
              <w:pStyle w:val="1063"/>
              <w:jc w:val="center"/>
              <w:widowControl w:val="off"/>
            </w:pPr>
            <w:r>
              <w:rPr>
                <w:rFonts w:ascii="Arial Narrow" w:hAnsi="Arial Narrow"/>
                <w:bCs/>
                <w:color w:val="000000"/>
                <w:sz w:val="20"/>
                <w:szCs w:val="20"/>
              </w:rPr>
              <w:t xml:space="preserve">2024</w:t>
            </w:r>
            <w:r/>
          </w:p>
          <w:p>
            <w:pPr>
              <w:pStyle w:val="1063"/>
              <w:jc w:val="center"/>
              <w:widowControl w:val="off"/>
            </w:pPr>
            <w:r>
              <w:rPr>
                <w:rFonts w:ascii="Arial Narrow" w:hAnsi="Arial Narrow"/>
                <w:bCs/>
                <w:color w:val="000000"/>
                <w:sz w:val="20"/>
                <w:szCs w:val="20"/>
              </w:rPr>
              <w:t xml:space="preserve">Факт</w:t>
            </w:r>
            <w:r/>
          </w:p>
        </w:tc>
        <w:tc>
          <w:tcPr>
            <w:tcBorders>
              <w:top w:val="single" w:color="000000" w:sz="4" w:space="0"/>
              <w:left w:val="single" w:color="000000" w:sz="4" w:space="0"/>
              <w:bottom w:val="single" w:color="000000" w:sz="4" w:space="0"/>
              <w:right w:val="single" w:color="000000" w:sz="4" w:space="0"/>
            </w:tcBorders>
            <w:tcW w:w="1274" w:type="dxa"/>
            <w:vAlign w:val="center"/>
            <w:textDirection w:val="lrTb"/>
            <w:noWrap w:val="false"/>
          </w:tcPr>
          <w:p>
            <w:pPr>
              <w:pStyle w:val="1063"/>
              <w:jc w:val="center"/>
              <w:widowControl w:val="off"/>
            </w:pPr>
            <w:r>
              <w:rPr>
                <w:rFonts w:ascii="Arial Narrow" w:hAnsi="Arial Narrow"/>
                <w:bCs/>
                <w:color w:val="000000"/>
              </w:rPr>
              <w:t xml:space="preserve">Отклонение</w:t>
            </w:r>
            <w:r/>
          </w:p>
        </w:tc>
      </w:tr>
      <w:tr>
        <w:trPr>
          <w:jc w:val="center"/>
          <w:trHeight w:val="40"/>
        </w:trPr>
        <w:tc>
          <w:tcPr>
            <w:tcBorders>
              <w:top w:val="single" w:color="000000" w:sz="4" w:space="0"/>
              <w:left w:val="single" w:color="000000" w:sz="4" w:space="0"/>
              <w:bottom w:val="single" w:color="000000" w:sz="4" w:space="0"/>
              <w:right w:val="single" w:color="000000" w:sz="4" w:space="0"/>
            </w:tcBorders>
            <w:tcW w:w="5973" w:type="dxa"/>
            <w:vAlign w:val="center"/>
            <w:textDirection w:val="lrTb"/>
            <w:noWrap w:val="false"/>
          </w:tcPr>
          <w:p>
            <w:pPr>
              <w:pStyle w:val="1063"/>
              <w:widowControl w:val="off"/>
            </w:pPr>
            <w:r>
              <w:rPr>
                <w:rFonts w:ascii="Arial Narrow" w:hAnsi="Arial Narrow"/>
                <w:bCs/>
                <w:iCs/>
                <w:color w:val="000000"/>
                <w:sz w:val="20"/>
                <w:szCs w:val="20"/>
              </w:rPr>
              <w:t xml:space="preserve">Амортизационные отчисления всего, в том числе:</w:t>
            </w:r>
            <w:r/>
          </w:p>
        </w:tc>
        <w:tc>
          <w:tcPr>
            <w:tcBorders>
              <w:top w:val="single" w:color="000000" w:sz="4" w:space="0"/>
              <w:left w:val="single" w:color="000000" w:sz="4" w:space="0"/>
              <w:bottom w:val="single" w:color="000000" w:sz="4" w:space="0"/>
              <w:right w:val="single" w:color="000000" w:sz="4" w:space="0"/>
            </w:tcBorders>
            <w:tcW w:w="1390" w:type="dxa"/>
            <w:vAlign w:val="center"/>
            <w:textDirection w:val="lrTb"/>
            <w:noWrap w:val="false"/>
          </w:tcPr>
          <w:p>
            <w:pPr>
              <w:pStyle w:val="1063"/>
              <w:jc w:val="center"/>
              <w:widowControl w:val="off"/>
            </w:pPr>
            <w:r>
              <w:rPr>
                <w:rFonts w:ascii="Arial Narrow" w:hAnsi="Arial Narrow"/>
                <w:color w:val="000000"/>
                <w:sz w:val="20"/>
                <w:szCs w:val="20"/>
              </w:rPr>
              <w:t xml:space="preserve">1 720 363</w:t>
            </w:r>
            <w:r/>
          </w:p>
        </w:tc>
        <w:tc>
          <w:tcPr>
            <w:tcBorders>
              <w:top w:val="single" w:color="000000" w:sz="4" w:space="0"/>
              <w:left w:val="single" w:color="000000" w:sz="4" w:space="0"/>
              <w:bottom w:val="single" w:color="000000" w:sz="4" w:space="0"/>
              <w:right w:val="single" w:color="000000" w:sz="4" w:space="0"/>
            </w:tcBorders>
            <w:tcW w:w="1445" w:type="dxa"/>
            <w:vAlign w:val="center"/>
            <w:textDirection w:val="lrTb"/>
            <w:noWrap w:val="false"/>
          </w:tcPr>
          <w:p>
            <w:pPr>
              <w:pStyle w:val="1063"/>
              <w:jc w:val="center"/>
              <w:widowControl w:val="off"/>
            </w:pPr>
            <w:r>
              <w:rPr>
                <w:rFonts w:ascii="Arial Narrow" w:hAnsi="Arial Narrow"/>
                <w:color w:val="000000"/>
                <w:sz w:val="20"/>
                <w:szCs w:val="20"/>
              </w:rPr>
              <w:t xml:space="preserve">1 864 458</w:t>
            </w:r>
            <w:r/>
          </w:p>
        </w:tc>
        <w:tc>
          <w:tcPr>
            <w:tcBorders>
              <w:top w:val="single" w:color="000000" w:sz="4" w:space="0"/>
              <w:left w:val="single" w:color="000000" w:sz="4" w:space="0"/>
              <w:bottom w:val="single" w:color="000000" w:sz="4" w:space="0"/>
              <w:right w:val="single" w:color="000000" w:sz="4" w:space="0"/>
            </w:tcBorders>
            <w:tcW w:w="1274" w:type="dxa"/>
            <w:vAlign w:val="center"/>
            <w:textDirection w:val="lrTb"/>
            <w:noWrap w:val="false"/>
          </w:tcPr>
          <w:p>
            <w:pPr>
              <w:pStyle w:val="1063"/>
              <w:jc w:val="center"/>
              <w:widowControl w:val="off"/>
            </w:pPr>
            <w:r>
              <w:rPr>
                <w:rFonts w:ascii="Arial Narrow" w:hAnsi="Arial Narrow"/>
                <w:color w:val="000000"/>
                <w:sz w:val="20"/>
                <w:szCs w:val="20"/>
              </w:rPr>
              <w:t xml:space="preserve">144 095</w:t>
            </w:r>
            <w:r/>
          </w:p>
        </w:tc>
      </w:tr>
      <w:tr>
        <w:trPr>
          <w:jc w:val="center"/>
          <w:trHeight w:val="40"/>
        </w:trPr>
        <w:tc>
          <w:tcPr>
            <w:tcBorders>
              <w:top w:val="single" w:color="000000" w:sz="4" w:space="0"/>
              <w:left w:val="single" w:color="000000" w:sz="4" w:space="0"/>
              <w:bottom w:val="single" w:color="000000" w:sz="4" w:space="0"/>
              <w:right w:val="single" w:color="000000" w:sz="4" w:space="0"/>
            </w:tcBorders>
            <w:tcW w:w="5973" w:type="dxa"/>
            <w:vAlign w:val="center"/>
            <w:textDirection w:val="lrTb"/>
            <w:noWrap w:val="false"/>
          </w:tcPr>
          <w:p>
            <w:pPr>
              <w:pStyle w:val="1063"/>
              <w:jc w:val="both"/>
              <w:widowControl w:val="off"/>
            </w:pPr>
            <w:r>
              <w:rPr>
                <w:rFonts w:ascii="Arial Narrow" w:hAnsi="Arial Narrow"/>
                <w:color w:val="000000"/>
                <w:sz w:val="20"/>
                <w:szCs w:val="20"/>
              </w:rPr>
              <w:t xml:space="preserve">Амортизация объектов основных средств</w:t>
            </w:r>
            <w:r/>
          </w:p>
        </w:tc>
        <w:tc>
          <w:tcPr>
            <w:tcBorders>
              <w:top w:val="single" w:color="000000" w:sz="4" w:space="0"/>
              <w:left w:val="single" w:color="000000" w:sz="4" w:space="0"/>
              <w:bottom w:val="single" w:color="000000" w:sz="4" w:space="0"/>
              <w:right w:val="single" w:color="000000" w:sz="4" w:space="0"/>
            </w:tcBorders>
            <w:tcW w:w="1390" w:type="dxa"/>
            <w:vAlign w:val="center"/>
            <w:textDirection w:val="lrTb"/>
            <w:noWrap w:val="false"/>
          </w:tcPr>
          <w:p>
            <w:pPr>
              <w:pStyle w:val="1063"/>
              <w:jc w:val="center"/>
              <w:widowControl w:val="off"/>
            </w:pPr>
            <w:r>
              <w:rPr>
                <w:rFonts w:ascii="Arial Narrow" w:hAnsi="Arial Narrow"/>
                <w:color w:val="000000"/>
                <w:sz w:val="20"/>
                <w:szCs w:val="20"/>
              </w:rPr>
              <w:t xml:space="preserve">1 514 286</w:t>
            </w:r>
            <w:r/>
          </w:p>
        </w:tc>
        <w:tc>
          <w:tcPr>
            <w:tcBorders>
              <w:top w:val="single" w:color="000000" w:sz="4" w:space="0"/>
              <w:left w:val="single" w:color="000000" w:sz="4" w:space="0"/>
              <w:bottom w:val="single" w:color="000000" w:sz="4" w:space="0"/>
              <w:right w:val="single" w:color="000000" w:sz="4" w:space="0"/>
            </w:tcBorders>
            <w:tcW w:w="1445" w:type="dxa"/>
            <w:vAlign w:val="center"/>
            <w:textDirection w:val="lrTb"/>
            <w:noWrap w:val="false"/>
          </w:tcPr>
          <w:p>
            <w:pPr>
              <w:pStyle w:val="1063"/>
              <w:jc w:val="center"/>
              <w:widowControl w:val="off"/>
            </w:pPr>
            <w:r>
              <w:rPr>
                <w:rFonts w:ascii="Arial Narrow" w:hAnsi="Arial Narrow"/>
                <w:color w:val="000000"/>
                <w:sz w:val="20"/>
                <w:szCs w:val="20"/>
              </w:rPr>
              <w:t xml:space="preserve">1 612 968</w:t>
            </w:r>
            <w:r/>
          </w:p>
        </w:tc>
        <w:tc>
          <w:tcPr>
            <w:tcBorders>
              <w:top w:val="single" w:color="000000" w:sz="4" w:space="0"/>
              <w:left w:val="single" w:color="000000" w:sz="4" w:space="0"/>
              <w:bottom w:val="single" w:color="000000" w:sz="4" w:space="0"/>
              <w:right w:val="single" w:color="000000" w:sz="4" w:space="0"/>
            </w:tcBorders>
            <w:tcW w:w="1274" w:type="dxa"/>
            <w:vAlign w:val="center"/>
            <w:textDirection w:val="lrTb"/>
            <w:noWrap w:val="false"/>
          </w:tcPr>
          <w:p>
            <w:pPr>
              <w:pStyle w:val="1063"/>
              <w:jc w:val="center"/>
              <w:widowControl w:val="off"/>
            </w:pPr>
            <w:r>
              <w:rPr>
                <w:rFonts w:ascii="Arial Narrow" w:hAnsi="Arial Narrow"/>
                <w:color w:val="000000"/>
                <w:sz w:val="20"/>
                <w:szCs w:val="20"/>
              </w:rPr>
              <w:t xml:space="preserve">98 682</w:t>
            </w:r>
            <w:r/>
          </w:p>
        </w:tc>
      </w:tr>
      <w:tr>
        <w:trPr>
          <w:jc w:val="center"/>
          <w:trHeight w:val="40"/>
        </w:trPr>
        <w:tc>
          <w:tcPr>
            <w:tcBorders>
              <w:top w:val="single" w:color="000000" w:sz="4" w:space="0"/>
              <w:left w:val="single" w:color="000000" w:sz="4" w:space="0"/>
              <w:bottom w:val="single" w:color="000000" w:sz="4" w:space="0"/>
              <w:right w:val="single" w:color="000000" w:sz="4" w:space="0"/>
            </w:tcBorders>
            <w:tcW w:w="5973" w:type="dxa"/>
            <w:vAlign w:val="center"/>
            <w:textDirection w:val="lrTb"/>
            <w:noWrap w:val="false"/>
          </w:tcPr>
          <w:p>
            <w:pPr>
              <w:pStyle w:val="1063"/>
              <w:jc w:val="both"/>
              <w:widowControl w:val="off"/>
            </w:pPr>
            <w:r>
              <w:rPr>
                <w:rFonts w:ascii="Arial Narrow" w:hAnsi="Arial Narrow"/>
                <w:color w:val="000000"/>
                <w:sz w:val="20"/>
                <w:szCs w:val="20"/>
              </w:rPr>
              <w:t xml:space="preserve">Амортизация объектов капитализируемых ремонтов</w:t>
            </w:r>
            <w:r/>
          </w:p>
        </w:tc>
        <w:tc>
          <w:tcPr>
            <w:tcBorders>
              <w:top w:val="single" w:color="000000" w:sz="4" w:space="0"/>
              <w:left w:val="single" w:color="000000" w:sz="4" w:space="0"/>
              <w:bottom w:val="single" w:color="000000" w:sz="4" w:space="0"/>
              <w:right w:val="single" w:color="000000" w:sz="4" w:space="0"/>
            </w:tcBorders>
            <w:tcW w:w="1390" w:type="dxa"/>
            <w:vAlign w:val="center"/>
            <w:textDirection w:val="lrTb"/>
            <w:noWrap w:val="false"/>
          </w:tcPr>
          <w:p>
            <w:pPr>
              <w:pStyle w:val="1063"/>
              <w:jc w:val="center"/>
              <w:widowControl w:val="off"/>
            </w:pPr>
            <w:r>
              <w:rPr>
                <w:rFonts w:ascii="Arial Narrow" w:hAnsi="Arial Narrow"/>
                <w:color w:val="000000"/>
                <w:sz w:val="20"/>
                <w:szCs w:val="20"/>
              </w:rPr>
              <w:t xml:space="preserve">46 350</w:t>
            </w:r>
            <w:r/>
          </w:p>
        </w:tc>
        <w:tc>
          <w:tcPr>
            <w:tcBorders>
              <w:top w:val="single" w:color="000000" w:sz="4" w:space="0"/>
              <w:left w:val="single" w:color="000000" w:sz="4" w:space="0"/>
              <w:bottom w:val="single" w:color="000000" w:sz="4" w:space="0"/>
              <w:right w:val="single" w:color="000000" w:sz="4" w:space="0"/>
            </w:tcBorders>
            <w:tcW w:w="1445" w:type="dxa"/>
            <w:vAlign w:val="center"/>
            <w:textDirection w:val="lrTb"/>
            <w:noWrap w:val="false"/>
          </w:tcPr>
          <w:p>
            <w:pPr>
              <w:pStyle w:val="1063"/>
              <w:jc w:val="center"/>
              <w:widowControl w:val="off"/>
            </w:pPr>
            <w:r>
              <w:rPr>
                <w:rFonts w:ascii="Arial Narrow" w:hAnsi="Arial Narrow"/>
                <w:color w:val="000000"/>
                <w:sz w:val="20"/>
                <w:szCs w:val="20"/>
              </w:rPr>
              <w:t xml:space="preserve">73 720</w:t>
            </w:r>
            <w:r/>
          </w:p>
        </w:tc>
        <w:tc>
          <w:tcPr>
            <w:tcBorders>
              <w:top w:val="single" w:color="000000" w:sz="4" w:space="0"/>
              <w:left w:val="single" w:color="000000" w:sz="4" w:space="0"/>
              <w:bottom w:val="single" w:color="000000" w:sz="4" w:space="0"/>
              <w:right w:val="single" w:color="000000" w:sz="4" w:space="0"/>
            </w:tcBorders>
            <w:tcW w:w="1274" w:type="dxa"/>
            <w:vAlign w:val="center"/>
            <w:textDirection w:val="lrTb"/>
            <w:noWrap w:val="false"/>
          </w:tcPr>
          <w:p>
            <w:pPr>
              <w:pStyle w:val="1063"/>
              <w:jc w:val="center"/>
              <w:widowControl w:val="off"/>
            </w:pPr>
            <w:r>
              <w:rPr>
                <w:rFonts w:ascii="Arial Narrow" w:hAnsi="Arial Narrow"/>
                <w:color w:val="000000"/>
                <w:sz w:val="20"/>
                <w:szCs w:val="20"/>
              </w:rPr>
              <w:t xml:space="preserve">27 370</w:t>
            </w:r>
            <w:r/>
          </w:p>
        </w:tc>
      </w:tr>
      <w:tr>
        <w:trPr>
          <w:jc w:val="center"/>
          <w:trHeight w:val="40"/>
        </w:trPr>
        <w:tc>
          <w:tcPr>
            <w:tcBorders>
              <w:top w:val="single" w:color="000000" w:sz="4" w:space="0"/>
              <w:left w:val="single" w:color="000000" w:sz="4" w:space="0"/>
              <w:bottom w:val="single" w:color="000000" w:sz="4" w:space="0"/>
              <w:right w:val="single" w:color="000000" w:sz="4" w:space="0"/>
            </w:tcBorders>
            <w:tcW w:w="5973" w:type="dxa"/>
            <w:vAlign w:val="center"/>
            <w:textDirection w:val="lrTb"/>
            <w:noWrap w:val="false"/>
          </w:tcPr>
          <w:p>
            <w:pPr>
              <w:pStyle w:val="1063"/>
              <w:jc w:val="both"/>
              <w:widowControl w:val="off"/>
            </w:pPr>
            <w:r>
              <w:rPr>
                <w:rFonts w:ascii="Arial Narrow" w:hAnsi="Arial Narrow"/>
                <w:color w:val="000000"/>
                <w:sz w:val="20"/>
                <w:szCs w:val="20"/>
              </w:rPr>
              <w:t xml:space="preserve">Амортизация права пользования активами</w:t>
            </w:r>
            <w:r/>
          </w:p>
        </w:tc>
        <w:tc>
          <w:tcPr>
            <w:tcBorders>
              <w:top w:val="single" w:color="000000" w:sz="4" w:space="0"/>
              <w:left w:val="single" w:color="000000" w:sz="4" w:space="0"/>
              <w:bottom w:val="single" w:color="000000" w:sz="4" w:space="0"/>
              <w:right w:val="single" w:color="000000" w:sz="4" w:space="0"/>
            </w:tcBorders>
            <w:tcW w:w="1390" w:type="dxa"/>
            <w:vAlign w:val="center"/>
            <w:textDirection w:val="lrTb"/>
            <w:noWrap w:val="false"/>
          </w:tcPr>
          <w:p>
            <w:pPr>
              <w:pStyle w:val="1063"/>
              <w:jc w:val="center"/>
              <w:widowControl w:val="off"/>
            </w:pPr>
            <w:r>
              <w:rPr>
                <w:rFonts w:ascii="Arial Narrow" w:hAnsi="Arial Narrow"/>
                <w:color w:val="000000"/>
                <w:sz w:val="20"/>
                <w:szCs w:val="20"/>
              </w:rPr>
              <w:t xml:space="preserve">159 727</w:t>
            </w:r>
            <w:r/>
          </w:p>
        </w:tc>
        <w:tc>
          <w:tcPr>
            <w:tcBorders>
              <w:top w:val="single" w:color="000000" w:sz="4" w:space="0"/>
              <w:left w:val="single" w:color="000000" w:sz="4" w:space="0"/>
              <w:bottom w:val="single" w:color="000000" w:sz="4" w:space="0"/>
              <w:right w:val="single" w:color="000000" w:sz="4" w:space="0"/>
            </w:tcBorders>
            <w:tcW w:w="1445" w:type="dxa"/>
            <w:vAlign w:val="center"/>
            <w:textDirection w:val="lrTb"/>
            <w:noWrap w:val="false"/>
          </w:tcPr>
          <w:p>
            <w:pPr>
              <w:pStyle w:val="1063"/>
              <w:jc w:val="center"/>
              <w:widowControl w:val="off"/>
            </w:pPr>
            <w:r>
              <w:rPr>
                <w:rFonts w:ascii="Arial Narrow" w:hAnsi="Arial Narrow"/>
                <w:color w:val="000000"/>
                <w:sz w:val="20"/>
                <w:szCs w:val="20"/>
              </w:rPr>
              <w:t xml:space="preserve">166 813</w:t>
            </w:r>
            <w:r/>
          </w:p>
        </w:tc>
        <w:tc>
          <w:tcPr>
            <w:tcBorders>
              <w:top w:val="single" w:color="000000" w:sz="4" w:space="0"/>
              <w:left w:val="single" w:color="000000" w:sz="4" w:space="0"/>
              <w:bottom w:val="single" w:color="000000" w:sz="4" w:space="0"/>
              <w:right w:val="single" w:color="000000" w:sz="4" w:space="0"/>
            </w:tcBorders>
            <w:tcW w:w="1274" w:type="dxa"/>
            <w:vAlign w:val="center"/>
            <w:textDirection w:val="lrTb"/>
            <w:noWrap w:val="false"/>
          </w:tcPr>
          <w:p>
            <w:pPr>
              <w:pStyle w:val="1063"/>
              <w:jc w:val="center"/>
              <w:widowControl w:val="off"/>
            </w:pPr>
            <w:r>
              <w:rPr>
                <w:rFonts w:ascii="Arial Narrow" w:hAnsi="Arial Narrow"/>
                <w:color w:val="000000"/>
                <w:sz w:val="20"/>
                <w:szCs w:val="20"/>
              </w:rPr>
              <w:t xml:space="preserve">7 086</w:t>
            </w:r>
            <w:r/>
          </w:p>
        </w:tc>
      </w:tr>
      <w:tr>
        <w:trPr>
          <w:jc w:val="center"/>
          <w:trHeight w:val="40"/>
        </w:trPr>
        <w:tc>
          <w:tcPr>
            <w:shd w:val="clear" w:color="auto" w:fill="ffffff"/>
            <w:tcBorders>
              <w:top w:val="single" w:color="000000" w:sz="4" w:space="0"/>
              <w:left w:val="single" w:color="000000" w:sz="4" w:space="0"/>
              <w:bottom w:val="single" w:color="000000" w:sz="4" w:space="0"/>
              <w:right w:val="single" w:color="000000" w:sz="4" w:space="0"/>
            </w:tcBorders>
            <w:tcW w:w="5973" w:type="dxa"/>
            <w:vAlign w:val="center"/>
            <w:textDirection w:val="lrTb"/>
            <w:noWrap w:val="false"/>
          </w:tcPr>
          <w:p>
            <w:pPr>
              <w:pStyle w:val="1063"/>
              <w:jc w:val="both"/>
              <w:widowControl w:val="off"/>
            </w:pPr>
            <w:r>
              <w:rPr>
                <w:rFonts w:ascii="Arial Narrow" w:hAnsi="Arial Narrow"/>
                <w:color w:val="000000"/>
                <w:sz w:val="20"/>
                <w:szCs w:val="20"/>
              </w:rPr>
              <w:t xml:space="preserve">Амортизация HMA</w:t>
            </w:r>
            <w:r/>
          </w:p>
        </w:tc>
        <w:tc>
          <w:tcPr>
            <w:shd w:val="clear" w:color="auto" w:fill="ffffff"/>
            <w:tcBorders>
              <w:top w:val="single" w:color="000000" w:sz="4" w:space="0"/>
              <w:left w:val="single" w:color="000000" w:sz="4" w:space="0"/>
              <w:bottom w:val="single" w:color="000000" w:sz="4" w:space="0"/>
              <w:right w:val="single" w:color="000000" w:sz="4" w:space="0"/>
            </w:tcBorders>
            <w:tcW w:w="1390" w:type="dxa"/>
            <w:vAlign w:val="center"/>
            <w:textDirection w:val="lrTb"/>
            <w:noWrap w:val="false"/>
          </w:tcPr>
          <w:p>
            <w:pPr>
              <w:pStyle w:val="1063"/>
              <w:jc w:val="center"/>
              <w:widowControl w:val="off"/>
            </w:pPr>
            <w:r>
              <w:rPr>
                <w:rFonts w:ascii="Arial Narrow" w:hAnsi="Arial Narrow"/>
                <w:color w:val="000000"/>
                <w:sz w:val="20"/>
                <w:szCs w:val="20"/>
              </w:rPr>
              <w:t xml:space="preserve">0</w:t>
            </w:r>
            <w:r/>
          </w:p>
        </w:tc>
        <w:tc>
          <w:tcPr>
            <w:shd w:val="clear" w:color="auto" w:fill="ffffff"/>
            <w:tcBorders>
              <w:top w:val="single" w:color="000000" w:sz="4" w:space="0"/>
              <w:left w:val="single" w:color="000000" w:sz="4" w:space="0"/>
              <w:bottom w:val="single" w:color="000000" w:sz="4" w:space="0"/>
              <w:right w:val="single" w:color="000000" w:sz="4" w:space="0"/>
            </w:tcBorders>
            <w:tcW w:w="1445" w:type="dxa"/>
            <w:vAlign w:val="center"/>
            <w:textDirection w:val="lrTb"/>
            <w:noWrap w:val="false"/>
          </w:tcPr>
          <w:p>
            <w:pPr>
              <w:pStyle w:val="1063"/>
              <w:jc w:val="center"/>
              <w:widowControl w:val="off"/>
            </w:pPr>
            <w:r>
              <w:rPr>
                <w:rFonts w:ascii="Arial Narrow" w:hAnsi="Arial Narrow"/>
                <w:color w:val="000000"/>
                <w:sz w:val="20"/>
                <w:szCs w:val="20"/>
              </w:rPr>
              <w:t xml:space="preserve">10 957</w:t>
            </w:r>
            <w:r/>
          </w:p>
        </w:tc>
        <w:tc>
          <w:tcPr>
            <w:shd w:val="clear" w:color="auto" w:fill="ffffff"/>
            <w:tcBorders>
              <w:top w:val="single" w:color="000000" w:sz="4" w:space="0"/>
              <w:left w:val="single" w:color="000000" w:sz="4" w:space="0"/>
              <w:bottom w:val="single" w:color="000000" w:sz="4" w:space="0"/>
              <w:right w:val="single" w:color="000000" w:sz="4" w:space="0"/>
            </w:tcBorders>
            <w:tcW w:w="1274" w:type="dxa"/>
            <w:vAlign w:val="center"/>
            <w:textDirection w:val="lrTb"/>
            <w:noWrap w:val="false"/>
          </w:tcPr>
          <w:p>
            <w:pPr>
              <w:pStyle w:val="1063"/>
              <w:jc w:val="center"/>
              <w:widowControl w:val="off"/>
            </w:pPr>
            <w:r>
              <w:rPr>
                <w:rFonts w:ascii="Arial Narrow" w:hAnsi="Arial Narrow"/>
                <w:color w:val="000000"/>
                <w:sz w:val="20"/>
                <w:szCs w:val="20"/>
              </w:rPr>
              <w:t xml:space="preserve">10 957</w:t>
            </w:r>
            <w:r/>
          </w:p>
        </w:tc>
      </w:tr>
    </w:tbl>
    <w:p>
      <w:pPr>
        <w:pStyle w:val="1063"/>
        <w:ind w:firstLine="709"/>
        <w:jc w:val="both"/>
        <w:rPr>
          <w:rFonts w:ascii="Arial Narrow" w:hAnsi="Arial Narrow" w:cs="Calibri"/>
          <w:sz w:val="10"/>
          <w:szCs w:val="10"/>
        </w:rPr>
      </w:pPr>
      <w:r>
        <w:rPr>
          <w:rFonts w:ascii="Arial Narrow" w:hAnsi="Arial Narrow" w:cs="Calibri"/>
          <w:sz w:val="10"/>
          <w:szCs w:val="10"/>
        </w:rPr>
      </w:r>
      <w:r>
        <w:rPr>
          <w:rFonts w:ascii="Arial Narrow" w:hAnsi="Arial Narrow" w:cs="Calibri"/>
          <w:sz w:val="10"/>
          <w:szCs w:val="10"/>
        </w:rPr>
      </w:r>
      <w:r>
        <w:rPr>
          <w:rFonts w:ascii="Arial Narrow" w:hAnsi="Arial Narrow" w:cs="Calibri"/>
          <w:sz w:val="10"/>
          <w:szCs w:val="10"/>
        </w:rPr>
      </w:r>
    </w:p>
    <w:p>
      <w:pPr>
        <w:pStyle w:val="1063"/>
        <w:ind w:firstLine="567"/>
        <w:jc w:val="both"/>
      </w:pPr>
      <w:r>
        <w:rPr>
          <w:rFonts w:ascii="Arial Narrow" w:hAnsi="Arial Narrow"/>
          <w:bCs/>
          <w:iCs/>
          <w:color w:val="0f0d29"/>
        </w:rPr>
        <w:t xml:space="preserve">Прочие расходы</w:t>
      </w:r>
      <w:r>
        <w:rPr>
          <w:rFonts w:ascii="Arial Narrow" w:hAnsi="Arial Narrow"/>
          <w:color w:val="0f0d29"/>
        </w:rPr>
        <w:t xml:space="preserve"> в составе себестоимости за 2024 год выше факта прошлого года </w:t>
      </w:r>
      <w:r>
        <w:rPr>
          <w:rFonts w:ascii="Arial Narrow" w:hAnsi="Arial Narrow"/>
          <w:color w:val="0f0d29"/>
        </w:rPr>
        <w:br/>
        <w:t xml:space="preserve">на 227 680 тыс. рублей (на +15,3 %), в том числе:</w:t>
      </w: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eastAsia="en-US" w:bidi="ru-RU"/>
        </w:rPr>
        <w:t xml:space="preserve">расходы на услуги Системного оператора в сумме (+) 76</w:t>
      </w:r>
      <w:r>
        <w:rPr>
          <w:rFonts w:ascii="Arial Narrow" w:hAnsi="Arial Narrow" w:cs="Calibri"/>
          <w:sz w:val="24"/>
          <w:szCs w:val="24"/>
          <w:lang w:eastAsia="en-US" w:bidi="ru-RU"/>
        </w:rPr>
        <w:t xml:space="preserve"> </w:t>
      </w:r>
      <w:r>
        <w:rPr>
          <w:rFonts w:ascii="Arial Narrow" w:hAnsi="Arial Narrow" w:cs="Calibri"/>
          <w:sz w:val="24"/>
          <w:szCs w:val="24"/>
          <w:lang w:val="ru-RU" w:eastAsia="en-US" w:bidi="ru-RU"/>
        </w:rPr>
        <w:t xml:space="preserve">454 тыс. рублей. В целях выполнения требований Федерального закона от 11.06.2022 № 174-ФЗ «О внесении изменений в Федеральный закон «Об электроэнергетике» и отдельные законодательные акты Российской Федерации», предусматривающег</w:t>
      </w:r>
      <w:r>
        <w:rPr>
          <w:rFonts w:ascii="Arial Narrow" w:hAnsi="Arial Narrow" w:cs="Calibri"/>
          <w:sz w:val="24"/>
          <w:szCs w:val="24"/>
          <w:lang w:val="ru-RU" w:eastAsia="en-US" w:bidi="ru-RU"/>
        </w:rPr>
        <w:t xml:space="preserve">о выполнение АО «СО ЕЭС» с 01.01.2024 функций оперативно-диспетчерского управления в электроэнергетике в технически изолированных территориальных электроэнергетических системах, в соответствии с положениями Соглашения  о взаимодействии между АО «СО ЕЭС» и </w:t>
      </w:r>
      <w:r>
        <w:rPr>
          <w:rFonts w:ascii="Arial Narrow" w:hAnsi="Arial Narrow" w:cs="Calibri"/>
          <w:sz w:val="24"/>
          <w:szCs w:val="24"/>
          <w:lang w:val="ru-RU" w:eastAsia="en-US" w:bidi="ru-RU"/>
        </w:rPr>
        <w:br/>
        <w:t xml:space="preserve">ПАО «Камчатскэнерго» при расширении зоны диспетчерской ответственности АО «СО ЕЭС» на территории технологически изолированных территориальных электроэнергетических систем ДФО от 16.06.2022 </w:t>
      </w:r>
      <w:r>
        <w:rPr>
          <w:rFonts w:ascii="Arial Narrow" w:hAnsi="Arial Narrow" w:cs="Calibri"/>
          <w:sz w:val="24"/>
          <w:szCs w:val="24"/>
          <w:lang w:val="ru-RU" w:eastAsia="en-US" w:bidi="ru-RU"/>
        </w:rPr>
        <w:br/>
        <w:t xml:space="preserve">№ 110-798-2022;</w:t>
      </w:r>
      <w:r>
        <w:rPr>
          <w:lang w:val="ru-RU"/>
        </w:rPr>
      </w:r>
      <w:r>
        <w:rPr>
          <w:lang w:val="ru-RU"/>
        </w:rP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eastAsia="en-US" w:bidi="ru-RU"/>
        </w:rPr>
        <w:t xml:space="preserve">расходы по ведению бухгалтерского и налогового учета увеличились на (+) 9 345 тыс. рублей согласно договору от 03.08.2022 № ОЦО–КЭ–2022–2024 на оказание услуг по ведению бухгалтерского и налогового учета с АО «РусГидро Общий центр обслуживания»;</w:t>
      </w:r>
      <w:r>
        <w:rPr>
          <w:lang w:val="ru-RU"/>
        </w:rPr>
      </w:r>
      <w:r>
        <w:rPr>
          <w:lang w:val="ru-RU"/>
        </w:rP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расходы на ИТ – услуги увеличились на (+) 117</w:t>
      </w:r>
      <w:r>
        <w:rPr>
          <w:rFonts w:ascii="Arial Narrow" w:hAnsi="Arial Narrow" w:cs="Calibri"/>
          <w:sz w:val="24"/>
          <w:szCs w:val="24"/>
          <w:lang w:bidi="ru-RU"/>
        </w:rPr>
        <w:t xml:space="preserve"> </w:t>
      </w:r>
      <w:r>
        <w:rPr>
          <w:rFonts w:ascii="Arial Narrow" w:hAnsi="Arial Narrow" w:cs="Calibri"/>
          <w:sz w:val="24"/>
          <w:szCs w:val="24"/>
          <w:lang w:val="ru-RU" w:bidi="ru-RU"/>
        </w:rPr>
        <w:t xml:space="preserve">892 тыс. рублей, что обусловлено ростом стоимости приобретаемого для производственно-хозяйственной деятельности Общества лиц</w:t>
      </w:r>
      <w:r>
        <w:rPr>
          <w:rFonts w:ascii="Arial Narrow" w:hAnsi="Arial Narrow" w:cs="Calibri"/>
          <w:sz w:val="24"/>
          <w:szCs w:val="24"/>
          <w:lang w:val="ru-RU" w:bidi="ru-RU"/>
        </w:rPr>
        <w:t xml:space="preserve">ензионного программного обеспечения, средств криптографической защиты информации, ростом стоимости услуг по технической поддержке программного обеспечения, а также с переходом с 01.12.2023 на сервисную модель предоставления услуг информационных технологий;</w:t>
      </w:r>
      <w:r>
        <w:rPr>
          <w:lang w:val="ru-RU"/>
        </w:rPr>
      </w:r>
      <w:r>
        <w:rPr>
          <w:lang w:val="ru-RU"/>
        </w:rP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услуги военизированной охраны увеличились на (+) 26</w:t>
      </w:r>
      <w:r>
        <w:rPr>
          <w:rFonts w:ascii="Arial Narrow" w:hAnsi="Arial Narrow" w:cs="Calibri"/>
          <w:sz w:val="24"/>
          <w:szCs w:val="24"/>
          <w:lang w:bidi="ru-RU"/>
        </w:rPr>
        <w:t xml:space="preserve"> </w:t>
      </w:r>
      <w:r>
        <w:rPr>
          <w:rFonts w:ascii="Arial Narrow" w:hAnsi="Arial Narrow" w:cs="Calibri"/>
          <w:sz w:val="24"/>
          <w:szCs w:val="24"/>
          <w:lang w:val="ru-RU" w:bidi="ru-RU"/>
        </w:rPr>
        <w:t xml:space="preserve">558 тыс. рублей  в связи с ростом стоимости услуг постовой охраны и затрат на услуги, оказываемые по антитеррористической защищенности объектов ТЭК ФГУП «Охрана» Росгвардии, по причине повышения МРОТ в 2024 году до 19 242 рублей.</w:t>
      </w:r>
      <w:r>
        <w:rPr>
          <w:lang w:val="ru-RU"/>
        </w:rPr>
      </w:r>
      <w:r>
        <w:rPr>
          <w:lang w:val="ru-RU"/>
        </w:rPr>
      </w:r>
    </w:p>
    <w:p>
      <w:pPr>
        <w:pStyle w:val="1063"/>
        <w:ind w:firstLine="567"/>
        <w:jc w:val="both"/>
        <w:rPr>
          <w:rFonts w:ascii="Arial Narrow" w:hAnsi="Arial Narrow"/>
          <w:color w:val="0f0d29"/>
          <w:sz w:val="4"/>
          <w:szCs w:val="4"/>
        </w:rPr>
      </w:pPr>
      <w:r>
        <w:rPr>
          <w:rFonts w:ascii="Arial Narrow" w:hAnsi="Arial Narrow"/>
          <w:color w:val="0f0d29"/>
          <w:sz w:val="4"/>
          <w:szCs w:val="4"/>
        </w:rPr>
      </w:r>
      <w:r>
        <w:rPr>
          <w:rFonts w:ascii="Arial Narrow" w:hAnsi="Arial Narrow"/>
          <w:color w:val="0f0d29"/>
          <w:sz w:val="4"/>
          <w:szCs w:val="4"/>
        </w:rPr>
      </w:r>
      <w:r>
        <w:rPr>
          <w:rFonts w:ascii="Arial Narrow" w:hAnsi="Arial Narrow"/>
          <w:color w:val="0f0d29"/>
          <w:sz w:val="4"/>
          <w:szCs w:val="4"/>
        </w:rPr>
      </w:r>
    </w:p>
    <w:p>
      <w:pPr>
        <w:pStyle w:val="1063"/>
        <w:ind w:firstLine="567"/>
        <w:jc w:val="both"/>
      </w:pPr>
      <w:r>
        <w:rPr>
          <w:rFonts w:ascii="Arial Narrow" w:hAnsi="Arial Narrow"/>
          <w:bCs/>
          <w:iCs/>
          <w:color w:val="0f0d29"/>
        </w:rPr>
        <w:t xml:space="preserve">Прочие доходы</w:t>
      </w:r>
      <w:r>
        <w:rPr>
          <w:rFonts w:ascii="Arial Narrow" w:hAnsi="Arial Narrow"/>
          <w:color w:val="0f0d29"/>
        </w:rPr>
        <w:t xml:space="preserve"> в 2024 году составили 3 861 847 тыс. рублей, что больше доходов 2023 года </w:t>
      </w:r>
      <w:r>
        <w:rPr>
          <w:rFonts w:ascii="Arial Narrow" w:hAnsi="Arial Narrow"/>
          <w:color w:val="0f0d29"/>
        </w:rPr>
        <w:br/>
        <w:t xml:space="preserve">на 487 738 тыс. рублей (на 14 %). В том числе по основным статьям доходов:</w:t>
      </w: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проценты к получению за 2024 год больше факта прошлого года на 444 340 тыс. рублей, что обусловлено ростом ключевой ставки ЦБ РФ в сравнении с предыдущим периодом и увеличением общего объема остатка денежных средств на расчетных счетах Общества;</w:t>
      </w:r>
      <w:r>
        <w:rPr>
          <w:lang w:val="ru-RU"/>
        </w:rPr>
      </w:r>
      <w:r>
        <w:rPr>
          <w:lang w:val="ru-RU"/>
        </w:rP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получены доходы от реализации собственных акций по договору РАО – 24/011 от 23.12.2024 в сумме 40 140 тыс. рублей.</w:t>
      </w:r>
      <w:r>
        <w:rPr>
          <w:lang w:val="ru-RU"/>
        </w:rPr>
      </w:r>
      <w:r>
        <w:rPr>
          <w:lang w:val="ru-RU"/>
        </w:rP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  субсидия на компенсацию разницы в тарифах по электроэнергии, используемой на производственные нужды при произв</w:t>
      </w:r>
      <w:r>
        <w:rPr>
          <w:rFonts w:ascii="Arial Narrow" w:hAnsi="Arial Narrow" w:cs="Calibri"/>
          <w:sz w:val="24"/>
          <w:szCs w:val="24"/>
          <w:lang w:val="ru-RU" w:bidi="ru-RU"/>
        </w:rPr>
        <w:t xml:space="preserve">одстве тепловой энергии, в связи с принятием Правительством РФ решения о доведении уровня тарифов на электрическую энергию на территории ДФО до среднероссийского уровня, за 2024 год составила 247 999 тыс. рублей, что ниже фактически полученной в 2023 году </w:t>
      </w:r>
      <w:r>
        <w:rPr>
          <w:rFonts w:ascii="Arial Narrow" w:hAnsi="Arial Narrow" w:cs="Calibri"/>
          <w:sz w:val="24"/>
          <w:szCs w:val="24"/>
          <w:lang w:val="ru-RU" w:bidi="ru-RU"/>
        </w:rPr>
        <w:br/>
        <w:t xml:space="preserve">на (-) 43</w:t>
      </w:r>
      <w:r>
        <w:rPr>
          <w:rFonts w:ascii="Arial Narrow" w:hAnsi="Arial Narrow" w:cs="Calibri"/>
          <w:sz w:val="24"/>
          <w:szCs w:val="24"/>
          <w:lang w:bidi="ru-RU"/>
        </w:rPr>
        <w:t xml:space="preserve"> </w:t>
      </w:r>
      <w:r>
        <w:rPr>
          <w:rFonts w:ascii="Arial Narrow" w:hAnsi="Arial Narrow" w:cs="Calibri"/>
          <w:sz w:val="24"/>
          <w:szCs w:val="24"/>
          <w:lang w:val="ru-RU" w:bidi="ru-RU"/>
        </w:rPr>
        <w:t xml:space="preserve">597 тыс. рублей;</w:t>
      </w:r>
      <w:r>
        <w:rPr>
          <w:lang w:val="ru-RU"/>
        </w:rPr>
      </w:r>
      <w:r>
        <w:rPr>
          <w:lang w:val="ru-RU"/>
        </w:rP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в 2023 году получены субсидии на компенсацию выпадающих доходов,</w:t>
      </w:r>
      <w:r>
        <w:rPr>
          <w:rFonts w:ascii="Arial Narrow" w:hAnsi="Arial Narrow" w:cs="Calibri"/>
          <w:sz w:val="24"/>
          <w:szCs w:val="24"/>
          <w:lang w:val="ru-RU" w:eastAsia="en-US" w:bidi="ru-RU"/>
        </w:rPr>
        <w:t xml:space="preserve"> </w:t>
      </w:r>
      <w:r>
        <w:rPr>
          <w:rFonts w:ascii="Arial Narrow" w:hAnsi="Arial Narrow" w:cs="Calibri"/>
          <w:sz w:val="24"/>
          <w:szCs w:val="24"/>
          <w:lang w:val="ru-RU" w:bidi="ru-RU"/>
        </w:rPr>
        <w:t xml:space="preserve">не принятых в тарифную выручку, в целях возмещения недополученных доходов в связи с замещением дефицита газа резервными видами топлива в сумме 1</w:t>
      </w:r>
      <w:r>
        <w:rPr>
          <w:rFonts w:ascii="Arial Narrow" w:hAnsi="Arial Narrow" w:cs="Calibri"/>
          <w:sz w:val="24"/>
          <w:szCs w:val="24"/>
          <w:lang w:bidi="ru-RU"/>
        </w:rPr>
        <w:t xml:space="preserve"> </w:t>
      </w:r>
      <w:r>
        <w:rPr>
          <w:rFonts w:ascii="Arial Narrow" w:hAnsi="Arial Narrow" w:cs="Calibri"/>
          <w:sz w:val="24"/>
          <w:szCs w:val="24"/>
          <w:lang w:val="ru-RU" w:bidi="ru-RU"/>
        </w:rPr>
        <w:t xml:space="preserve">610 508 тыс. рублей, в 2024 году субсидии на компенсацию выпадающих доходов отсутствуют;</w:t>
      </w:r>
      <w:r>
        <w:rPr>
          <w:lang w:val="ru-RU"/>
        </w:rPr>
      </w:r>
      <w:r>
        <w:rPr>
          <w:lang w:val="ru-RU"/>
        </w:rP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доходы по пеням и штрафам, признанным или по которым получено решение суда, за 2024 год выше доходов прошлого года на 45 407 тыс. рублей;  </w:t>
      </w:r>
      <w:r>
        <w:rPr>
          <w:lang w:val="ru-RU"/>
        </w:rPr>
      </w:r>
      <w:r>
        <w:rPr>
          <w:lang w:val="ru-RU"/>
        </w:rP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в 2024 году выявлена прибыль прошлых лет на сумму 280 887 тыс. рублей, что больше показателя за 2023 год на 246</w:t>
      </w:r>
      <w:r>
        <w:rPr>
          <w:rFonts w:ascii="Arial Narrow" w:hAnsi="Arial Narrow" w:cs="Calibri"/>
          <w:sz w:val="24"/>
          <w:szCs w:val="24"/>
          <w:lang w:bidi="ru-RU"/>
        </w:rPr>
        <w:t xml:space="preserve"> </w:t>
      </w:r>
      <w:r>
        <w:rPr>
          <w:rFonts w:ascii="Arial Narrow" w:hAnsi="Arial Narrow" w:cs="Calibri"/>
          <w:sz w:val="24"/>
          <w:szCs w:val="24"/>
          <w:lang w:val="ru-RU" w:bidi="ru-RU"/>
        </w:rPr>
        <w:t xml:space="preserve">915 тыс. рублей. Основная сумма доходов по данной статье – это перерасчеты по товарной продукции от реализации электрической и тепловой энергии и корректировка расходов за прошлые годы;</w:t>
      </w:r>
      <w:r>
        <w:rPr>
          <w:lang w:val="ru-RU"/>
        </w:rPr>
      </w:r>
      <w:r>
        <w:rPr>
          <w:lang w:val="ru-RU"/>
        </w:rP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оценочные резервы по сомнительным долгам и судебным искам к ПАО «Камчатскэнерго» </w:t>
      </w:r>
      <w:r>
        <w:rPr>
          <w:rFonts w:ascii="Arial Narrow" w:hAnsi="Arial Narrow" w:cs="Calibri"/>
          <w:sz w:val="24"/>
          <w:szCs w:val="24"/>
          <w:lang w:val="ru-RU" w:bidi="ru-RU"/>
        </w:rPr>
        <w:br/>
        <w:t xml:space="preserve">в 2024 году восстановлены в объеме 2 203 459 тыс. рублей, что больше факта 2023 года </w:t>
      </w:r>
      <w:r>
        <w:rPr>
          <w:rFonts w:ascii="Arial Narrow" w:hAnsi="Arial Narrow" w:cs="Calibri"/>
          <w:sz w:val="24"/>
          <w:szCs w:val="24"/>
          <w:lang w:val="ru-RU" w:bidi="ru-RU"/>
        </w:rPr>
        <w:br/>
        <w:t xml:space="preserve">на 1 284 345 тыс. рублей. В отчетности отражено свернутое сальдо по созданию и восстановлению резерва по сомнительным долгам;</w:t>
      </w:r>
      <w:r>
        <w:rPr>
          <w:lang w:val="ru-RU"/>
        </w:rPr>
      </w:r>
      <w:r>
        <w:rPr>
          <w:lang w:val="ru-RU"/>
        </w:rP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получены доходы от поступления на счета Общества обыкновенных и привилегированных акций ПАО «Камчатскэнерго» по решению суда в связи со взысканием бесхозных акций от обанкротившихся компаний в сумме 139 284 тыс. рублей;</w:t>
      </w:r>
      <w:r>
        <w:rPr>
          <w:lang w:val="ru-RU"/>
        </w:rPr>
      </w:r>
      <w:r>
        <w:rPr>
          <w:lang w:val="ru-RU"/>
        </w:rPr>
      </w:r>
    </w:p>
    <w:p>
      <w:pPr>
        <w:pStyle w:val="1063"/>
        <w:ind w:firstLine="567"/>
        <w:jc w:val="both"/>
        <w:rPr>
          <w:rFonts w:ascii="Arial Narrow" w:hAnsi="Arial Narrow"/>
          <w:color w:val="0f0d29"/>
          <w:sz w:val="4"/>
          <w:szCs w:val="4"/>
        </w:rPr>
      </w:pPr>
      <w:r>
        <w:rPr>
          <w:rFonts w:ascii="Arial Narrow" w:hAnsi="Arial Narrow"/>
          <w:color w:val="0f0d29"/>
          <w:sz w:val="4"/>
          <w:szCs w:val="4"/>
        </w:rPr>
      </w:r>
      <w:r>
        <w:rPr>
          <w:rFonts w:ascii="Arial Narrow" w:hAnsi="Arial Narrow"/>
          <w:color w:val="0f0d29"/>
          <w:sz w:val="4"/>
          <w:szCs w:val="4"/>
        </w:rPr>
      </w:r>
      <w:r>
        <w:rPr>
          <w:rFonts w:ascii="Arial Narrow" w:hAnsi="Arial Narrow"/>
          <w:color w:val="0f0d29"/>
          <w:sz w:val="4"/>
          <w:szCs w:val="4"/>
        </w:rPr>
      </w:r>
    </w:p>
    <w:p>
      <w:pPr>
        <w:pStyle w:val="1063"/>
        <w:ind w:firstLine="567"/>
        <w:jc w:val="both"/>
      </w:pPr>
      <w:r>
        <w:rPr>
          <w:rFonts w:ascii="Arial Narrow" w:hAnsi="Arial Narrow"/>
          <w:bCs/>
          <w:iCs/>
          <w:color w:val="0f0d29"/>
        </w:rPr>
        <w:t xml:space="preserve">Прочие расходы</w:t>
      </w:r>
      <w:r>
        <w:rPr>
          <w:rFonts w:ascii="Arial Narrow" w:hAnsi="Arial Narrow"/>
          <w:color w:val="0f0d29"/>
        </w:rPr>
        <w:t xml:space="preserve"> в 2024 году составили 3 749 925 тыс. рублей, что на 55 531 тыс. рублей (на 2 %) ниже факта 2023 года. В том числе по основным статьям расходов:</w:t>
      </w: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проценты к уплате за 2024 год больше расходов за прошлый год на 1 092 293 тыс. рублей, в связи с ростом процентных ставок, в результате роста ключевой ставки Центрального банка России </w:t>
      </w:r>
      <w:r>
        <w:rPr>
          <w:rFonts w:ascii="Arial Narrow" w:hAnsi="Arial Narrow" w:cs="Calibri"/>
          <w:sz w:val="24"/>
          <w:szCs w:val="24"/>
          <w:lang w:val="ru-RU" w:bidi="ru-RU"/>
        </w:rPr>
        <w:br/>
        <w:t xml:space="preserve">до 19,7 % годовых. Кроме того, по данной статье по факту 2024 года отражены проценты по дисконтированным арендным обязательствам в сумме 14</w:t>
      </w:r>
      <w:r>
        <w:rPr>
          <w:rFonts w:ascii="Arial Narrow" w:hAnsi="Arial Narrow" w:cs="Calibri"/>
          <w:sz w:val="24"/>
          <w:szCs w:val="24"/>
          <w:lang w:bidi="ru-RU"/>
        </w:rPr>
        <w:t xml:space="preserve"> </w:t>
      </w:r>
      <w:r>
        <w:rPr>
          <w:rFonts w:ascii="Arial Narrow" w:hAnsi="Arial Narrow" w:cs="Calibri"/>
          <w:sz w:val="24"/>
          <w:szCs w:val="24"/>
          <w:lang w:val="ru-RU" w:bidi="ru-RU"/>
        </w:rPr>
        <w:t xml:space="preserve">590 тыс. рублей, что выше факта 2023 года </w:t>
      </w:r>
      <w:r>
        <w:rPr>
          <w:rFonts w:ascii="Arial Narrow" w:hAnsi="Arial Narrow" w:cs="Calibri"/>
          <w:sz w:val="24"/>
          <w:szCs w:val="24"/>
          <w:lang w:val="ru-RU" w:bidi="ru-RU"/>
        </w:rPr>
        <w:br/>
        <w:t xml:space="preserve">на (+) 10</w:t>
      </w:r>
      <w:r>
        <w:rPr>
          <w:rFonts w:ascii="Arial Narrow" w:hAnsi="Arial Narrow" w:cs="Calibri"/>
          <w:sz w:val="24"/>
          <w:szCs w:val="24"/>
          <w:lang w:bidi="ru-RU"/>
        </w:rPr>
        <w:t xml:space="preserve"> </w:t>
      </w:r>
      <w:r>
        <w:rPr>
          <w:rFonts w:ascii="Arial Narrow" w:hAnsi="Arial Narrow" w:cs="Calibri"/>
          <w:sz w:val="24"/>
          <w:szCs w:val="24"/>
          <w:lang w:val="ru-RU" w:bidi="ru-RU"/>
        </w:rPr>
        <w:t xml:space="preserve">007 тыс. рублей;</w:t>
      </w:r>
      <w:r>
        <w:rPr>
          <w:lang w:val="ru-RU"/>
        </w:rPr>
      </w:r>
      <w:r>
        <w:rPr>
          <w:lang w:val="ru-RU"/>
        </w:rP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расходы по реализации основных средств и прочих активов за 2024 год составили </w:t>
      </w:r>
      <w:r>
        <w:rPr>
          <w:rFonts w:ascii="Arial Narrow" w:hAnsi="Arial Narrow" w:cs="Calibri"/>
          <w:sz w:val="24"/>
          <w:szCs w:val="24"/>
          <w:lang w:val="ru-RU" w:bidi="ru-RU"/>
        </w:rPr>
        <w:br/>
        <w:t xml:space="preserve">24 005 тыс. рублей, что ниже расходов 2023 года на (-) 17</w:t>
      </w:r>
      <w:r>
        <w:rPr>
          <w:rFonts w:ascii="Arial Narrow" w:hAnsi="Arial Narrow" w:cs="Calibri"/>
          <w:sz w:val="24"/>
          <w:szCs w:val="24"/>
          <w:lang w:bidi="ru-RU"/>
        </w:rPr>
        <w:t xml:space="preserve"> </w:t>
      </w:r>
      <w:r>
        <w:rPr>
          <w:rFonts w:ascii="Arial Narrow" w:hAnsi="Arial Narrow" w:cs="Calibri"/>
          <w:sz w:val="24"/>
          <w:szCs w:val="24"/>
          <w:lang w:val="ru-RU" w:bidi="ru-RU"/>
        </w:rPr>
        <w:t xml:space="preserve">062 тыс. рублей, в том числе за счет уменьшения расходов по реализации топлива (мазут, уголь), шин, металлолома, дизель – генераторов, трансформаторов;</w:t>
      </w:r>
      <w:r>
        <w:rPr>
          <w:lang w:val="ru-RU"/>
        </w:rPr>
      </w:r>
      <w:r>
        <w:rPr>
          <w:lang w:val="ru-RU"/>
        </w:rP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в 2024 году резерв на сомнительную ко взысканию дебиторскую задолженность (РСД) предприятий сформирован в сумме 917 519 тыс. рублей, что меньше объема резерва, созданного по итогам 2023 года, на 1</w:t>
      </w:r>
      <w:r>
        <w:rPr>
          <w:rFonts w:ascii="Arial Narrow" w:hAnsi="Arial Narrow" w:cs="Calibri"/>
          <w:sz w:val="24"/>
          <w:szCs w:val="24"/>
          <w:lang w:bidi="ru-RU"/>
        </w:rPr>
        <w:t xml:space="preserve"> </w:t>
      </w:r>
      <w:r>
        <w:rPr>
          <w:rFonts w:ascii="Arial Narrow" w:hAnsi="Arial Narrow" w:cs="Calibri"/>
          <w:sz w:val="24"/>
          <w:szCs w:val="24"/>
          <w:lang w:val="ru-RU" w:bidi="ru-RU"/>
        </w:rPr>
        <w:t xml:space="preserve">068 171 тыс. рублей.  По итогам 2024 года П</w:t>
      </w:r>
      <w:r>
        <w:rPr>
          <w:rFonts w:ascii="Arial Narrow" w:hAnsi="Arial Narrow" w:cs="Calibri"/>
          <w:sz w:val="24"/>
          <w:szCs w:val="24"/>
          <w:lang w:val="ru-RU" w:bidi="ru-RU"/>
        </w:rPr>
        <w:t xml:space="preserve">АО «Камчатскэнерго» при создании РСД Общества оценена вероятность погашения просроченной дебиторской задолженности свыше 180 дней в соответствии с Учётной политикой. По итогам оценки начислен РСД на дебиторскую задолженность предприятий-банкротов в полном </w:t>
      </w:r>
      <w:r>
        <w:rPr>
          <w:rFonts w:ascii="Arial Narrow" w:hAnsi="Arial Narrow" w:cs="Calibri"/>
          <w:sz w:val="24"/>
          <w:szCs w:val="24"/>
          <w:lang w:val="ru-RU" w:bidi="ru-RU"/>
        </w:rPr>
        <w:t xml:space="preserve">объеме и в максимально возможном объеме на дебиторскую задолженность контрагентов с низкой платежной дисциплиной. В отчетности отражено свернутое сальдо по созданию и восстановлению резерва по дебиторской задолженности, признанной сомнительной к взысканию;</w:t>
      </w:r>
      <w:r>
        <w:rPr>
          <w:lang w:val="ru-RU"/>
        </w:rPr>
      </w:r>
      <w:r>
        <w:rPr>
          <w:lang w:val="ru-RU"/>
        </w:rP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в 2024 году созданы оценочные резервы по судебным искам и под обесценение материально-производственных запасов в сумме 27 268 тыс. рублей. Снижение по сравнению с резервами, созданными в 2023 году составило (-) 6 571 тыс. рублей.</w:t>
      </w:r>
      <w:r>
        <w:rPr>
          <w:lang w:val="ru-RU"/>
        </w:rPr>
      </w:r>
      <w:r>
        <w:rPr>
          <w:lang w:val="ru-RU"/>
        </w:rP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в 2024 году объем списания дебиторской задолженности составил 706 255 тыс. рублей, что выше факта 2023 года на 107 969 тыс. рублей;</w:t>
      </w:r>
      <w:r>
        <w:rPr>
          <w:lang w:val="ru-RU"/>
        </w:rPr>
      </w:r>
      <w:r>
        <w:rPr>
          <w:lang w:val="ru-RU"/>
        </w:rP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пени, неустойки, признанные или по которым получено решение суда за 2024 год, фактически составили 2 362 тыс. рублей, что ниже фактических расходов 2023 года на (-) 964 тыс. рублей;</w:t>
      </w:r>
      <w:r>
        <w:rPr>
          <w:lang w:val="ru-RU"/>
        </w:rPr>
      </w:r>
      <w:r>
        <w:rPr>
          <w:lang w:val="ru-RU"/>
        </w:rPr>
      </w:r>
    </w:p>
    <w:p>
      <w:pPr>
        <w:pStyle w:val="1091"/>
        <w:numPr>
          <w:ilvl w:val="0"/>
          <w:numId w:val="2"/>
        </w:numPr>
        <w:ind w:left="0" w:firstLine="567"/>
        <w:jc w:val="both"/>
        <w:spacing w:line="276" w:lineRule="auto"/>
        <w:tabs>
          <w:tab w:val="left" w:pos="992" w:leader="none"/>
        </w:tabs>
        <w:rPr>
          <w:lang w:val="ru-RU"/>
        </w:rPr>
      </w:pPr>
      <w:r>
        <w:rPr>
          <w:rFonts w:ascii="Arial Narrow" w:hAnsi="Arial Narrow" w:cs="Calibri"/>
          <w:sz w:val="24"/>
          <w:szCs w:val="24"/>
          <w:lang w:val="ru-RU" w:bidi="ru-RU"/>
        </w:rPr>
        <w:t xml:space="preserve">убытки прошлых лет, выявленные в 2024 году ниже факта 2023 года на 53 731 тыс. рублей по данной строке отражаются перерасчеты по товарной продукции за прошлые годы, корректировки по расходам и доходам, осуществленным в прошлых годах.</w:t>
      </w:r>
      <w:r>
        <w:rPr>
          <w:lang w:val="ru-RU"/>
        </w:rPr>
      </w:r>
      <w:r>
        <w:rPr>
          <w:lang w:val="ru-RU"/>
        </w:rPr>
      </w:r>
    </w:p>
    <w:p>
      <w:pPr>
        <w:pStyle w:val="1063"/>
        <w:ind w:firstLine="720"/>
        <w:jc w:val="both"/>
        <w:rPr>
          <w:rFonts w:ascii="Arial Narrow" w:hAnsi="Arial Narrow"/>
          <w:color w:val="0f0d29"/>
        </w:rPr>
      </w:pPr>
      <w:r>
        <w:rPr>
          <w:rFonts w:ascii="Arial Narrow" w:hAnsi="Arial Narrow"/>
          <w:color w:val="0f0d29"/>
        </w:rPr>
        <w:t xml:space="preserve">В результате производственно-хозяйственной деятельности ПАО «Камчатскэнерго», с учетом полученных доходов и понесенных расходов, за 2024 год Обществом получена </w:t>
      </w:r>
      <w:r>
        <w:rPr>
          <w:rFonts w:ascii="Arial Narrow" w:hAnsi="Arial Narrow"/>
          <w:bCs/>
          <w:color w:val="0f0d29"/>
        </w:rPr>
        <w:t xml:space="preserve">чистая прибыль</w:t>
      </w:r>
      <w:r>
        <w:rPr>
          <w:rFonts w:ascii="Arial Narrow" w:hAnsi="Arial Narrow"/>
          <w:color w:val="0f0d29"/>
        </w:rPr>
        <w:t xml:space="preserve"> в размере 112 337 тыс. рублей, что ниже прибыли, полученной за 2023 год, на 1 735 157 тыс. рублей.</w:t>
      </w:r>
      <w:r>
        <w:rPr>
          <w:rFonts w:ascii="Arial Narrow" w:hAnsi="Arial Narrow"/>
          <w:color w:val="0f0d29"/>
        </w:rPr>
      </w:r>
      <w:r>
        <w:rPr>
          <w:rFonts w:ascii="Arial Narrow" w:hAnsi="Arial Narrow"/>
          <w:color w:val="0f0d29"/>
        </w:rPr>
      </w:r>
    </w:p>
    <w:p>
      <w:pPr>
        <w:pStyle w:val="1063"/>
        <w:ind w:firstLine="720"/>
        <w:jc w:val="both"/>
        <w:rPr>
          <w:rFonts w:ascii="Arial Narrow" w:hAnsi="Arial Narrow"/>
          <w:color w:val="0f0d29"/>
        </w:rPr>
      </w:pPr>
      <w:r>
        <w:rPr>
          <w:rFonts w:ascii="Arial Narrow" w:hAnsi="Arial Narrow"/>
          <w:color w:val="0f0d29"/>
        </w:rPr>
      </w:r>
      <w:r>
        <w:rPr>
          <w:rFonts w:ascii="Arial Narrow" w:hAnsi="Arial Narrow"/>
          <w:color w:val="0f0d29"/>
        </w:rPr>
      </w:r>
      <w:r>
        <w:rPr>
          <w:rFonts w:ascii="Arial Narrow" w:hAnsi="Arial Narrow"/>
          <w:color w:val="0f0d29"/>
        </w:rPr>
      </w:r>
    </w:p>
    <w:p>
      <w:pPr>
        <w:pStyle w:val="1063"/>
        <w:ind w:firstLine="720"/>
        <w:jc w:val="both"/>
      </w:pPr>
      <w:r/>
      <w:r/>
    </w:p>
    <w:p>
      <w:pPr>
        <w:pStyle w:val="1063"/>
        <w:ind w:firstLine="567"/>
        <w:jc w:val="both"/>
        <w:rPr>
          <w:rFonts w:ascii="Arial Narrow" w:hAnsi="Arial Narrow" w:cs="Calibri"/>
          <w:sz w:val="12"/>
          <w:szCs w:val="12"/>
        </w:rPr>
      </w:pPr>
      <w:r>
        <w:rPr>
          <w:rFonts w:ascii="Arial Narrow" w:hAnsi="Arial Narrow" w:cs="Calibri"/>
          <w:sz w:val="12"/>
          <w:szCs w:val="12"/>
        </w:rPr>
      </w:r>
      <w:r>
        <w:rPr>
          <w:rFonts w:ascii="Arial Narrow" w:hAnsi="Arial Narrow" w:cs="Calibri"/>
          <w:sz w:val="12"/>
          <w:szCs w:val="12"/>
        </w:rPr>
      </w:r>
      <w:r>
        <w:rPr>
          <w:rFonts w:ascii="Arial Narrow" w:hAnsi="Arial Narrow" w:cs="Calibri"/>
          <w:sz w:val="12"/>
          <w:szCs w:val="12"/>
        </w:rPr>
      </w:r>
    </w:p>
    <w:p>
      <w:pPr>
        <w:pStyle w:val="1063"/>
        <w:ind w:firstLine="709"/>
        <w:jc w:val="both"/>
        <w:rPr>
          <w:rFonts w:ascii="Arial Narrow" w:hAnsi="Arial Narrow" w:cs="Calibri"/>
          <w:sz w:val="2"/>
          <w:szCs w:val="2"/>
        </w:rPr>
      </w:pPr>
      <w:r>
        <w:rPr>
          <w:rFonts w:ascii="Arial Narrow" w:hAnsi="Arial Narrow" w:cs="Calibri"/>
          <w:sz w:val="2"/>
          <w:szCs w:val="2"/>
        </w:rPr>
      </w:r>
      <w:r>
        <w:rPr>
          <w:rFonts w:ascii="Arial Narrow" w:hAnsi="Arial Narrow" w:cs="Calibri"/>
          <w:sz w:val="2"/>
          <w:szCs w:val="2"/>
        </w:rPr>
      </w:r>
      <w:r>
        <w:rPr>
          <w:rFonts w:ascii="Arial Narrow" w:hAnsi="Arial Narrow" w:cs="Calibri"/>
          <w:sz w:val="2"/>
          <w:szCs w:val="2"/>
        </w:rPr>
      </w:r>
    </w:p>
    <w:p>
      <w:pPr>
        <w:pStyle w:val="763"/>
        <w:jc w:val="both"/>
        <w:keepLines/>
        <w:spacing w:after="0" w:line="276" w:lineRule="auto"/>
        <w:rPr>
          <w:rFonts w:ascii="Arial Narrow" w:hAnsi="Arial Narrow" w:eastAsiaTheme="majorEastAsia" w:cstheme="minorHAnsi"/>
          <w:color w:val="314e87"/>
          <w:lang w:eastAsia="en-US" w:bidi="ru-RU"/>
        </w:rPr>
      </w:pPr>
      <w:r/>
      <w:bookmarkStart w:id="48" w:name="_Toc193883489"/>
      <w:r/>
      <w:bookmarkStart w:id="49" w:name="_Toc196126989"/>
      <w:r>
        <w:rPr>
          <w:rFonts w:ascii="Arial Narrow" w:hAnsi="Arial Narrow" w:eastAsiaTheme="majorEastAsia" w:cstheme="minorHAnsi"/>
          <w:b/>
          <w:color w:val="314e87"/>
          <w:sz w:val="24"/>
          <w:szCs w:val="24"/>
          <w:lang w:eastAsia="en-US" w:bidi="ru-RU"/>
        </w:rPr>
        <w:t xml:space="preserve">4.2. </w:t>
      </w:r>
      <w:bookmarkStart w:id="50" w:name="_Toc131673717"/>
      <w:r/>
      <w:bookmarkStart w:id="51" w:name="_Toc131673716"/>
      <w:r/>
      <w:bookmarkStart w:id="52" w:name="_Toc131517711"/>
      <w:r/>
      <w:bookmarkStart w:id="53" w:name="_Toc131517717"/>
      <w:r/>
      <w:bookmarkStart w:id="54" w:name="_Toc131517710"/>
      <w:r/>
      <w:bookmarkStart w:id="55" w:name="_Toc131517709"/>
      <w:r/>
      <w:bookmarkStart w:id="56" w:name="_Toc131673715"/>
      <w:r/>
      <w:bookmarkStart w:id="57" w:name="_Toc131517708"/>
      <w:r/>
      <w:bookmarkStart w:id="58" w:name="_Toc131673714"/>
      <w:r/>
      <w:bookmarkStart w:id="59" w:name="_Toc131517707"/>
      <w:r/>
      <w:bookmarkStart w:id="60" w:name="_Toc131673718"/>
      <w:r/>
      <w:bookmarkStart w:id="61" w:name="_Toc131673719"/>
      <w:r/>
      <w:bookmarkStart w:id="62" w:name="_Toc131517713"/>
      <w:r/>
      <w:bookmarkStart w:id="63" w:name="_Toc131673720"/>
      <w:r/>
      <w:bookmarkStart w:id="64" w:name="_Toc131517714"/>
      <w:r/>
      <w:bookmarkStart w:id="65" w:name="_Toc131673721"/>
      <w:r/>
      <w:bookmarkStart w:id="66" w:name="_Toc131517715"/>
      <w:r/>
      <w:bookmarkStart w:id="67" w:name="_Toc131673722"/>
      <w:r/>
      <w:bookmarkStart w:id="68" w:name="_Toc131673723"/>
      <w:r/>
      <w:bookmarkStart w:id="69" w:name="_Toc131517712"/>
      <w:r/>
      <w:bookmarkStart w:id="70" w:name="_Toc131673735"/>
      <w:r/>
      <w:bookmarkStart w:id="71" w:name="_Toc131517716"/>
      <w:r/>
      <w:bookmarkStart w:id="72" w:name="_Toc131673728"/>
      <w:r/>
      <w:bookmarkStart w:id="73" w:name="_Toc131673727"/>
      <w:r/>
      <w:bookmarkStart w:id="74" w:name="_Toc131517722"/>
      <w:r/>
      <w:bookmarkStart w:id="75" w:name="_Toc131517723"/>
      <w:r/>
      <w:bookmarkStart w:id="76" w:name="_Toc131517721"/>
      <w:r/>
      <w:bookmarkStart w:id="77" w:name="_Toc131517720"/>
      <w:r/>
      <w:bookmarkStart w:id="78" w:name="_Toc131673726"/>
      <w:r/>
      <w:bookmarkStart w:id="79" w:name="_Toc131517719"/>
      <w:r/>
      <w:bookmarkStart w:id="80" w:name="_Toc131673725"/>
      <w:r/>
      <w:bookmarkStart w:id="81" w:name="_Toc131517718"/>
      <w:r/>
      <w:bookmarkStart w:id="82" w:name="_Toc131673729"/>
      <w:r/>
      <w:bookmarkStart w:id="83" w:name="_Toc131517727"/>
      <w:r/>
      <w:bookmarkStart w:id="84" w:name="_Toc131517724"/>
      <w:r/>
      <w:bookmarkStart w:id="85" w:name="_Toc131673731"/>
      <w:r/>
      <w:bookmarkStart w:id="86" w:name="_Toc131517725"/>
      <w:r/>
      <w:bookmarkStart w:id="87" w:name="_Toc131673732"/>
      <w:r/>
      <w:bookmarkStart w:id="88" w:name="_Toc131517726"/>
      <w:r/>
      <w:bookmarkStart w:id="89" w:name="_Toc131673733"/>
      <w:r/>
      <w:bookmarkStart w:id="90" w:name="_Toc131673734"/>
      <w:r/>
      <w:bookmarkStart w:id="91" w:name="_Toc131517728"/>
      <w:r/>
      <w:bookmarkStart w:id="92" w:name="_Toc131673724"/>
      <w:r/>
      <w:bookmarkStart w:id="93" w:name="_Toc131673730"/>
      <w:r/>
      <w:bookmarkEnd w:id="50"/>
      <w:r/>
      <w:bookmarkEnd w:id="51"/>
      <w:r/>
      <w:bookmarkEnd w:id="52"/>
      <w:r/>
      <w:bookmarkEnd w:id="53"/>
      <w:r/>
      <w:bookmarkEnd w:id="54"/>
      <w:r/>
      <w:bookmarkEnd w:id="55"/>
      <w:r/>
      <w:bookmarkEnd w:id="56"/>
      <w:r/>
      <w:bookmarkEnd w:id="57"/>
      <w:r/>
      <w:bookmarkEnd w:id="58"/>
      <w:r/>
      <w:bookmarkEnd w:id="59"/>
      <w:r/>
      <w:bookmarkEnd w:id="60"/>
      <w:r/>
      <w:bookmarkEnd w:id="61"/>
      <w:r/>
      <w:bookmarkEnd w:id="62"/>
      <w:r/>
      <w:bookmarkEnd w:id="63"/>
      <w:r/>
      <w:bookmarkEnd w:id="64"/>
      <w:r/>
      <w:bookmarkEnd w:id="65"/>
      <w:r/>
      <w:bookmarkEnd w:id="66"/>
      <w:r/>
      <w:bookmarkEnd w:id="67"/>
      <w:r/>
      <w:bookmarkEnd w:id="68"/>
      <w:r/>
      <w:bookmarkEnd w:id="69"/>
      <w:r/>
      <w:bookmarkEnd w:id="70"/>
      <w:r/>
      <w:bookmarkEnd w:id="71"/>
      <w:r/>
      <w:bookmarkEnd w:id="72"/>
      <w:r/>
      <w:bookmarkEnd w:id="73"/>
      <w:r/>
      <w:bookmarkEnd w:id="74"/>
      <w:r/>
      <w:bookmarkEnd w:id="75"/>
      <w:r/>
      <w:bookmarkEnd w:id="76"/>
      <w:r/>
      <w:bookmarkEnd w:id="77"/>
      <w:r/>
      <w:bookmarkEnd w:id="78"/>
      <w:r/>
      <w:bookmarkEnd w:id="79"/>
      <w:r/>
      <w:bookmarkEnd w:id="80"/>
      <w:r/>
      <w:bookmarkEnd w:id="81"/>
      <w:r/>
      <w:bookmarkEnd w:id="82"/>
      <w:r/>
      <w:bookmarkEnd w:id="83"/>
      <w:r/>
      <w:bookmarkEnd w:id="84"/>
      <w:r/>
      <w:bookmarkEnd w:id="85"/>
      <w:r/>
      <w:bookmarkEnd w:id="86"/>
      <w:r/>
      <w:bookmarkEnd w:id="87"/>
      <w:r/>
      <w:bookmarkEnd w:id="88"/>
      <w:r/>
      <w:bookmarkEnd w:id="89"/>
      <w:r/>
      <w:bookmarkEnd w:id="90"/>
      <w:r/>
      <w:bookmarkEnd w:id="91"/>
      <w:r/>
      <w:bookmarkEnd w:id="92"/>
      <w:r/>
      <w:bookmarkEnd w:id="93"/>
      <w:r>
        <w:rPr>
          <w:rFonts w:ascii="Arial Narrow" w:hAnsi="Arial Narrow" w:eastAsiaTheme="majorEastAsia" w:cstheme="minorHAnsi"/>
          <w:b/>
          <w:color w:val="314e87"/>
          <w:sz w:val="24"/>
          <w:szCs w:val="24"/>
          <w:lang w:eastAsia="en-US" w:bidi="ru-RU"/>
        </w:rPr>
        <w:t xml:space="preserve">Бухгалтерская (финансовая) отчетность Общества за 2024 (отчетный) год. Расчет чистых активов Общества</w:t>
      </w:r>
      <w:bookmarkEnd w:id="48"/>
      <w:r/>
      <w:bookmarkEnd w:id="49"/>
      <w:r>
        <w:rPr>
          <w:rFonts w:ascii="Arial Narrow" w:hAnsi="Arial Narrow" w:eastAsiaTheme="majorEastAsia" w:cstheme="minorHAnsi"/>
          <w:color w:val="314e87"/>
          <w:lang w:eastAsia="en-US" w:bidi="ru-RU"/>
        </w:rPr>
      </w:r>
      <w:r>
        <w:rPr>
          <w:rFonts w:ascii="Arial Narrow" w:hAnsi="Arial Narrow" w:eastAsiaTheme="majorEastAsia" w:cstheme="minorHAnsi"/>
          <w:color w:val="314e87"/>
          <w:lang w:eastAsia="en-US" w:bidi="ru-RU"/>
        </w:rPr>
      </w:r>
    </w:p>
    <w:p>
      <w:pPr>
        <w:pStyle w:val="1063"/>
        <w:rPr>
          <w:sz w:val="12"/>
          <w:szCs w:val="12"/>
        </w:rPr>
      </w:pPr>
      <w:r>
        <w:rPr>
          <w:sz w:val="12"/>
          <w:szCs w:val="12"/>
        </w:rPr>
      </w:r>
      <w:r>
        <w:rPr>
          <w:sz w:val="12"/>
          <w:szCs w:val="12"/>
        </w:rPr>
      </w:r>
      <w:r>
        <w:rPr>
          <w:sz w:val="12"/>
          <w:szCs w:val="12"/>
        </w:rPr>
      </w:r>
    </w:p>
    <w:p>
      <w:pPr>
        <w:pStyle w:val="1063"/>
        <w:ind w:firstLine="567"/>
        <w:jc w:val="both"/>
      </w:pPr>
      <w:r>
        <w:rPr>
          <w:rFonts w:ascii="Arial Narrow" w:hAnsi="Arial Narrow" w:cs="Calibri"/>
        </w:rPr>
        <w:t xml:space="preserve">Годовая бухгалтерская (финансовая) отчетность Общества за отчетный период представлена в </w:t>
      </w:r>
      <w:r>
        <w:rPr>
          <w:rFonts w:ascii="Arial Narrow" w:hAnsi="Arial Narrow" w:cs="Calibri"/>
          <w:bCs/>
        </w:rPr>
        <w:t xml:space="preserve">Приложении № 1</w:t>
      </w:r>
      <w:r>
        <w:rPr>
          <w:rFonts w:ascii="Arial Narrow" w:hAnsi="Arial Narrow" w:cs="Calibri"/>
        </w:rPr>
        <w:t xml:space="preserve">.</w:t>
      </w:r>
      <w:r/>
    </w:p>
    <w:p>
      <w:pPr>
        <w:pStyle w:val="1063"/>
        <w:ind w:firstLine="567"/>
        <w:jc w:val="both"/>
      </w:pPr>
      <w:r>
        <w:rPr>
          <w:rFonts w:ascii="Arial Narrow" w:hAnsi="Arial Narrow" w:cs="Calibri"/>
          <w:lang w:eastAsia="ru-RU"/>
        </w:rPr>
        <w:t xml:space="preserve">Чистые активы Общества на конец отчетного периода составили 14 579 212 тыс. рублей. Таким образом, за отчетный год данный показатель увеличился на 112 336 тыс. рублей.</w:t>
      </w:r>
      <w:r/>
    </w:p>
    <w:p>
      <w:pPr>
        <w:pStyle w:val="1063"/>
        <w:ind w:firstLine="709"/>
        <w:jc w:val="both"/>
        <w:rPr>
          <w:rFonts w:ascii="Arial Narrow" w:hAnsi="Arial Narrow"/>
          <w:lang w:eastAsia="ru-RU"/>
        </w:rPr>
      </w:pPr>
      <w:r>
        <w:rPr>
          <w:rFonts w:ascii="Arial Narrow" w:hAnsi="Arial Narrow"/>
          <w:lang w:eastAsia="ru-RU"/>
        </w:rPr>
      </w:r>
      <w:r>
        <w:rPr>
          <w:rFonts w:ascii="Arial Narrow" w:hAnsi="Arial Narrow"/>
          <w:lang w:eastAsia="ru-RU"/>
        </w:rPr>
      </w:r>
      <w:r>
        <w:rPr>
          <w:rFonts w:ascii="Arial Narrow" w:hAnsi="Arial Narrow"/>
          <w:lang w:eastAsia="ru-RU"/>
        </w:rPr>
      </w:r>
    </w:p>
    <w:p>
      <w:pPr>
        <w:pStyle w:val="1096"/>
        <w:ind w:left="0" w:right="-5"/>
        <w:jc w:val="both"/>
        <w:spacing w:after="0" w:line="276" w:lineRule="auto"/>
      </w:pPr>
      <w:r>
        <w:rPr>
          <w:rFonts w:ascii="Arial Narrow" w:hAnsi="Arial Narrow" w:cs="Calibri"/>
          <w:b/>
          <w:color w:val="314e87"/>
          <w:sz w:val="24"/>
          <w:szCs w:val="24"/>
        </w:rPr>
        <w:t xml:space="preserve">Состояние чистых активов Общества</w:t>
      </w:r>
      <w:r/>
    </w:p>
    <w:p>
      <w:pPr>
        <w:pStyle w:val="1063"/>
        <w:jc w:val="right"/>
      </w:pPr>
      <w:r>
        <w:rPr>
          <w:rFonts w:ascii="Arial Narrow" w:hAnsi="Arial Narrow" w:eastAsia="Calibri" w:cs="Calibri"/>
          <w:i/>
          <w:lang w:eastAsia="ja-JP"/>
        </w:rPr>
        <w:t xml:space="preserve">Таблица № 20, тыс. рублей</w:t>
      </w:r>
      <w:r/>
    </w:p>
    <w:tbl>
      <w:tblPr>
        <w:tblW w:w="10214" w:type="dxa"/>
        <w:jc w:val="center"/>
        <w:tblLayout w:type="fixed"/>
        <w:tblLook w:val="04A0" w:firstRow="1" w:lastRow="0" w:firstColumn="1" w:lastColumn="0" w:noHBand="0" w:noVBand="1"/>
      </w:tblPr>
      <w:tblGrid>
        <w:gridCol w:w="5686"/>
        <w:gridCol w:w="1481"/>
        <w:gridCol w:w="1557"/>
        <w:gridCol w:w="1490"/>
      </w:tblGrid>
      <w:tr>
        <w:trPr>
          <w:jc w:val="center"/>
          <w:trHeight w:val="53"/>
        </w:trPr>
        <w:tc>
          <w:tcPr>
            <w:tcBorders>
              <w:top w:val="single" w:color="000000" w:sz="4" w:space="0"/>
              <w:left w:val="single" w:color="000000" w:sz="4" w:space="0"/>
              <w:bottom w:val="single" w:color="000000" w:sz="4" w:space="0"/>
              <w:right w:val="single" w:color="000000" w:sz="4" w:space="0"/>
            </w:tcBorders>
            <w:tcW w:w="5685" w:type="dxa"/>
            <w:textDirection w:val="lrTb"/>
            <w:noWrap w:val="false"/>
          </w:tcPr>
          <w:p>
            <w:pPr>
              <w:pStyle w:val="1063"/>
              <w:jc w:val="center"/>
              <w:widowControl w:val="off"/>
            </w:pPr>
            <w:r>
              <w:rPr>
                <w:rFonts w:ascii="Arial Narrow" w:hAnsi="Arial Narrow" w:cs="Calibri"/>
                <w:bCs/>
                <w:sz w:val="20"/>
                <w:szCs w:val="20"/>
              </w:rPr>
              <w:t xml:space="preserve">Показатели</w:t>
            </w:r>
            <w:r/>
          </w:p>
        </w:tc>
        <w:tc>
          <w:tcPr>
            <w:tcBorders>
              <w:top w:val="single" w:color="000000" w:sz="4" w:space="0"/>
              <w:left w:val="single" w:color="000000" w:sz="4" w:space="0"/>
              <w:bottom w:val="single" w:color="000000" w:sz="4" w:space="0"/>
              <w:right w:val="single" w:color="000000" w:sz="4" w:space="0"/>
            </w:tcBorders>
            <w:tcW w:w="1481" w:type="dxa"/>
            <w:textDirection w:val="lrTb"/>
            <w:noWrap w:val="false"/>
          </w:tcPr>
          <w:p>
            <w:pPr>
              <w:pStyle w:val="1063"/>
              <w:jc w:val="center"/>
              <w:widowControl w:val="off"/>
            </w:pPr>
            <w:r>
              <w:rPr>
                <w:rFonts w:ascii="Arial Narrow" w:hAnsi="Arial Narrow" w:cs="Calibri"/>
                <w:bCs/>
                <w:sz w:val="20"/>
                <w:szCs w:val="20"/>
              </w:rPr>
              <w:t xml:space="preserve">2022 г.</w:t>
            </w:r>
            <w:r/>
          </w:p>
        </w:tc>
        <w:tc>
          <w:tcPr>
            <w:tcBorders>
              <w:top w:val="single" w:color="000000" w:sz="4" w:space="0"/>
              <w:left w:val="single" w:color="000000" w:sz="4" w:space="0"/>
              <w:bottom w:val="single" w:color="000000" w:sz="4" w:space="0"/>
              <w:right w:val="single" w:color="000000" w:sz="4" w:space="0"/>
            </w:tcBorders>
            <w:tcW w:w="1557" w:type="dxa"/>
            <w:textDirection w:val="lrTb"/>
            <w:noWrap w:val="false"/>
          </w:tcPr>
          <w:p>
            <w:pPr>
              <w:pStyle w:val="1063"/>
              <w:jc w:val="center"/>
              <w:widowControl w:val="off"/>
            </w:pPr>
            <w:r>
              <w:rPr>
                <w:rFonts w:ascii="Arial Narrow" w:hAnsi="Arial Narrow" w:cs="Calibri"/>
                <w:bCs/>
                <w:sz w:val="20"/>
                <w:szCs w:val="20"/>
              </w:rPr>
              <w:t xml:space="preserve">2023 г.</w:t>
            </w:r>
            <w:r/>
          </w:p>
        </w:tc>
        <w:tc>
          <w:tcPr>
            <w:tcBorders>
              <w:top w:val="single" w:color="000000" w:sz="4" w:space="0"/>
              <w:left w:val="single" w:color="000000" w:sz="4" w:space="0"/>
              <w:bottom w:val="single" w:color="000000" w:sz="4" w:space="0"/>
              <w:right w:val="single" w:color="000000" w:sz="4" w:space="0"/>
            </w:tcBorders>
            <w:tcW w:w="1490" w:type="dxa"/>
            <w:textDirection w:val="lrTb"/>
            <w:noWrap w:val="false"/>
          </w:tcPr>
          <w:p>
            <w:pPr>
              <w:pStyle w:val="1063"/>
              <w:ind w:left="-74" w:firstLine="75"/>
              <w:jc w:val="center"/>
              <w:widowControl w:val="off"/>
            </w:pPr>
            <w:r>
              <w:rPr>
                <w:rFonts w:ascii="Arial Narrow" w:hAnsi="Arial Narrow" w:cs="Calibri"/>
                <w:bCs/>
                <w:sz w:val="20"/>
                <w:szCs w:val="20"/>
              </w:rPr>
              <w:t xml:space="preserve">2024 г.</w:t>
            </w:r>
            <w:r/>
          </w:p>
        </w:tc>
      </w:tr>
      <w:tr>
        <w:trPr>
          <w:jc w:val="center"/>
        </w:trPr>
        <w:tc>
          <w:tcPr>
            <w:tcBorders>
              <w:top w:val="single" w:color="000000" w:sz="4" w:space="0"/>
              <w:left w:val="single" w:color="000000" w:sz="4" w:space="0"/>
              <w:bottom w:val="single" w:color="000000" w:sz="4" w:space="0"/>
              <w:right w:val="single" w:color="000000" w:sz="4" w:space="0"/>
            </w:tcBorders>
            <w:tcW w:w="5685" w:type="dxa"/>
            <w:textDirection w:val="lrTb"/>
            <w:noWrap w:val="false"/>
          </w:tcPr>
          <w:p>
            <w:pPr>
              <w:pStyle w:val="1063"/>
              <w:widowControl w:val="off"/>
            </w:pPr>
            <w:r>
              <w:rPr>
                <w:rFonts w:ascii="Arial Narrow" w:hAnsi="Arial Narrow" w:cs="Calibri"/>
                <w:bCs/>
                <w:sz w:val="20"/>
                <w:szCs w:val="20"/>
              </w:rPr>
              <w:t xml:space="preserve">Стоимость чистых активов</w:t>
            </w:r>
            <w:r/>
          </w:p>
        </w:tc>
        <w:tc>
          <w:tcPr>
            <w:tcBorders>
              <w:top w:val="single" w:color="000000" w:sz="4" w:space="0"/>
              <w:left w:val="single" w:color="000000" w:sz="4" w:space="0"/>
              <w:bottom w:val="single" w:color="000000" w:sz="4" w:space="0"/>
              <w:right w:val="single" w:color="000000" w:sz="4" w:space="0"/>
            </w:tcBorders>
            <w:tcW w:w="1481" w:type="dxa"/>
            <w:textDirection w:val="lrTb"/>
            <w:noWrap w:val="false"/>
          </w:tcPr>
          <w:p>
            <w:pPr>
              <w:pStyle w:val="1063"/>
              <w:jc w:val="center"/>
              <w:widowControl w:val="off"/>
            </w:pPr>
            <w:r>
              <w:rPr>
                <w:rFonts w:ascii="Arial Narrow" w:hAnsi="Arial Narrow" w:cs="Calibri"/>
                <w:sz w:val="20"/>
                <w:szCs w:val="20"/>
                <w:lang w:eastAsia="ru-RU"/>
              </w:rPr>
              <w:t xml:space="preserve">10 623 302</w:t>
            </w:r>
            <w:r/>
          </w:p>
        </w:tc>
        <w:tc>
          <w:tcPr>
            <w:tcBorders>
              <w:top w:val="single" w:color="000000" w:sz="4" w:space="0"/>
              <w:left w:val="single" w:color="000000" w:sz="4" w:space="0"/>
              <w:bottom w:val="single" w:color="000000" w:sz="4" w:space="0"/>
              <w:right w:val="single" w:color="000000" w:sz="4" w:space="0"/>
            </w:tcBorders>
            <w:tcW w:w="1557" w:type="dxa"/>
            <w:textDirection w:val="lrTb"/>
            <w:noWrap w:val="false"/>
          </w:tcPr>
          <w:p>
            <w:pPr>
              <w:pStyle w:val="1063"/>
              <w:jc w:val="center"/>
              <w:widowControl w:val="off"/>
            </w:pPr>
            <w:r>
              <w:rPr>
                <w:rFonts w:ascii="Arial Narrow" w:hAnsi="Arial Narrow" w:cs="Calibri"/>
                <w:sz w:val="20"/>
                <w:szCs w:val="20"/>
                <w:lang w:eastAsia="ru-RU"/>
              </w:rPr>
              <w:t xml:space="preserve">14 466 876</w:t>
            </w:r>
            <w:r/>
          </w:p>
        </w:tc>
        <w:tc>
          <w:tcPr>
            <w:tcBorders>
              <w:top w:val="single" w:color="000000" w:sz="4" w:space="0"/>
              <w:left w:val="single" w:color="000000" w:sz="4" w:space="0"/>
              <w:bottom w:val="single" w:color="000000" w:sz="4" w:space="0"/>
              <w:right w:val="single" w:color="000000" w:sz="4" w:space="0"/>
            </w:tcBorders>
            <w:tcW w:w="1490" w:type="dxa"/>
            <w:textDirection w:val="lrTb"/>
            <w:noWrap w:val="false"/>
          </w:tcPr>
          <w:p>
            <w:pPr>
              <w:pStyle w:val="1063"/>
              <w:jc w:val="center"/>
              <w:widowControl w:val="off"/>
            </w:pPr>
            <w:r>
              <w:rPr>
                <w:rFonts w:ascii="Arial Narrow" w:hAnsi="Arial Narrow" w:cs="Calibri"/>
                <w:sz w:val="20"/>
                <w:szCs w:val="20"/>
                <w:lang w:eastAsia="ru-RU"/>
              </w:rPr>
              <w:t xml:space="preserve">14 579 212</w:t>
            </w:r>
            <w:r/>
          </w:p>
        </w:tc>
      </w:tr>
      <w:tr>
        <w:trPr>
          <w:jc w:val="center"/>
        </w:trPr>
        <w:tc>
          <w:tcPr>
            <w:tcBorders>
              <w:top w:val="single" w:color="000000" w:sz="4" w:space="0"/>
              <w:left w:val="single" w:color="000000" w:sz="4" w:space="0"/>
              <w:bottom w:val="single" w:color="000000" w:sz="4" w:space="0"/>
              <w:right w:val="single" w:color="000000" w:sz="4" w:space="0"/>
            </w:tcBorders>
            <w:tcW w:w="5685" w:type="dxa"/>
            <w:textDirection w:val="lrTb"/>
            <w:noWrap w:val="false"/>
          </w:tcPr>
          <w:p>
            <w:pPr>
              <w:pStyle w:val="1063"/>
              <w:widowControl w:val="off"/>
            </w:pPr>
            <w:r>
              <w:rPr>
                <w:rFonts w:ascii="Arial Narrow" w:hAnsi="Arial Narrow" w:cs="Calibri"/>
                <w:bCs/>
                <w:sz w:val="20"/>
                <w:szCs w:val="20"/>
              </w:rPr>
              <w:t xml:space="preserve">Размер уставного капитала</w:t>
            </w:r>
            <w:r/>
          </w:p>
        </w:tc>
        <w:tc>
          <w:tcPr>
            <w:tcBorders>
              <w:top w:val="single" w:color="000000" w:sz="4" w:space="0"/>
              <w:left w:val="single" w:color="000000" w:sz="4" w:space="0"/>
              <w:bottom w:val="single" w:color="000000" w:sz="4" w:space="0"/>
              <w:right w:val="single" w:color="000000" w:sz="4" w:space="0"/>
            </w:tcBorders>
            <w:tcW w:w="1481" w:type="dxa"/>
            <w:textDirection w:val="lrTb"/>
            <w:noWrap w:val="false"/>
          </w:tcPr>
          <w:p>
            <w:pPr>
              <w:pStyle w:val="1063"/>
              <w:jc w:val="center"/>
              <w:widowControl w:val="off"/>
            </w:pPr>
            <w:r>
              <w:rPr>
                <w:rFonts w:ascii="Arial Narrow" w:hAnsi="Arial Narrow" w:cs="Calibri"/>
                <w:sz w:val="20"/>
                <w:szCs w:val="20"/>
                <w:lang w:eastAsia="ru-RU"/>
              </w:rPr>
              <w:t xml:space="preserve">4 892 972</w:t>
            </w:r>
            <w:r/>
          </w:p>
        </w:tc>
        <w:tc>
          <w:tcPr>
            <w:tcBorders>
              <w:top w:val="single" w:color="000000" w:sz="4" w:space="0"/>
              <w:left w:val="single" w:color="000000" w:sz="4" w:space="0"/>
              <w:bottom w:val="single" w:color="000000" w:sz="4" w:space="0"/>
              <w:right w:val="single" w:color="000000" w:sz="4" w:space="0"/>
            </w:tcBorders>
            <w:tcW w:w="1557" w:type="dxa"/>
            <w:textDirection w:val="lrTb"/>
            <w:noWrap w:val="false"/>
          </w:tcPr>
          <w:p>
            <w:pPr>
              <w:pStyle w:val="1063"/>
              <w:jc w:val="center"/>
              <w:widowControl w:val="off"/>
            </w:pPr>
            <w:r>
              <w:rPr>
                <w:rFonts w:ascii="Arial Narrow" w:hAnsi="Arial Narrow" w:cs="Calibri"/>
                <w:sz w:val="20"/>
                <w:szCs w:val="20"/>
                <w:lang w:eastAsia="ru-RU"/>
              </w:rPr>
              <w:t xml:space="preserve">5 847 747</w:t>
            </w:r>
            <w:r/>
          </w:p>
        </w:tc>
        <w:tc>
          <w:tcPr>
            <w:tcBorders>
              <w:top w:val="single" w:color="000000" w:sz="4" w:space="0"/>
              <w:left w:val="single" w:color="000000" w:sz="4" w:space="0"/>
              <w:bottom w:val="single" w:color="000000" w:sz="4" w:space="0"/>
              <w:right w:val="single" w:color="000000" w:sz="4" w:space="0"/>
            </w:tcBorders>
            <w:tcW w:w="1490" w:type="dxa"/>
            <w:textDirection w:val="lrTb"/>
            <w:noWrap w:val="false"/>
          </w:tcPr>
          <w:p>
            <w:pPr>
              <w:pStyle w:val="1063"/>
              <w:jc w:val="center"/>
              <w:widowControl w:val="off"/>
            </w:pPr>
            <w:r>
              <w:rPr>
                <w:rFonts w:ascii="Arial Narrow" w:hAnsi="Arial Narrow" w:cs="Calibri"/>
                <w:sz w:val="20"/>
                <w:szCs w:val="20"/>
                <w:lang w:eastAsia="ru-RU"/>
              </w:rPr>
              <w:t xml:space="preserve">5 847 747</w:t>
            </w:r>
            <w:r/>
          </w:p>
        </w:tc>
      </w:tr>
      <w:tr>
        <w:trPr>
          <w:jc w:val="center"/>
        </w:trPr>
        <w:tc>
          <w:tcPr>
            <w:tcBorders>
              <w:top w:val="single" w:color="000000" w:sz="4" w:space="0"/>
              <w:left w:val="single" w:color="000000" w:sz="4" w:space="0"/>
              <w:bottom w:val="single" w:color="000000" w:sz="4" w:space="0"/>
              <w:right w:val="single" w:color="000000" w:sz="4" w:space="0"/>
            </w:tcBorders>
            <w:tcW w:w="5685" w:type="dxa"/>
            <w:textDirection w:val="lrTb"/>
            <w:noWrap w:val="false"/>
          </w:tcPr>
          <w:p>
            <w:pPr>
              <w:pStyle w:val="1063"/>
              <w:widowControl w:val="off"/>
            </w:pPr>
            <w:r>
              <w:rPr>
                <w:rFonts w:ascii="Arial Narrow" w:hAnsi="Arial Narrow" w:cs="Calibri"/>
                <w:bCs/>
                <w:sz w:val="20"/>
                <w:szCs w:val="20"/>
              </w:rPr>
              <w:t xml:space="preserve">Разница</w:t>
            </w:r>
            <w:r/>
          </w:p>
        </w:tc>
        <w:tc>
          <w:tcPr>
            <w:tcBorders>
              <w:top w:val="single" w:color="000000" w:sz="4" w:space="0"/>
              <w:left w:val="single" w:color="000000" w:sz="4" w:space="0"/>
              <w:bottom w:val="single" w:color="000000" w:sz="4" w:space="0"/>
              <w:right w:val="single" w:color="000000" w:sz="4" w:space="0"/>
            </w:tcBorders>
            <w:tcW w:w="1481" w:type="dxa"/>
            <w:textDirection w:val="lrTb"/>
            <w:noWrap w:val="false"/>
          </w:tcPr>
          <w:p>
            <w:pPr>
              <w:pStyle w:val="1063"/>
              <w:jc w:val="center"/>
              <w:widowControl w:val="off"/>
            </w:pPr>
            <w:r>
              <w:rPr>
                <w:rFonts w:ascii="Arial Narrow" w:hAnsi="Arial Narrow" w:cs="Calibri"/>
                <w:sz w:val="20"/>
                <w:szCs w:val="20"/>
                <w:lang w:eastAsia="ru-RU"/>
              </w:rPr>
              <w:t xml:space="preserve">5 730 330</w:t>
            </w:r>
            <w:r/>
          </w:p>
        </w:tc>
        <w:tc>
          <w:tcPr>
            <w:tcBorders>
              <w:top w:val="single" w:color="000000" w:sz="4" w:space="0"/>
              <w:left w:val="single" w:color="000000" w:sz="4" w:space="0"/>
              <w:bottom w:val="single" w:color="000000" w:sz="4" w:space="0"/>
              <w:right w:val="single" w:color="000000" w:sz="4" w:space="0"/>
            </w:tcBorders>
            <w:tcW w:w="1557" w:type="dxa"/>
            <w:textDirection w:val="lrTb"/>
            <w:noWrap w:val="false"/>
          </w:tcPr>
          <w:p>
            <w:pPr>
              <w:pStyle w:val="1063"/>
              <w:jc w:val="center"/>
              <w:widowControl w:val="off"/>
            </w:pPr>
            <w:r>
              <w:rPr>
                <w:rFonts w:ascii="Arial Narrow" w:hAnsi="Arial Narrow" w:cs="Calibri"/>
                <w:sz w:val="20"/>
                <w:szCs w:val="20"/>
                <w:lang w:eastAsia="ru-RU"/>
              </w:rPr>
              <w:t xml:space="preserve">8 619 129</w:t>
            </w:r>
            <w:r/>
          </w:p>
        </w:tc>
        <w:tc>
          <w:tcPr>
            <w:tcBorders>
              <w:top w:val="single" w:color="000000" w:sz="4" w:space="0"/>
              <w:left w:val="single" w:color="000000" w:sz="4" w:space="0"/>
              <w:bottom w:val="single" w:color="000000" w:sz="4" w:space="0"/>
              <w:right w:val="single" w:color="000000" w:sz="4" w:space="0"/>
            </w:tcBorders>
            <w:tcW w:w="1490" w:type="dxa"/>
            <w:textDirection w:val="lrTb"/>
            <w:noWrap w:val="false"/>
          </w:tcPr>
          <w:p>
            <w:pPr>
              <w:pStyle w:val="1063"/>
              <w:jc w:val="center"/>
              <w:widowControl w:val="off"/>
            </w:pPr>
            <w:r>
              <w:rPr>
                <w:rFonts w:ascii="Arial Narrow" w:hAnsi="Arial Narrow" w:cs="Calibri"/>
                <w:sz w:val="20"/>
                <w:szCs w:val="20"/>
                <w:lang w:eastAsia="ru-RU"/>
              </w:rPr>
              <w:t xml:space="preserve">8 731 465</w:t>
            </w:r>
            <w:r/>
          </w:p>
        </w:tc>
      </w:tr>
    </w:tbl>
    <w:p>
      <w:pPr>
        <w:pStyle w:val="1063"/>
        <w:jc w:val="center"/>
        <w:rPr>
          <w:rFonts w:ascii="Arial Narrow" w:hAnsi="Arial Narrow" w:cs="Tahoma"/>
          <w:bCs/>
          <w:i/>
          <w:sz w:val="8"/>
          <w:szCs w:val="8"/>
        </w:rPr>
      </w:pPr>
      <w:r>
        <w:rPr>
          <w:rFonts w:ascii="Arial Narrow" w:hAnsi="Arial Narrow" w:cs="Tahoma"/>
          <w:bCs/>
          <w:i/>
          <w:sz w:val="8"/>
          <w:szCs w:val="8"/>
        </w:rPr>
      </w:r>
      <w:r>
        <w:rPr>
          <w:rFonts w:ascii="Arial Narrow" w:hAnsi="Arial Narrow" w:cs="Tahoma"/>
          <w:bCs/>
          <w:i/>
          <w:sz w:val="8"/>
          <w:szCs w:val="8"/>
        </w:rPr>
      </w:r>
      <w:r>
        <w:rPr>
          <w:rFonts w:ascii="Arial Narrow" w:hAnsi="Arial Narrow" w:cs="Tahoma"/>
          <w:bCs/>
          <w:i/>
          <w:sz w:val="8"/>
          <w:szCs w:val="8"/>
        </w:rPr>
      </w:r>
    </w:p>
    <w:p>
      <w:pPr>
        <w:pStyle w:val="1063"/>
        <w:ind w:firstLine="567"/>
        <w:jc w:val="both"/>
      </w:pPr>
      <w:r>
        <w:rPr>
          <w:rFonts w:ascii="Arial Narrow" w:hAnsi="Arial Narrow" w:cs="Calibri"/>
          <w:lang w:eastAsia="ru-RU"/>
        </w:rPr>
        <w:t xml:space="preserve">Информация о состоянии чистых активов Общества отражается с целью осуществления контроля за соотношением стоимости чистых активов и размера уставного капитала</w:t>
      </w:r>
      <w:r>
        <w:rPr>
          <w:rFonts w:ascii="Arial Narrow" w:hAnsi="Arial Narrow" w:cs="Calibri"/>
          <w:lang w:eastAsia="ru-RU"/>
        </w:rPr>
        <w:t xml:space="preserve"> Общества и, при наличии отклонений, своевременного принятия Обществом мер по приведению стоимости чистых активов Общества в соответствие с величиной, установленной законодательством Российской Федерации, или иных мер, предусмотренных законодательством РФ.</w:t>
      </w:r>
      <w:r/>
    </w:p>
    <w:p>
      <w:pPr>
        <w:pStyle w:val="1063"/>
        <w:ind w:firstLine="709"/>
        <w:jc w:val="both"/>
        <w:rPr>
          <w:rFonts w:ascii="Arial Narrow" w:hAnsi="Arial Narrow" w:cs="Calibri"/>
          <w:sz w:val="12"/>
          <w:szCs w:val="12"/>
          <w:lang w:eastAsia="ru-RU"/>
        </w:rPr>
      </w:pPr>
      <w:r>
        <w:rPr>
          <w:rFonts w:ascii="Arial Narrow" w:hAnsi="Arial Narrow" w:cs="Calibri"/>
          <w:sz w:val="12"/>
          <w:szCs w:val="12"/>
          <w:lang w:eastAsia="ru-RU"/>
        </w:rPr>
      </w:r>
      <w:r>
        <w:rPr>
          <w:rFonts w:ascii="Arial Narrow" w:hAnsi="Arial Narrow" w:cs="Calibri"/>
          <w:sz w:val="12"/>
          <w:szCs w:val="12"/>
          <w:lang w:eastAsia="ru-RU"/>
        </w:rPr>
      </w:r>
      <w:r>
        <w:rPr>
          <w:rFonts w:ascii="Arial Narrow" w:hAnsi="Arial Narrow" w:cs="Calibri"/>
          <w:sz w:val="12"/>
          <w:szCs w:val="12"/>
          <w:lang w:eastAsia="ru-RU"/>
        </w:rPr>
      </w:r>
    </w:p>
    <w:p>
      <w:pPr>
        <w:pStyle w:val="1063"/>
        <w:ind w:firstLine="709"/>
        <w:jc w:val="both"/>
        <w:rPr>
          <w:rFonts w:ascii="Arial Narrow" w:hAnsi="Arial Narrow" w:cs="Calibri"/>
          <w:sz w:val="2"/>
          <w:szCs w:val="2"/>
          <w:lang w:eastAsia="ru-RU"/>
        </w:rPr>
      </w:pPr>
      <w:r>
        <w:rPr>
          <w:rFonts w:ascii="Arial Narrow" w:hAnsi="Arial Narrow" w:cs="Calibri"/>
          <w:sz w:val="2"/>
          <w:szCs w:val="2"/>
          <w:lang w:eastAsia="ru-RU"/>
        </w:rPr>
      </w:r>
      <w:r>
        <w:rPr>
          <w:rFonts w:ascii="Arial Narrow" w:hAnsi="Arial Narrow" w:cs="Calibri"/>
          <w:sz w:val="2"/>
          <w:szCs w:val="2"/>
          <w:lang w:eastAsia="ru-RU"/>
        </w:rPr>
      </w:r>
      <w:r>
        <w:rPr>
          <w:rFonts w:ascii="Arial Narrow" w:hAnsi="Arial Narrow" w:cs="Calibri"/>
          <w:sz w:val="2"/>
          <w:szCs w:val="2"/>
          <w:lang w:eastAsia="ru-RU"/>
        </w:rPr>
      </w:r>
    </w:p>
    <w:p>
      <w:pPr>
        <w:pStyle w:val="763"/>
        <w:jc w:val="both"/>
        <w:keepLines/>
        <w:spacing w:after="0" w:line="276" w:lineRule="auto"/>
        <w:rPr>
          <w:rFonts w:ascii="Arial Narrow" w:hAnsi="Arial Narrow" w:eastAsiaTheme="majorEastAsia" w:cstheme="minorHAnsi"/>
          <w:color w:val="314e87"/>
          <w:lang w:eastAsia="en-US" w:bidi="ru-RU"/>
        </w:rPr>
      </w:pPr>
      <w:r/>
      <w:bookmarkStart w:id="94" w:name="_Toc193883490"/>
      <w:r/>
      <w:bookmarkStart w:id="95" w:name="_Toc196126990"/>
      <w:r>
        <w:rPr>
          <w:rFonts w:ascii="Arial Narrow" w:hAnsi="Arial Narrow" w:eastAsiaTheme="majorEastAsia" w:cstheme="minorHAnsi"/>
          <w:b/>
          <w:color w:val="314e87"/>
          <w:sz w:val="24"/>
          <w:szCs w:val="24"/>
          <w:lang w:eastAsia="en-US" w:bidi="ru-RU"/>
        </w:rPr>
        <w:t xml:space="preserve">4.3. </w:t>
      </w:r>
      <w:bookmarkStart w:id="96" w:name="_Toc131673737"/>
      <w:r/>
      <w:bookmarkStart w:id="97" w:name="_Toc131517730"/>
      <w:r/>
      <w:bookmarkEnd w:id="96"/>
      <w:r/>
      <w:bookmarkEnd w:id="97"/>
      <w:r>
        <w:rPr>
          <w:rFonts w:ascii="Arial Narrow" w:hAnsi="Arial Narrow" w:eastAsiaTheme="majorEastAsia" w:cstheme="minorHAnsi"/>
          <w:b/>
          <w:color w:val="314e87"/>
          <w:sz w:val="24"/>
          <w:szCs w:val="24"/>
          <w:lang w:eastAsia="en-US" w:bidi="ru-RU"/>
        </w:rPr>
        <w:t xml:space="preserve">Анализ эффективности и финансовой устойчивости Общества</w:t>
      </w:r>
      <w:bookmarkEnd w:id="94"/>
      <w:r/>
      <w:bookmarkEnd w:id="95"/>
      <w:r>
        <w:rPr>
          <w:rFonts w:ascii="Arial Narrow" w:hAnsi="Arial Narrow" w:eastAsiaTheme="majorEastAsia" w:cstheme="minorHAnsi"/>
          <w:color w:val="314e87"/>
          <w:lang w:eastAsia="en-US" w:bidi="ru-RU"/>
        </w:rPr>
      </w:r>
      <w:r>
        <w:rPr>
          <w:rFonts w:ascii="Arial Narrow" w:hAnsi="Arial Narrow" w:eastAsiaTheme="majorEastAsia" w:cstheme="minorHAnsi"/>
          <w:color w:val="314e87"/>
          <w:lang w:eastAsia="en-US" w:bidi="ru-RU"/>
        </w:rPr>
      </w:r>
    </w:p>
    <w:p>
      <w:pPr>
        <w:pStyle w:val="1063"/>
        <w:ind w:left="7200" w:firstLine="720"/>
        <w:jc w:val="center"/>
      </w:pPr>
      <w:r>
        <w:rPr>
          <w:rFonts w:ascii="Arial Narrow" w:hAnsi="Arial Narrow" w:eastAsia="Calibri" w:cs="Calibri"/>
          <w:i/>
          <w:lang w:eastAsia="ja-JP"/>
        </w:rPr>
        <w:t xml:space="preserve">             Таблица № </w:t>
      </w:r>
      <w:r>
        <w:rPr>
          <w:rFonts w:ascii="Arial Narrow" w:hAnsi="Arial Narrow" w:eastAsia="Calibri" w:cs="Calibri"/>
          <w:i/>
          <w:lang w:val="en-US" w:eastAsia="ja-JP"/>
        </w:rPr>
        <w:t xml:space="preserve">2</w:t>
      </w:r>
      <w:r>
        <w:rPr>
          <w:rFonts w:ascii="Arial Narrow" w:hAnsi="Arial Narrow" w:eastAsia="Calibri" w:cs="Calibri"/>
          <w:i/>
          <w:lang w:eastAsia="ja-JP"/>
        </w:rPr>
        <w:t xml:space="preserve">1</w:t>
      </w:r>
      <w:r/>
    </w:p>
    <w:tbl>
      <w:tblPr>
        <w:tblW w:w="10134" w:type="dxa"/>
        <w:jc w:val="center"/>
        <w:tblLayout w:type="fixed"/>
        <w:tblLook w:val="04A0" w:firstRow="1" w:lastRow="0" w:firstColumn="1" w:lastColumn="0" w:noHBand="0" w:noVBand="1"/>
      </w:tblPr>
      <w:tblGrid>
        <w:gridCol w:w="566"/>
        <w:gridCol w:w="4675"/>
        <w:gridCol w:w="1076"/>
        <w:gridCol w:w="1135"/>
        <w:gridCol w:w="1136"/>
        <w:gridCol w:w="1546"/>
      </w:tblGrid>
      <w:tr>
        <w:trPr>
          <w:jc w:val="center"/>
        </w:trPr>
        <w:tc>
          <w:tcPr>
            <w:tcBorders>
              <w:top w:val="single" w:color="000000" w:sz="4" w:space="0"/>
              <w:left w:val="single" w:color="000000" w:sz="4" w:space="0"/>
              <w:bottom w:val="single" w:color="000000" w:sz="4" w:space="0"/>
              <w:right w:val="single" w:color="000000" w:sz="4" w:space="0"/>
            </w:tcBorders>
            <w:tcW w:w="565" w:type="dxa"/>
            <w:vAlign w:val="center"/>
            <w:textDirection w:val="lrTb"/>
            <w:noWrap w:val="false"/>
          </w:tcPr>
          <w:p>
            <w:pPr>
              <w:pStyle w:val="1063"/>
              <w:jc w:val="center"/>
              <w:widowControl w:val="off"/>
            </w:pPr>
            <w:r>
              <w:rPr>
                <w:rFonts w:ascii="Arial Narrow" w:hAnsi="Arial Narrow" w:cs="Calibri"/>
                <w:bCs/>
                <w:sz w:val="20"/>
                <w:szCs w:val="20"/>
              </w:rPr>
              <w:t xml:space="preserve">№</w:t>
            </w:r>
            <w:r/>
          </w:p>
          <w:p>
            <w:pPr>
              <w:pStyle w:val="1063"/>
              <w:jc w:val="center"/>
              <w:widowControl w:val="off"/>
            </w:pPr>
            <w:r>
              <w:rPr>
                <w:rFonts w:ascii="Arial Narrow" w:hAnsi="Arial Narrow" w:cs="Calibri"/>
                <w:bCs/>
                <w:sz w:val="20"/>
                <w:szCs w:val="20"/>
              </w:rPr>
              <w:t xml:space="preserve">п/п</w:t>
            </w:r>
            <w:r/>
          </w:p>
        </w:tc>
        <w:tc>
          <w:tcPr>
            <w:tcBorders>
              <w:top w:val="single" w:color="000000" w:sz="4" w:space="0"/>
              <w:left w:val="single" w:color="000000" w:sz="4" w:space="0"/>
              <w:bottom w:val="single" w:color="000000" w:sz="4" w:space="0"/>
              <w:right w:val="single" w:color="000000" w:sz="4" w:space="0"/>
            </w:tcBorders>
            <w:tcW w:w="4675" w:type="dxa"/>
            <w:vAlign w:val="center"/>
            <w:textDirection w:val="lrTb"/>
            <w:noWrap w:val="false"/>
          </w:tcPr>
          <w:p>
            <w:pPr>
              <w:pStyle w:val="1063"/>
              <w:jc w:val="center"/>
              <w:widowControl w:val="off"/>
            </w:pPr>
            <w:r>
              <w:rPr>
                <w:rFonts w:ascii="Arial Narrow" w:hAnsi="Arial Narrow" w:cs="Calibri"/>
                <w:bCs/>
                <w:sz w:val="20"/>
                <w:szCs w:val="20"/>
              </w:rPr>
              <w:t xml:space="preserve">Показатели</w:t>
            </w:r>
            <w:r/>
          </w:p>
        </w:tc>
        <w:tc>
          <w:tcPr>
            <w:tcBorders>
              <w:top w:val="single" w:color="000000" w:sz="4" w:space="0"/>
              <w:left w:val="single" w:color="000000" w:sz="4" w:space="0"/>
              <w:bottom w:val="single" w:color="000000" w:sz="4" w:space="0"/>
              <w:right w:val="single" w:color="000000" w:sz="4" w:space="0"/>
            </w:tcBorders>
            <w:tcW w:w="1076" w:type="dxa"/>
            <w:vAlign w:val="center"/>
            <w:textDirection w:val="lrTb"/>
            <w:noWrap w:val="false"/>
          </w:tcPr>
          <w:p>
            <w:pPr>
              <w:pStyle w:val="1063"/>
              <w:jc w:val="center"/>
              <w:widowControl w:val="off"/>
            </w:pPr>
            <w:r>
              <w:rPr>
                <w:rFonts w:ascii="Arial Narrow" w:hAnsi="Arial Narrow" w:cs="Calibri"/>
                <w:bCs/>
                <w:sz w:val="20"/>
                <w:szCs w:val="20"/>
              </w:rPr>
              <w:t xml:space="preserve">2022 г.</w:t>
            </w:r>
            <w:r/>
          </w:p>
        </w:tc>
        <w:tc>
          <w:tcPr>
            <w:tcBorders>
              <w:top w:val="single" w:color="000000" w:sz="4" w:space="0"/>
              <w:left w:val="single" w:color="000000" w:sz="4" w:space="0"/>
              <w:bottom w:val="single" w:color="000000" w:sz="4" w:space="0"/>
              <w:right w:val="single" w:color="000000" w:sz="4" w:space="0"/>
            </w:tcBorders>
            <w:tcW w:w="1135" w:type="dxa"/>
            <w:vAlign w:val="center"/>
            <w:textDirection w:val="lrTb"/>
            <w:noWrap w:val="false"/>
          </w:tcPr>
          <w:p>
            <w:pPr>
              <w:pStyle w:val="1063"/>
              <w:jc w:val="center"/>
              <w:widowControl w:val="off"/>
            </w:pPr>
            <w:r>
              <w:rPr>
                <w:rFonts w:ascii="Arial Narrow" w:hAnsi="Arial Narrow" w:cs="Calibri"/>
                <w:bCs/>
                <w:sz w:val="20"/>
                <w:szCs w:val="20"/>
              </w:rPr>
              <w:t xml:space="preserve">2023 г.</w:t>
            </w:r>
            <w:r/>
          </w:p>
        </w:tc>
        <w:tc>
          <w:tcPr>
            <w:tcBorders>
              <w:top w:val="single" w:color="000000" w:sz="4" w:space="0"/>
              <w:left w:val="single" w:color="000000" w:sz="4" w:space="0"/>
              <w:bottom w:val="single" w:color="000000" w:sz="4" w:space="0"/>
              <w:right w:val="single" w:color="000000" w:sz="4" w:space="0"/>
            </w:tcBorders>
            <w:tcW w:w="1136" w:type="dxa"/>
            <w:vAlign w:val="center"/>
            <w:textDirection w:val="lrTb"/>
            <w:noWrap w:val="false"/>
          </w:tcPr>
          <w:p>
            <w:pPr>
              <w:pStyle w:val="1063"/>
              <w:jc w:val="center"/>
              <w:widowControl w:val="off"/>
            </w:pPr>
            <w:r>
              <w:rPr>
                <w:rFonts w:ascii="Arial Narrow" w:hAnsi="Arial Narrow" w:cs="Calibri"/>
                <w:bCs/>
                <w:sz w:val="20"/>
                <w:szCs w:val="20"/>
              </w:rPr>
              <w:t xml:space="preserve">2024 г.</w:t>
            </w:r>
            <w:r/>
          </w:p>
        </w:tc>
        <w:tc>
          <w:tcPr>
            <w:tcBorders>
              <w:top w:val="single" w:color="000000" w:sz="4" w:space="0"/>
              <w:left w:val="single" w:color="000000" w:sz="4" w:space="0"/>
              <w:bottom w:val="single" w:color="000000" w:sz="4" w:space="0"/>
              <w:right w:val="single" w:color="000000" w:sz="4" w:space="0"/>
            </w:tcBorders>
            <w:tcW w:w="1546" w:type="dxa"/>
            <w:vAlign w:val="center"/>
            <w:textDirection w:val="lrTb"/>
            <w:noWrap w:val="false"/>
          </w:tcPr>
          <w:p>
            <w:pPr>
              <w:pStyle w:val="1063"/>
              <w:jc w:val="center"/>
              <w:widowControl w:val="off"/>
            </w:pPr>
            <w:r>
              <w:rPr>
                <w:rFonts w:ascii="Arial Narrow" w:hAnsi="Arial Narrow" w:cs="Calibri"/>
                <w:bCs/>
                <w:sz w:val="20"/>
                <w:szCs w:val="20"/>
              </w:rPr>
              <w:t xml:space="preserve">Темп роста</w:t>
            </w:r>
            <w:r/>
          </w:p>
          <w:p>
            <w:pPr>
              <w:pStyle w:val="1063"/>
              <w:jc w:val="center"/>
              <w:widowControl w:val="off"/>
            </w:pPr>
            <w:r>
              <w:rPr>
                <w:rFonts w:ascii="Arial Narrow" w:hAnsi="Arial Narrow" w:cs="Calibri"/>
                <w:bCs/>
                <w:sz w:val="20"/>
                <w:szCs w:val="20"/>
              </w:rPr>
              <w:t xml:space="preserve">(5/4), %</w:t>
            </w:r>
            <w:r/>
          </w:p>
        </w:tc>
      </w:tr>
      <w:tr>
        <w:trPr>
          <w:jc w:val="center"/>
          <w:trHeight w:val="264"/>
        </w:trPr>
        <w:tc>
          <w:tcPr>
            <w:tcBorders>
              <w:top w:val="single" w:color="000000" w:sz="4" w:space="0"/>
              <w:left w:val="single" w:color="000000" w:sz="4" w:space="0"/>
              <w:bottom w:val="single" w:color="000000" w:sz="4" w:space="0"/>
              <w:right w:val="single" w:color="000000" w:sz="4" w:space="0"/>
            </w:tcBorders>
            <w:tcW w:w="565" w:type="dxa"/>
            <w:textDirection w:val="lrTb"/>
            <w:noWrap w:val="false"/>
          </w:tcPr>
          <w:p>
            <w:pPr>
              <w:pStyle w:val="1063"/>
              <w:jc w:val="center"/>
              <w:widowControl w:val="off"/>
            </w:pPr>
            <w:r>
              <w:rPr>
                <w:rFonts w:ascii="Arial Narrow" w:hAnsi="Arial Narrow" w:cs="Calibri"/>
                <w:bCs/>
                <w:sz w:val="20"/>
                <w:szCs w:val="20"/>
              </w:rPr>
              <w:t xml:space="preserve">1</w:t>
            </w:r>
            <w:r/>
          </w:p>
        </w:tc>
        <w:tc>
          <w:tcPr>
            <w:tcBorders>
              <w:top w:val="single" w:color="000000" w:sz="4" w:space="0"/>
              <w:left w:val="single" w:color="000000" w:sz="4" w:space="0"/>
              <w:bottom w:val="single" w:color="000000" w:sz="4" w:space="0"/>
              <w:right w:val="single" w:color="000000" w:sz="4" w:space="0"/>
            </w:tcBorders>
            <w:tcW w:w="4675" w:type="dxa"/>
            <w:textDirection w:val="lrTb"/>
            <w:noWrap w:val="false"/>
          </w:tcPr>
          <w:p>
            <w:pPr>
              <w:pStyle w:val="1063"/>
              <w:jc w:val="center"/>
              <w:widowControl w:val="off"/>
            </w:pPr>
            <w:r>
              <w:rPr>
                <w:rFonts w:ascii="Arial Narrow" w:hAnsi="Arial Narrow" w:cs="Calibri"/>
                <w:bCs/>
                <w:sz w:val="20"/>
                <w:szCs w:val="20"/>
              </w:rPr>
              <w:t xml:space="preserve">2</w:t>
            </w:r>
            <w:r/>
          </w:p>
        </w:tc>
        <w:tc>
          <w:tcPr>
            <w:tcBorders>
              <w:top w:val="single" w:color="000000" w:sz="4" w:space="0"/>
              <w:left w:val="single" w:color="000000" w:sz="4" w:space="0"/>
              <w:bottom w:val="single" w:color="000000" w:sz="4" w:space="0"/>
              <w:right w:val="single" w:color="000000" w:sz="4" w:space="0"/>
            </w:tcBorders>
            <w:tcW w:w="1076" w:type="dxa"/>
            <w:vAlign w:val="center"/>
            <w:textDirection w:val="lrTb"/>
            <w:noWrap w:val="false"/>
          </w:tcPr>
          <w:p>
            <w:pPr>
              <w:pStyle w:val="1063"/>
              <w:jc w:val="center"/>
              <w:widowControl w:val="off"/>
            </w:pPr>
            <w:r>
              <w:rPr>
                <w:rFonts w:ascii="Arial Narrow" w:hAnsi="Arial Narrow" w:cs="Calibri"/>
                <w:sz w:val="20"/>
                <w:szCs w:val="20"/>
                <w:lang w:eastAsia="ru-RU"/>
              </w:rPr>
              <w:t xml:space="preserve">3</w:t>
            </w:r>
            <w:r/>
          </w:p>
        </w:tc>
        <w:tc>
          <w:tcPr>
            <w:tcBorders>
              <w:top w:val="single" w:color="000000" w:sz="4" w:space="0"/>
              <w:left w:val="single" w:color="000000" w:sz="4" w:space="0"/>
              <w:bottom w:val="single" w:color="000000" w:sz="4" w:space="0"/>
              <w:right w:val="single" w:color="000000" w:sz="4" w:space="0"/>
            </w:tcBorders>
            <w:tcW w:w="1135" w:type="dxa"/>
            <w:vAlign w:val="center"/>
            <w:textDirection w:val="lrTb"/>
            <w:noWrap w:val="false"/>
          </w:tcPr>
          <w:p>
            <w:pPr>
              <w:pStyle w:val="1063"/>
              <w:jc w:val="center"/>
              <w:widowControl w:val="off"/>
            </w:pPr>
            <w:r>
              <w:rPr>
                <w:rFonts w:ascii="Arial Narrow" w:hAnsi="Arial Narrow" w:cs="Calibri"/>
                <w:sz w:val="20"/>
                <w:szCs w:val="20"/>
                <w:lang w:eastAsia="ru-RU"/>
              </w:rPr>
              <w:t xml:space="preserve">4</w:t>
            </w:r>
            <w:r/>
          </w:p>
        </w:tc>
        <w:tc>
          <w:tcPr>
            <w:shd w:val="clear" w:color="auto" w:fill="ffffff"/>
            <w:tcBorders>
              <w:top w:val="single" w:color="000000" w:sz="4" w:space="0"/>
              <w:left w:val="single" w:color="000000" w:sz="4" w:space="0"/>
              <w:bottom w:val="single" w:color="000000" w:sz="4" w:space="0"/>
              <w:right w:val="single" w:color="000000" w:sz="4" w:space="0"/>
            </w:tcBorders>
            <w:tcW w:w="1136" w:type="dxa"/>
            <w:vAlign w:val="bottom"/>
            <w:textDirection w:val="lrTb"/>
            <w:noWrap w:val="false"/>
          </w:tcPr>
          <w:p>
            <w:pPr>
              <w:pStyle w:val="1063"/>
              <w:jc w:val="center"/>
              <w:widowControl w:val="off"/>
            </w:pPr>
            <w:r>
              <w:rPr>
                <w:rFonts w:ascii="Arial Narrow" w:hAnsi="Arial Narrow" w:cs="Calibri"/>
                <w:sz w:val="20"/>
                <w:szCs w:val="20"/>
                <w:lang w:eastAsia="ru-RU"/>
              </w:rPr>
              <w:t xml:space="preserve">5</w:t>
            </w:r>
            <w:r/>
          </w:p>
        </w:tc>
        <w:tc>
          <w:tcPr>
            <w:tcBorders>
              <w:top w:val="single" w:color="000000" w:sz="4" w:space="0"/>
              <w:left w:val="single" w:color="000000" w:sz="4" w:space="0"/>
              <w:bottom w:val="single" w:color="000000" w:sz="4" w:space="0"/>
              <w:right w:val="single" w:color="000000" w:sz="4" w:space="0"/>
            </w:tcBorders>
            <w:tcW w:w="1546" w:type="dxa"/>
            <w:vAlign w:val="center"/>
            <w:textDirection w:val="lrTb"/>
            <w:noWrap w:val="false"/>
          </w:tcPr>
          <w:p>
            <w:pPr>
              <w:pStyle w:val="1063"/>
              <w:jc w:val="center"/>
              <w:widowControl w:val="off"/>
            </w:pPr>
            <w:r>
              <w:rPr>
                <w:rFonts w:ascii="Arial Narrow" w:hAnsi="Arial Narrow" w:cs="Calibri"/>
                <w:sz w:val="20"/>
                <w:szCs w:val="20"/>
                <w:lang w:eastAsia="ru-RU"/>
              </w:rPr>
              <w:t xml:space="preserve">6</w:t>
            </w:r>
            <w:r/>
          </w:p>
        </w:tc>
      </w:tr>
      <w:tr>
        <w:trPr>
          <w:jc w:val="center"/>
        </w:trPr>
        <w:tc>
          <w:tcPr>
            <w:tcBorders>
              <w:top w:val="single" w:color="000000" w:sz="4" w:space="0"/>
              <w:left w:val="single" w:color="000000" w:sz="4" w:space="0"/>
              <w:bottom w:val="single" w:color="000000" w:sz="4" w:space="0"/>
              <w:right w:val="single" w:color="000000" w:sz="4" w:space="0"/>
            </w:tcBorders>
            <w:tcW w:w="565" w:type="dxa"/>
            <w:textDirection w:val="lrTb"/>
            <w:noWrap w:val="false"/>
          </w:tcPr>
          <w:p>
            <w:pPr>
              <w:pStyle w:val="1063"/>
              <w:jc w:val="center"/>
              <w:widowControl w:val="off"/>
            </w:pPr>
            <w:r>
              <w:rPr>
                <w:rFonts w:ascii="Arial Narrow" w:hAnsi="Arial Narrow" w:cs="Calibri"/>
                <w:bCs/>
                <w:sz w:val="20"/>
                <w:szCs w:val="20"/>
              </w:rPr>
              <w:t xml:space="preserve">1.</w:t>
            </w:r>
            <w:r/>
          </w:p>
        </w:tc>
        <w:tc>
          <w:tcPr>
            <w:tcBorders>
              <w:top w:val="single" w:color="000000" w:sz="4" w:space="0"/>
              <w:left w:val="single" w:color="000000" w:sz="4" w:space="0"/>
              <w:bottom w:val="single" w:color="000000" w:sz="4" w:space="0"/>
              <w:right w:val="single" w:color="000000" w:sz="4" w:space="0"/>
            </w:tcBorders>
            <w:tcW w:w="4675" w:type="dxa"/>
            <w:textDirection w:val="lrTb"/>
            <w:noWrap w:val="false"/>
          </w:tcPr>
          <w:p>
            <w:pPr>
              <w:pStyle w:val="1063"/>
              <w:jc w:val="both"/>
              <w:widowControl w:val="off"/>
            </w:pPr>
            <w:r>
              <w:rPr>
                <w:rFonts w:ascii="Arial Narrow" w:hAnsi="Arial Narrow" w:cs="Calibri"/>
                <w:bCs/>
                <w:sz w:val="20"/>
                <w:szCs w:val="20"/>
              </w:rPr>
              <w:t xml:space="preserve">EBIT, тыс. рублей</w:t>
            </w:r>
            <w:r/>
          </w:p>
        </w:tc>
        <w:tc>
          <w:tcPr>
            <w:tcBorders>
              <w:top w:val="single" w:color="000000" w:sz="4" w:space="0"/>
              <w:left w:val="single" w:color="000000" w:sz="4" w:space="0"/>
              <w:bottom w:val="single" w:color="000000" w:sz="4" w:space="0"/>
              <w:right w:val="single" w:color="000000" w:sz="4" w:space="0"/>
            </w:tcBorders>
            <w:tcW w:w="1076" w:type="dxa"/>
            <w:vAlign w:val="center"/>
            <w:textDirection w:val="lrTb"/>
            <w:noWrap w:val="false"/>
          </w:tcPr>
          <w:p>
            <w:pPr>
              <w:pStyle w:val="1063"/>
              <w:jc w:val="center"/>
              <w:widowControl w:val="off"/>
            </w:pPr>
            <w:r>
              <w:rPr>
                <w:rFonts w:ascii="Arial Narrow" w:hAnsi="Arial Narrow" w:cs="Calibri"/>
                <w:sz w:val="20"/>
                <w:szCs w:val="20"/>
                <w:lang w:eastAsia="ru-RU"/>
              </w:rPr>
              <w:t xml:space="preserve">-299 573</w:t>
            </w:r>
            <w:r/>
          </w:p>
        </w:tc>
        <w:tc>
          <w:tcPr>
            <w:tcBorders>
              <w:top w:val="single" w:color="000000" w:sz="4" w:space="0"/>
              <w:left w:val="single" w:color="000000" w:sz="4" w:space="0"/>
              <w:bottom w:val="single" w:color="000000" w:sz="4" w:space="0"/>
              <w:right w:val="single" w:color="000000" w:sz="4" w:space="0"/>
            </w:tcBorders>
            <w:tcW w:w="1135" w:type="dxa"/>
            <w:vAlign w:val="center"/>
            <w:textDirection w:val="lrTb"/>
            <w:noWrap w:val="false"/>
          </w:tcPr>
          <w:p>
            <w:pPr>
              <w:pStyle w:val="1063"/>
              <w:jc w:val="center"/>
              <w:widowControl w:val="off"/>
            </w:pPr>
            <w:r>
              <w:rPr>
                <w:rFonts w:ascii="Arial Narrow" w:hAnsi="Arial Narrow" w:cs="Calibri"/>
                <w:sz w:val="20"/>
                <w:szCs w:val="20"/>
                <w:lang w:eastAsia="ru-RU"/>
              </w:rPr>
              <w:t xml:space="preserve">2 598 988</w:t>
            </w:r>
            <w:r/>
          </w:p>
        </w:tc>
        <w:tc>
          <w:tcPr>
            <w:tcBorders>
              <w:top w:val="single" w:color="000000" w:sz="4" w:space="0"/>
              <w:left w:val="single" w:color="000000" w:sz="4" w:space="0"/>
              <w:bottom w:val="single" w:color="000000" w:sz="4" w:space="0"/>
              <w:right w:val="single" w:color="000000" w:sz="4" w:space="0"/>
            </w:tcBorders>
            <w:tcW w:w="1136" w:type="dxa"/>
            <w:vAlign w:val="bottom"/>
            <w:textDirection w:val="lrTb"/>
            <w:noWrap w:val="false"/>
          </w:tcPr>
          <w:p>
            <w:pPr>
              <w:pStyle w:val="1063"/>
              <w:jc w:val="center"/>
              <w:widowControl w:val="off"/>
            </w:pPr>
            <w:r>
              <w:rPr>
                <w:rFonts w:ascii="Arial Narrow" w:hAnsi="Arial Narrow" w:cs="Calibri"/>
                <w:sz w:val="20"/>
                <w:szCs w:val="20"/>
                <w:lang w:eastAsia="ru-RU"/>
              </w:rPr>
              <w:t xml:space="preserve">140 535</w:t>
            </w:r>
            <w:r/>
          </w:p>
        </w:tc>
        <w:tc>
          <w:tcPr>
            <w:tcBorders>
              <w:top w:val="single" w:color="000000" w:sz="4" w:space="0"/>
              <w:left w:val="single" w:color="000000" w:sz="4" w:space="0"/>
              <w:bottom w:val="single" w:color="000000" w:sz="4" w:space="0"/>
              <w:right w:val="single" w:color="000000" w:sz="4" w:space="0"/>
            </w:tcBorders>
            <w:tcW w:w="1546" w:type="dxa"/>
            <w:vAlign w:val="center"/>
            <w:textDirection w:val="lrTb"/>
            <w:noWrap w:val="false"/>
          </w:tcPr>
          <w:p>
            <w:pPr>
              <w:pStyle w:val="1063"/>
              <w:jc w:val="center"/>
              <w:widowControl w:val="off"/>
            </w:pPr>
            <w:r>
              <w:rPr>
                <w:rFonts w:ascii="Arial Narrow" w:hAnsi="Arial Narrow" w:cs="Calibri"/>
                <w:sz w:val="20"/>
                <w:szCs w:val="20"/>
                <w:lang w:eastAsia="ru-RU"/>
              </w:rPr>
              <w:t xml:space="preserve">5,4</w:t>
            </w:r>
            <w:r/>
          </w:p>
        </w:tc>
      </w:tr>
      <w:tr>
        <w:trPr>
          <w:jc w:val="center"/>
          <w:trHeight w:val="45"/>
        </w:trPr>
        <w:tc>
          <w:tcPr>
            <w:tcBorders>
              <w:top w:val="single" w:color="000000" w:sz="4" w:space="0"/>
              <w:left w:val="single" w:color="000000" w:sz="4" w:space="0"/>
              <w:bottom w:val="single" w:color="000000" w:sz="4" w:space="0"/>
              <w:right w:val="single" w:color="000000" w:sz="4" w:space="0"/>
            </w:tcBorders>
            <w:tcW w:w="565" w:type="dxa"/>
            <w:textDirection w:val="lrTb"/>
            <w:noWrap w:val="false"/>
          </w:tcPr>
          <w:p>
            <w:pPr>
              <w:pStyle w:val="1063"/>
              <w:jc w:val="center"/>
              <w:widowControl w:val="off"/>
            </w:pPr>
            <w:r>
              <w:rPr>
                <w:rFonts w:ascii="Arial Narrow" w:hAnsi="Arial Narrow" w:cs="Calibri"/>
                <w:bCs/>
                <w:sz w:val="20"/>
                <w:szCs w:val="20"/>
              </w:rPr>
              <w:t xml:space="preserve">2.</w:t>
            </w:r>
            <w:r/>
          </w:p>
        </w:tc>
        <w:tc>
          <w:tcPr>
            <w:tcBorders>
              <w:top w:val="single" w:color="000000" w:sz="4" w:space="0"/>
              <w:left w:val="single" w:color="000000" w:sz="4" w:space="0"/>
              <w:bottom w:val="single" w:color="000000" w:sz="4" w:space="0"/>
              <w:right w:val="single" w:color="000000" w:sz="4" w:space="0"/>
            </w:tcBorders>
            <w:tcW w:w="4675" w:type="dxa"/>
            <w:textDirection w:val="lrTb"/>
            <w:noWrap w:val="false"/>
          </w:tcPr>
          <w:p>
            <w:pPr>
              <w:pStyle w:val="1063"/>
              <w:jc w:val="both"/>
              <w:widowControl w:val="off"/>
            </w:pPr>
            <w:r>
              <w:rPr>
                <w:rFonts w:ascii="Arial Narrow" w:hAnsi="Arial Narrow" w:cs="Calibri"/>
                <w:bCs/>
                <w:sz w:val="20"/>
                <w:szCs w:val="20"/>
              </w:rPr>
              <w:t xml:space="preserve">EBITDA, тыс. рублей</w:t>
            </w:r>
            <w:r/>
          </w:p>
        </w:tc>
        <w:tc>
          <w:tcPr>
            <w:tcBorders>
              <w:top w:val="single" w:color="000000" w:sz="4" w:space="0"/>
              <w:left w:val="single" w:color="000000" w:sz="4" w:space="0"/>
              <w:bottom w:val="single" w:color="000000" w:sz="4" w:space="0"/>
              <w:right w:val="single" w:color="000000" w:sz="4" w:space="0"/>
            </w:tcBorders>
            <w:tcW w:w="1076" w:type="dxa"/>
            <w:vAlign w:val="center"/>
            <w:textDirection w:val="lrTb"/>
            <w:noWrap w:val="false"/>
          </w:tcPr>
          <w:p>
            <w:pPr>
              <w:pStyle w:val="1063"/>
              <w:jc w:val="center"/>
              <w:widowControl w:val="off"/>
            </w:pPr>
            <w:r>
              <w:rPr>
                <w:rFonts w:ascii="Arial Narrow" w:hAnsi="Arial Narrow" w:cs="Calibri"/>
                <w:sz w:val="20"/>
                <w:szCs w:val="20"/>
                <w:lang w:eastAsia="ru-RU"/>
              </w:rPr>
              <w:t xml:space="preserve">1 174 861</w:t>
            </w:r>
            <w:r/>
          </w:p>
        </w:tc>
        <w:tc>
          <w:tcPr>
            <w:tcBorders>
              <w:top w:val="single" w:color="000000" w:sz="4" w:space="0"/>
              <w:left w:val="single" w:color="000000" w:sz="4" w:space="0"/>
              <w:bottom w:val="single" w:color="000000" w:sz="4" w:space="0"/>
              <w:right w:val="single" w:color="000000" w:sz="4" w:space="0"/>
            </w:tcBorders>
            <w:tcW w:w="1135" w:type="dxa"/>
            <w:vAlign w:val="center"/>
            <w:textDirection w:val="lrTb"/>
            <w:noWrap w:val="false"/>
          </w:tcPr>
          <w:p>
            <w:pPr>
              <w:pStyle w:val="1063"/>
              <w:jc w:val="center"/>
              <w:widowControl w:val="off"/>
            </w:pPr>
            <w:r>
              <w:rPr>
                <w:rFonts w:ascii="Arial Narrow" w:hAnsi="Arial Narrow" w:cs="Calibri"/>
                <w:sz w:val="20"/>
                <w:szCs w:val="20"/>
                <w:lang w:eastAsia="ru-RU"/>
              </w:rPr>
              <w:t xml:space="preserve">4 319 351</w:t>
            </w:r>
            <w:r/>
          </w:p>
        </w:tc>
        <w:tc>
          <w:tcPr>
            <w:tcBorders>
              <w:left w:val="single" w:color="000000" w:sz="4" w:space="0"/>
              <w:bottom w:val="single" w:color="000000" w:sz="4" w:space="0"/>
              <w:right w:val="single" w:color="000000" w:sz="4" w:space="0"/>
            </w:tcBorders>
            <w:tcW w:w="1136" w:type="dxa"/>
            <w:vAlign w:val="bottom"/>
            <w:textDirection w:val="lrTb"/>
            <w:noWrap w:val="false"/>
          </w:tcPr>
          <w:p>
            <w:pPr>
              <w:pStyle w:val="1063"/>
              <w:jc w:val="center"/>
              <w:widowControl w:val="off"/>
            </w:pPr>
            <w:r>
              <w:rPr>
                <w:rFonts w:ascii="Arial Narrow" w:hAnsi="Arial Narrow" w:cs="Calibri"/>
                <w:sz w:val="20"/>
                <w:szCs w:val="20"/>
                <w:lang w:eastAsia="ru-RU"/>
              </w:rPr>
              <w:t xml:space="preserve">2 004 993</w:t>
            </w:r>
            <w:r/>
          </w:p>
        </w:tc>
        <w:tc>
          <w:tcPr>
            <w:tcBorders>
              <w:top w:val="single" w:color="000000" w:sz="4" w:space="0"/>
              <w:left w:val="single" w:color="000000" w:sz="4" w:space="0"/>
              <w:bottom w:val="single" w:color="000000" w:sz="4" w:space="0"/>
              <w:right w:val="single" w:color="000000" w:sz="4" w:space="0"/>
            </w:tcBorders>
            <w:tcW w:w="1546" w:type="dxa"/>
            <w:vAlign w:val="center"/>
            <w:textDirection w:val="lrTb"/>
            <w:noWrap w:val="false"/>
          </w:tcPr>
          <w:p>
            <w:pPr>
              <w:pStyle w:val="1063"/>
              <w:jc w:val="center"/>
              <w:widowControl w:val="off"/>
            </w:pPr>
            <w:r>
              <w:rPr>
                <w:rFonts w:ascii="Arial Narrow" w:hAnsi="Arial Narrow" w:cs="Calibri"/>
                <w:sz w:val="20"/>
                <w:szCs w:val="20"/>
                <w:lang w:eastAsia="ru-RU"/>
              </w:rPr>
              <w:t xml:space="preserve">46,4</w:t>
            </w:r>
            <w:r/>
          </w:p>
        </w:tc>
      </w:tr>
      <w:tr>
        <w:trPr>
          <w:jc w:val="center"/>
        </w:trPr>
        <w:tc>
          <w:tcPr>
            <w:tcBorders>
              <w:top w:val="single" w:color="000000" w:sz="4" w:space="0"/>
              <w:left w:val="single" w:color="000000" w:sz="4" w:space="0"/>
              <w:bottom w:val="single" w:color="000000" w:sz="4" w:space="0"/>
              <w:right w:val="single" w:color="000000" w:sz="4" w:space="0"/>
            </w:tcBorders>
            <w:tcW w:w="565" w:type="dxa"/>
            <w:textDirection w:val="lrTb"/>
            <w:noWrap w:val="false"/>
          </w:tcPr>
          <w:p>
            <w:pPr>
              <w:pStyle w:val="1063"/>
              <w:jc w:val="center"/>
              <w:widowControl w:val="off"/>
            </w:pPr>
            <w:r>
              <w:rPr>
                <w:rFonts w:ascii="Arial Narrow" w:hAnsi="Arial Narrow" w:cs="Calibri"/>
                <w:bCs/>
                <w:sz w:val="20"/>
                <w:szCs w:val="20"/>
              </w:rPr>
              <w:t xml:space="preserve">3.</w:t>
            </w:r>
            <w:r/>
          </w:p>
        </w:tc>
        <w:tc>
          <w:tcPr>
            <w:tcBorders>
              <w:top w:val="single" w:color="000000" w:sz="4" w:space="0"/>
              <w:left w:val="single" w:color="000000" w:sz="4" w:space="0"/>
              <w:bottom w:val="single" w:color="000000" w:sz="4" w:space="0"/>
              <w:right w:val="single" w:color="000000" w:sz="4" w:space="0"/>
            </w:tcBorders>
            <w:tcW w:w="4675" w:type="dxa"/>
            <w:textDirection w:val="lrTb"/>
            <w:noWrap w:val="false"/>
          </w:tcPr>
          <w:p>
            <w:pPr>
              <w:pStyle w:val="1063"/>
              <w:jc w:val="both"/>
              <w:widowControl w:val="off"/>
            </w:pPr>
            <w:r>
              <w:rPr>
                <w:rFonts w:ascii="Arial Narrow" w:hAnsi="Arial Narrow" w:cs="Calibri"/>
                <w:bCs/>
                <w:sz w:val="20"/>
                <w:szCs w:val="20"/>
              </w:rPr>
              <w:t xml:space="preserve">Коэффициент оборачиваемости дебиторской задолженности</w:t>
            </w:r>
            <w:r/>
          </w:p>
        </w:tc>
        <w:tc>
          <w:tcPr>
            <w:tcBorders>
              <w:top w:val="single" w:color="000000" w:sz="4" w:space="0"/>
              <w:left w:val="single" w:color="000000" w:sz="4" w:space="0"/>
              <w:bottom w:val="single" w:color="000000" w:sz="4" w:space="0"/>
              <w:right w:val="single" w:color="000000" w:sz="4" w:space="0"/>
            </w:tcBorders>
            <w:tcW w:w="1076" w:type="dxa"/>
            <w:vAlign w:val="center"/>
            <w:textDirection w:val="lrTb"/>
            <w:noWrap w:val="false"/>
          </w:tcPr>
          <w:p>
            <w:pPr>
              <w:pStyle w:val="1063"/>
              <w:jc w:val="center"/>
              <w:widowControl w:val="off"/>
            </w:pPr>
            <w:r>
              <w:rPr>
                <w:rFonts w:ascii="Arial Narrow" w:hAnsi="Arial Narrow" w:cs="Calibri"/>
                <w:sz w:val="20"/>
                <w:szCs w:val="20"/>
                <w:lang w:eastAsia="ru-RU"/>
              </w:rPr>
              <w:t xml:space="preserve">4,53</w:t>
            </w:r>
            <w:r/>
          </w:p>
        </w:tc>
        <w:tc>
          <w:tcPr>
            <w:tcBorders>
              <w:top w:val="single" w:color="000000" w:sz="4" w:space="0"/>
              <w:left w:val="single" w:color="000000" w:sz="4" w:space="0"/>
              <w:bottom w:val="single" w:color="000000" w:sz="4" w:space="0"/>
              <w:right w:val="single" w:color="000000" w:sz="4" w:space="0"/>
            </w:tcBorders>
            <w:tcW w:w="1135" w:type="dxa"/>
            <w:vAlign w:val="center"/>
            <w:textDirection w:val="lrTb"/>
            <w:noWrap w:val="false"/>
          </w:tcPr>
          <w:p>
            <w:pPr>
              <w:pStyle w:val="1063"/>
              <w:jc w:val="center"/>
              <w:widowControl w:val="off"/>
            </w:pPr>
            <w:r>
              <w:rPr>
                <w:rFonts w:ascii="Arial Narrow" w:hAnsi="Arial Narrow" w:cs="Calibri"/>
                <w:sz w:val="20"/>
                <w:szCs w:val="20"/>
                <w:lang w:eastAsia="ru-RU"/>
              </w:rPr>
              <w:t xml:space="preserve">4,29</w:t>
            </w:r>
            <w:r/>
          </w:p>
        </w:tc>
        <w:tc>
          <w:tcPr>
            <w:tcBorders>
              <w:top w:val="single" w:color="000000" w:sz="4" w:space="0"/>
              <w:left w:val="single" w:color="000000" w:sz="4" w:space="0"/>
              <w:bottom w:val="single" w:color="000000" w:sz="4" w:space="0"/>
              <w:right w:val="single" w:color="000000" w:sz="4" w:space="0"/>
            </w:tcBorders>
            <w:tcW w:w="1136" w:type="dxa"/>
            <w:vAlign w:val="center"/>
            <w:textDirection w:val="lrTb"/>
            <w:noWrap w:val="false"/>
          </w:tcPr>
          <w:p>
            <w:pPr>
              <w:pStyle w:val="1063"/>
              <w:jc w:val="center"/>
              <w:widowControl w:val="off"/>
            </w:pPr>
            <w:r>
              <w:rPr>
                <w:rFonts w:ascii="Arial Narrow" w:hAnsi="Arial Narrow" w:cs="Calibri"/>
                <w:sz w:val="20"/>
                <w:szCs w:val="20"/>
                <w:lang w:eastAsia="ru-RU"/>
              </w:rPr>
              <w:t xml:space="preserve">4,49</w:t>
            </w:r>
            <w:r/>
          </w:p>
        </w:tc>
        <w:tc>
          <w:tcPr>
            <w:tcBorders>
              <w:top w:val="single" w:color="000000" w:sz="4" w:space="0"/>
              <w:left w:val="single" w:color="000000" w:sz="4" w:space="0"/>
              <w:bottom w:val="single" w:color="000000" w:sz="4" w:space="0"/>
              <w:right w:val="single" w:color="000000" w:sz="4" w:space="0"/>
            </w:tcBorders>
            <w:tcW w:w="1546" w:type="dxa"/>
            <w:vAlign w:val="center"/>
            <w:textDirection w:val="lrTb"/>
            <w:noWrap w:val="false"/>
          </w:tcPr>
          <w:p>
            <w:pPr>
              <w:pStyle w:val="1063"/>
              <w:jc w:val="center"/>
              <w:widowControl w:val="off"/>
            </w:pPr>
            <w:r>
              <w:rPr>
                <w:rFonts w:ascii="Arial Narrow" w:hAnsi="Arial Narrow" w:cs="Calibri"/>
                <w:sz w:val="20"/>
                <w:szCs w:val="20"/>
                <w:lang w:eastAsia="ru-RU"/>
              </w:rPr>
              <w:t xml:space="preserve">101,8</w:t>
            </w:r>
            <w:r/>
          </w:p>
        </w:tc>
      </w:tr>
      <w:tr>
        <w:trPr>
          <w:jc w:val="center"/>
        </w:trPr>
        <w:tc>
          <w:tcPr>
            <w:tcBorders>
              <w:top w:val="single" w:color="000000" w:sz="4" w:space="0"/>
              <w:left w:val="single" w:color="000000" w:sz="4" w:space="0"/>
              <w:bottom w:val="single" w:color="000000" w:sz="4" w:space="0"/>
              <w:right w:val="single" w:color="000000" w:sz="4" w:space="0"/>
            </w:tcBorders>
            <w:tcW w:w="565" w:type="dxa"/>
            <w:textDirection w:val="lrTb"/>
            <w:noWrap w:val="false"/>
          </w:tcPr>
          <w:p>
            <w:pPr>
              <w:pStyle w:val="1063"/>
              <w:jc w:val="center"/>
              <w:widowControl w:val="off"/>
            </w:pPr>
            <w:r>
              <w:rPr>
                <w:rFonts w:ascii="Arial Narrow" w:hAnsi="Arial Narrow" w:cs="Calibri"/>
                <w:bCs/>
                <w:sz w:val="20"/>
                <w:szCs w:val="20"/>
              </w:rPr>
              <w:t xml:space="preserve">4.</w:t>
            </w:r>
            <w:r/>
          </w:p>
        </w:tc>
        <w:tc>
          <w:tcPr>
            <w:tcBorders>
              <w:top w:val="single" w:color="000000" w:sz="4" w:space="0"/>
              <w:left w:val="single" w:color="000000" w:sz="4" w:space="0"/>
              <w:bottom w:val="single" w:color="000000" w:sz="4" w:space="0"/>
              <w:right w:val="single" w:color="000000" w:sz="4" w:space="0"/>
            </w:tcBorders>
            <w:tcW w:w="4675" w:type="dxa"/>
            <w:textDirection w:val="lrTb"/>
            <w:noWrap w:val="false"/>
          </w:tcPr>
          <w:p>
            <w:pPr>
              <w:pStyle w:val="1063"/>
              <w:jc w:val="both"/>
              <w:widowControl w:val="off"/>
            </w:pPr>
            <w:r>
              <w:rPr>
                <w:rFonts w:ascii="Arial Narrow" w:hAnsi="Arial Narrow" w:cs="Calibri"/>
                <w:bCs/>
                <w:sz w:val="20"/>
                <w:szCs w:val="20"/>
              </w:rPr>
              <w:t xml:space="preserve">Оборачиваемость дебиторской задолженности, дней</w:t>
            </w:r>
            <w:r/>
          </w:p>
        </w:tc>
        <w:tc>
          <w:tcPr>
            <w:tcBorders>
              <w:top w:val="single" w:color="000000" w:sz="4" w:space="0"/>
              <w:left w:val="single" w:color="000000" w:sz="4" w:space="0"/>
              <w:bottom w:val="single" w:color="000000" w:sz="4" w:space="0"/>
              <w:right w:val="single" w:color="000000" w:sz="4" w:space="0"/>
            </w:tcBorders>
            <w:tcW w:w="1076" w:type="dxa"/>
            <w:vAlign w:val="center"/>
            <w:textDirection w:val="lrTb"/>
            <w:noWrap w:val="false"/>
          </w:tcPr>
          <w:p>
            <w:pPr>
              <w:pStyle w:val="1063"/>
              <w:jc w:val="center"/>
              <w:widowControl w:val="off"/>
            </w:pPr>
            <w:r>
              <w:rPr>
                <w:rFonts w:ascii="Arial Narrow" w:hAnsi="Arial Narrow" w:cs="Calibri"/>
                <w:sz w:val="20"/>
                <w:szCs w:val="20"/>
                <w:lang w:eastAsia="ru-RU"/>
              </w:rPr>
              <w:t xml:space="preserve">81</w:t>
            </w:r>
            <w:r/>
          </w:p>
        </w:tc>
        <w:tc>
          <w:tcPr>
            <w:tcBorders>
              <w:top w:val="single" w:color="000000" w:sz="4" w:space="0"/>
              <w:left w:val="single" w:color="000000" w:sz="4" w:space="0"/>
              <w:bottom w:val="single" w:color="000000" w:sz="4" w:space="0"/>
              <w:right w:val="single" w:color="000000" w:sz="4" w:space="0"/>
            </w:tcBorders>
            <w:tcW w:w="1135" w:type="dxa"/>
            <w:vAlign w:val="center"/>
            <w:textDirection w:val="lrTb"/>
            <w:noWrap w:val="false"/>
          </w:tcPr>
          <w:p>
            <w:pPr>
              <w:pStyle w:val="1063"/>
              <w:jc w:val="center"/>
              <w:widowControl w:val="off"/>
            </w:pPr>
            <w:r>
              <w:rPr>
                <w:rFonts w:ascii="Arial Narrow" w:hAnsi="Arial Narrow" w:cs="Calibri"/>
                <w:sz w:val="20"/>
                <w:szCs w:val="20"/>
                <w:lang w:eastAsia="ru-RU"/>
              </w:rPr>
              <w:t xml:space="preserve">85</w:t>
            </w:r>
            <w:r/>
          </w:p>
        </w:tc>
        <w:tc>
          <w:tcPr>
            <w:tcBorders>
              <w:top w:val="single" w:color="000000" w:sz="4" w:space="0"/>
              <w:left w:val="single" w:color="000000" w:sz="4" w:space="0"/>
              <w:bottom w:val="single" w:color="000000" w:sz="4" w:space="0"/>
              <w:right w:val="single" w:color="000000" w:sz="4" w:space="0"/>
            </w:tcBorders>
            <w:tcW w:w="1136" w:type="dxa"/>
            <w:vAlign w:val="center"/>
            <w:textDirection w:val="lrTb"/>
            <w:noWrap w:val="false"/>
          </w:tcPr>
          <w:p>
            <w:pPr>
              <w:pStyle w:val="1063"/>
              <w:jc w:val="center"/>
              <w:widowControl w:val="off"/>
            </w:pPr>
            <w:r>
              <w:rPr>
                <w:rFonts w:ascii="Arial Narrow" w:hAnsi="Arial Narrow" w:cs="Calibri"/>
                <w:sz w:val="20"/>
                <w:szCs w:val="20"/>
                <w:lang w:eastAsia="ru-RU"/>
              </w:rPr>
              <w:t xml:space="preserve">81</w:t>
            </w:r>
            <w:r/>
          </w:p>
        </w:tc>
        <w:tc>
          <w:tcPr>
            <w:tcBorders>
              <w:top w:val="single" w:color="000000" w:sz="4" w:space="0"/>
              <w:left w:val="single" w:color="000000" w:sz="4" w:space="0"/>
              <w:bottom w:val="single" w:color="000000" w:sz="4" w:space="0"/>
              <w:right w:val="single" w:color="000000" w:sz="4" w:space="0"/>
            </w:tcBorders>
            <w:tcW w:w="1546" w:type="dxa"/>
            <w:vAlign w:val="center"/>
            <w:textDirection w:val="lrTb"/>
            <w:noWrap w:val="false"/>
          </w:tcPr>
          <w:p>
            <w:pPr>
              <w:pStyle w:val="1063"/>
              <w:jc w:val="center"/>
              <w:widowControl w:val="off"/>
            </w:pPr>
            <w:r>
              <w:rPr>
                <w:rFonts w:ascii="Arial Narrow" w:hAnsi="Arial Narrow" w:cs="Calibri"/>
                <w:sz w:val="20"/>
                <w:szCs w:val="20"/>
                <w:lang w:eastAsia="ru-RU"/>
              </w:rPr>
              <w:t xml:space="preserve">97,6</w:t>
            </w:r>
            <w:r/>
          </w:p>
        </w:tc>
      </w:tr>
      <w:tr>
        <w:trPr>
          <w:jc w:val="center"/>
        </w:trPr>
        <w:tc>
          <w:tcPr>
            <w:tcBorders>
              <w:top w:val="single" w:color="000000" w:sz="4" w:space="0"/>
              <w:left w:val="single" w:color="000000" w:sz="4" w:space="0"/>
              <w:bottom w:val="single" w:color="000000" w:sz="4" w:space="0"/>
              <w:right w:val="single" w:color="000000" w:sz="4" w:space="0"/>
            </w:tcBorders>
            <w:tcW w:w="565" w:type="dxa"/>
            <w:textDirection w:val="lrTb"/>
            <w:noWrap w:val="false"/>
          </w:tcPr>
          <w:p>
            <w:pPr>
              <w:pStyle w:val="1063"/>
              <w:jc w:val="center"/>
              <w:widowControl w:val="off"/>
            </w:pPr>
            <w:r>
              <w:rPr>
                <w:rFonts w:ascii="Arial Narrow" w:hAnsi="Arial Narrow" w:cs="Calibri"/>
                <w:bCs/>
                <w:sz w:val="20"/>
                <w:szCs w:val="20"/>
              </w:rPr>
              <w:t xml:space="preserve">5.</w:t>
            </w:r>
            <w:r/>
          </w:p>
        </w:tc>
        <w:tc>
          <w:tcPr>
            <w:tcBorders>
              <w:top w:val="single" w:color="000000" w:sz="4" w:space="0"/>
              <w:left w:val="single" w:color="000000" w:sz="4" w:space="0"/>
              <w:bottom w:val="single" w:color="000000" w:sz="4" w:space="0"/>
              <w:right w:val="single" w:color="000000" w:sz="4" w:space="0"/>
            </w:tcBorders>
            <w:tcW w:w="4675" w:type="dxa"/>
            <w:textDirection w:val="lrTb"/>
            <w:noWrap w:val="false"/>
          </w:tcPr>
          <w:p>
            <w:pPr>
              <w:pStyle w:val="1063"/>
              <w:jc w:val="both"/>
              <w:widowControl w:val="off"/>
            </w:pPr>
            <w:r>
              <w:rPr>
                <w:rFonts w:ascii="Arial Narrow" w:hAnsi="Arial Narrow" w:cs="Calibri"/>
                <w:bCs/>
                <w:sz w:val="20"/>
                <w:szCs w:val="20"/>
              </w:rPr>
              <w:t xml:space="preserve">Коэффициент оборачиваемости кредиторской задолженности</w:t>
            </w:r>
            <w:r/>
          </w:p>
        </w:tc>
        <w:tc>
          <w:tcPr>
            <w:tcBorders>
              <w:top w:val="single" w:color="000000" w:sz="4" w:space="0"/>
              <w:left w:val="single" w:color="000000" w:sz="4" w:space="0"/>
              <w:bottom w:val="single" w:color="000000" w:sz="4" w:space="0"/>
              <w:right w:val="single" w:color="000000" w:sz="4" w:space="0"/>
            </w:tcBorders>
            <w:tcW w:w="1076" w:type="dxa"/>
            <w:vAlign w:val="center"/>
            <w:textDirection w:val="lrTb"/>
            <w:noWrap w:val="false"/>
          </w:tcPr>
          <w:p>
            <w:pPr>
              <w:pStyle w:val="1063"/>
              <w:jc w:val="center"/>
              <w:widowControl w:val="off"/>
            </w:pPr>
            <w:r>
              <w:rPr>
                <w:rFonts w:ascii="Arial Narrow" w:hAnsi="Arial Narrow" w:cs="Calibri"/>
                <w:sz w:val="20"/>
                <w:szCs w:val="20"/>
                <w:lang w:eastAsia="ru-RU"/>
              </w:rPr>
              <w:t xml:space="preserve">9,97</w:t>
            </w:r>
            <w:r/>
          </w:p>
        </w:tc>
        <w:tc>
          <w:tcPr>
            <w:tcBorders>
              <w:top w:val="single" w:color="000000" w:sz="4" w:space="0"/>
              <w:left w:val="single" w:color="000000" w:sz="4" w:space="0"/>
              <w:bottom w:val="single" w:color="000000" w:sz="4" w:space="0"/>
              <w:right w:val="single" w:color="000000" w:sz="4" w:space="0"/>
            </w:tcBorders>
            <w:tcW w:w="1135" w:type="dxa"/>
            <w:vAlign w:val="center"/>
            <w:textDirection w:val="lrTb"/>
            <w:noWrap w:val="false"/>
          </w:tcPr>
          <w:p>
            <w:pPr>
              <w:pStyle w:val="1063"/>
              <w:jc w:val="center"/>
              <w:widowControl w:val="off"/>
            </w:pPr>
            <w:r>
              <w:rPr>
                <w:rFonts w:ascii="Arial Narrow" w:hAnsi="Arial Narrow" w:cs="Calibri"/>
                <w:sz w:val="20"/>
                <w:szCs w:val="20"/>
                <w:lang w:eastAsia="ru-RU"/>
              </w:rPr>
              <w:t xml:space="preserve">11,62</w:t>
            </w:r>
            <w:r/>
          </w:p>
        </w:tc>
        <w:tc>
          <w:tcPr>
            <w:tcBorders>
              <w:top w:val="single" w:color="000000" w:sz="4" w:space="0"/>
              <w:left w:val="single" w:color="000000" w:sz="4" w:space="0"/>
              <w:bottom w:val="single" w:color="000000" w:sz="4" w:space="0"/>
              <w:right w:val="single" w:color="000000" w:sz="4" w:space="0"/>
            </w:tcBorders>
            <w:tcW w:w="1136" w:type="dxa"/>
            <w:vAlign w:val="center"/>
            <w:textDirection w:val="lrTb"/>
            <w:noWrap w:val="false"/>
          </w:tcPr>
          <w:p>
            <w:pPr>
              <w:pStyle w:val="1063"/>
              <w:jc w:val="center"/>
              <w:widowControl w:val="off"/>
            </w:pPr>
            <w:r>
              <w:rPr>
                <w:rFonts w:ascii="Arial Narrow" w:hAnsi="Arial Narrow" w:cs="Calibri"/>
                <w:sz w:val="20"/>
                <w:szCs w:val="20"/>
                <w:lang w:eastAsia="ru-RU"/>
              </w:rPr>
              <w:t xml:space="preserve">6,64</w:t>
            </w:r>
            <w:r/>
          </w:p>
        </w:tc>
        <w:tc>
          <w:tcPr>
            <w:tcBorders>
              <w:top w:val="single" w:color="000000" w:sz="4" w:space="0"/>
              <w:left w:val="single" w:color="000000" w:sz="4" w:space="0"/>
              <w:bottom w:val="single" w:color="000000" w:sz="4" w:space="0"/>
              <w:right w:val="single" w:color="000000" w:sz="4" w:space="0"/>
            </w:tcBorders>
            <w:tcW w:w="1546" w:type="dxa"/>
            <w:vAlign w:val="center"/>
            <w:textDirection w:val="lrTb"/>
            <w:noWrap w:val="false"/>
          </w:tcPr>
          <w:p>
            <w:pPr>
              <w:pStyle w:val="1063"/>
              <w:jc w:val="center"/>
              <w:widowControl w:val="off"/>
            </w:pPr>
            <w:r>
              <w:rPr>
                <w:rFonts w:ascii="Arial Narrow" w:hAnsi="Arial Narrow" w:cs="Calibri"/>
                <w:sz w:val="20"/>
                <w:szCs w:val="20"/>
                <w:lang w:eastAsia="ru-RU"/>
              </w:rPr>
              <w:t xml:space="preserve">57,6</w:t>
            </w:r>
            <w:r/>
          </w:p>
        </w:tc>
      </w:tr>
      <w:tr>
        <w:trPr>
          <w:jc w:val="center"/>
        </w:trPr>
        <w:tc>
          <w:tcPr>
            <w:tcBorders>
              <w:top w:val="single" w:color="000000" w:sz="4" w:space="0"/>
              <w:left w:val="single" w:color="000000" w:sz="4" w:space="0"/>
              <w:bottom w:val="single" w:color="000000" w:sz="4" w:space="0"/>
              <w:right w:val="single" w:color="000000" w:sz="4" w:space="0"/>
            </w:tcBorders>
            <w:tcW w:w="565" w:type="dxa"/>
            <w:textDirection w:val="lrTb"/>
            <w:noWrap w:val="false"/>
          </w:tcPr>
          <w:p>
            <w:pPr>
              <w:pStyle w:val="1063"/>
              <w:jc w:val="center"/>
              <w:widowControl w:val="off"/>
            </w:pPr>
            <w:r>
              <w:rPr>
                <w:rFonts w:ascii="Arial Narrow" w:hAnsi="Arial Narrow" w:cs="Calibri"/>
                <w:bCs/>
                <w:sz w:val="20"/>
                <w:szCs w:val="20"/>
              </w:rPr>
              <w:t xml:space="preserve">6.</w:t>
            </w:r>
            <w:r/>
          </w:p>
        </w:tc>
        <w:tc>
          <w:tcPr>
            <w:tcBorders>
              <w:top w:val="single" w:color="000000" w:sz="4" w:space="0"/>
              <w:left w:val="single" w:color="000000" w:sz="4" w:space="0"/>
              <w:bottom w:val="single" w:color="000000" w:sz="4" w:space="0"/>
              <w:right w:val="single" w:color="000000" w:sz="4" w:space="0"/>
            </w:tcBorders>
            <w:tcW w:w="4675" w:type="dxa"/>
            <w:textDirection w:val="lrTb"/>
            <w:noWrap w:val="false"/>
          </w:tcPr>
          <w:p>
            <w:pPr>
              <w:pStyle w:val="1063"/>
              <w:jc w:val="both"/>
              <w:widowControl w:val="off"/>
            </w:pPr>
            <w:r>
              <w:rPr>
                <w:rFonts w:ascii="Arial Narrow" w:hAnsi="Arial Narrow" w:cs="Calibri"/>
                <w:bCs/>
                <w:sz w:val="20"/>
                <w:szCs w:val="20"/>
              </w:rPr>
              <w:t xml:space="preserve">Оборачиваемость кредиторской задолженности, дней</w:t>
            </w:r>
            <w:r/>
          </w:p>
        </w:tc>
        <w:tc>
          <w:tcPr>
            <w:tcBorders>
              <w:top w:val="single" w:color="000000" w:sz="4" w:space="0"/>
              <w:left w:val="single" w:color="000000" w:sz="4" w:space="0"/>
              <w:bottom w:val="single" w:color="000000" w:sz="4" w:space="0"/>
              <w:right w:val="single" w:color="000000" w:sz="4" w:space="0"/>
            </w:tcBorders>
            <w:tcW w:w="1076" w:type="dxa"/>
            <w:vAlign w:val="center"/>
            <w:textDirection w:val="lrTb"/>
            <w:noWrap w:val="false"/>
          </w:tcPr>
          <w:p>
            <w:pPr>
              <w:pStyle w:val="1063"/>
              <w:jc w:val="center"/>
              <w:widowControl w:val="off"/>
            </w:pPr>
            <w:r>
              <w:rPr>
                <w:rFonts w:ascii="Arial Narrow" w:hAnsi="Arial Narrow" w:cs="Calibri"/>
                <w:sz w:val="20"/>
                <w:szCs w:val="20"/>
                <w:lang w:eastAsia="ru-RU"/>
              </w:rPr>
              <w:t xml:space="preserve">37</w:t>
            </w:r>
            <w:r/>
          </w:p>
        </w:tc>
        <w:tc>
          <w:tcPr>
            <w:tcBorders>
              <w:top w:val="single" w:color="000000" w:sz="4" w:space="0"/>
              <w:left w:val="single" w:color="000000" w:sz="4" w:space="0"/>
              <w:bottom w:val="single" w:color="000000" w:sz="4" w:space="0"/>
              <w:right w:val="single" w:color="000000" w:sz="4" w:space="0"/>
            </w:tcBorders>
            <w:tcW w:w="1135" w:type="dxa"/>
            <w:vAlign w:val="center"/>
            <w:textDirection w:val="lrTb"/>
            <w:noWrap w:val="false"/>
          </w:tcPr>
          <w:p>
            <w:pPr>
              <w:pStyle w:val="1063"/>
              <w:jc w:val="center"/>
              <w:widowControl w:val="off"/>
            </w:pPr>
            <w:r>
              <w:rPr>
                <w:rFonts w:ascii="Arial Narrow" w:hAnsi="Arial Narrow" w:cs="Calibri"/>
                <w:sz w:val="20"/>
                <w:szCs w:val="20"/>
                <w:lang w:eastAsia="ru-RU"/>
              </w:rPr>
              <w:t xml:space="preserve">31</w:t>
            </w:r>
            <w:r/>
          </w:p>
        </w:tc>
        <w:tc>
          <w:tcPr>
            <w:tcBorders>
              <w:top w:val="single" w:color="000000" w:sz="4" w:space="0"/>
              <w:left w:val="single" w:color="000000" w:sz="4" w:space="0"/>
              <w:bottom w:val="single" w:color="000000" w:sz="4" w:space="0"/>
              <w:right w:val="single" w:color="000000" w:sz="4" w:space="0"/>
            </w:tcBorders>
            <w:tcW w:w="1136" w:type="dxa"/>
            <w:vAlign w:val="center"/>
            <w:textDirection w:val="lrTb"/>
            <w:noWrap w:val="false"/>
          </w:tcPr>
          <w:p>
            <w:pPr>
              <w:pStyle w:val="1063"/>
              <w:jc w:val="center"/>
              <w:widowControl w:val="off"/>
            </w:pPr>
            <w:r>
              <w:rPr>
                <w:rFonts w:ascii="Arial Narrow" w:hAnsi="Arial Narrow" w:cs="Calibri"/>
                <w:sz w:val="20"/>
                <w:szCs w:val="20"/>
                <w:lang w:eastAsia="ru-RU"/>
              </w:rPr>
              <w:t xml:space="preserve">55</w:t>
            </w:r>
            <w:r/>
          </w:p>
        </w:tc>
        <w:tc>
          <w:tcPr>
            <w:tcBorders>
              <w:top w:val="single" w:color="000000" w:sz="4" w:space="0"/>
              <w:left w:val="single" w:color="000000" w:sz="4" w:space="0"/>
              <w:bottom w:val="single" w:color="000000" w:sz="4" w:space="0"/>
              <w:right w:val="single" w:color="000000" w:sz="4" w:space="0"/>
            </w:tcBorders>
            <w:tcW w:w="1546" w:type="dxa"/>
            <w:vAlign w:val="center"/>
            <w:textDirection w:val="lrTb"/>
            <w:noWrap w:val="false"/>
          </w:tcPr>
          <w:p>
            <w:pPr>
              <w:pStyle w:val="1063"/>
              <w:jc w:val="center"/>
              <w:widowControl w:val="off"/>
            </w:pPr>
            <w:r>
              <w:rPr>
                <w:rFonts w:ascii="Arial Narrow" w:hAnsi="Arial Narrow" w:cs="Calibri"/>
                <w:sz w:val="20"/>
                <w:szCs w:val="20"/>
                <w:lang w:eastAsia="ru-RU"/>
              </w:rPr>
              <w:t xml:space="preserve">171,9</w:t>
            </w:r>
            <w:r/>
          </w:p>
        </w:tc>
      </w:tr>
      <w:tr>
        <w:trPr>
          <w:jc w:val="center"/>
        </w:trPr>
        <w:tc>
          <w:tcPr>
            <w:tcBorders>
              <w:top w:val="single" w:color="000000" w:sz="4" w:space="0"/>
              <w:left w:val="single" w:color="000000" w:sz="4" w:space="0"/>
              <w:bottom w:val="single" w:color="000000" w:sz="4" w:space="0"/>
              <w:right w:val="single" w:color="000000" w:sz="4" w:space="0"/>
            </w:tcBorders>
            <w:tcW w:w="565" w:type="dxa"/>
            <w:textDirection w:val="lrTb"/>
            <w:noWrap w:val="false"/>
          </w:tcPr>
          <w:p>
            <w:pPr>
              <w:pStyle w:val="1063"/>
              <w:jc w:val="center"/>
              <w:widowControl w:val="off"/>
            </w:pPr>
            <w:r>
              <w:rPr>
                <w:rFonts w:ascii="Arial Narrow" w:hAnsi="Arial Narrow" w:cs="Calibri"/>
                <w:bCs/>
                <w:sz w:val="20"/>
                <w:szCs w:val="20"/>
              </w:rPr>
              <w:t xml:space="preserve">7.</w:t>
            </w:r>
            <w:r/>
          </w:p>
        </w:tc>
        <w:tc>
          <w:tcPr>
            <w:tcBorders>
              <w:top w:val="single" w:color="000000" w:sz="4" w:space="0"/>
              <w:left w:val="single" w:color="000000" w:sz="4" w:space="0"/>
              <w:bottom w:val="single" w:color="000000" w:sz="4" w:space="0"/>
              <w:right w:val="single" w:color="000000" w:sz="4" w:space="0"/>
            </w:tcBorders>
            <w:tcW w:w="4675" w:type="dxa"/>
            <w:textDirection w:val="lrTb"/>
            <w:noWrap w:val="false"/>
          </w:tcPr>
          <w:p>
            <w:pPr>
              <w:pStyle w:val="1063"/>
              <w:jc w:val="both"/>
              <w:widowControl w:val="off"/>
            </w:pPr>
            <w:r>
              <w:rPr>
                <w:rFonts w:ascii="Arial Narrow" w:hAnsi="Arial Narrow" w:cs="Calibri"/>
                <w:bCs/>
                <w:sz w:val="20"/>
                <w:szCs w:val="20"/>
              </w:rPr>
              <w:t xml:space="preserve">Коэффициент быстрой ликвидности</w:t>
            </w:r>
            <w:r/>
          </w:p>
        </w:tc>
        <w:tc>
          <w:tcPr>
            <w:tcBorders>
              <w:top w:val="single" w:color="000000" w:sz="4" w:space="0"/>
              <w:left w:val="single" w:color="000000" w:sz="4" w:space="0"/>
              <w:bottom w:val="single" w:color="000000" w:sz="4" w:space="0"/>
              <w:right w:val="single" w:color="000000" w:sz="4" w:space="0"/>
            </w:tcBorders>
            <w:tcW w:w="1076" w:type="dxa"/>
            <w:vAlign w:val="center"/>
            <w:textDirection w:val="lrTb"/>
            <w:noWrap w:val="false"/>
          </w:tcPr>
          <w:p>
            <w:pPr>
              <w:pStyle w:val="1063"/>
              <w:jc w:val="center"/>
              <w:widowControl w:val="off"/>
            </w:pPr>
            <w:r>
              <w:rPr>
                <w:rFonts w:ascii="Arial Narrow" w:hAnsi="Arial Narrow" w:cs="Calibri"/>
                <w:sz w:val="20"/>
                <w:szCs w:val="20"/>
                <w:lang w:eastAsia="ru-RU"/>
              </w:rPr>
              <w:t xml:space="preserve">0,95</w:t>
            </w:r>
            <w:r/>
          </w:p>
        </w:tc>
        <w:tc>
          <w:tcPr>
            <w:tcBorders>
              <w:top w:val="single" w:color="000000" w:sz="4" w:space="0"/>
              <w:bottom w:val="single" w:color="000000" w:sz="4" w:space="0"/>
              <w:right w:val="single" w:color="000000" w:sz="4" w:space="0"/>
            </w:tcBorders>
            <w:tcW w:w="1135" w:type="dxa"/>
            <w:vAlign w:val="center"/>
            <w:textDirection w:val="lrTb"/>
            <w:noWrap w:val="false"/>
          </w:tcPr>
          <w:p>
            <w:pPr>
              <w:pStyle w:val="1063"/>
              <w:jc w:val="center"/>
              <w:widowControl w:val="off"/>
            </w:pPr>
            <w:r>
              <w:rPr>
                <w:rFonts w:ascii="Arial Narrow" w:hAnsi="Arial Narrow" w:cs="Calibri"/>
                <w:sz w:val="20"/>
                <w:szCs w:val="20"/>
                <w:lang w:eastAsia="ru-RU"/>
              </w:rPr>
              <w:t xml:space="preserve">1,58</w:t>
            </w:r>
            <w:r/>
          </w:p>
        </w:tc>
        <w:tc>
          <w:tcPr>
            <w:tcBorders>
              <w:top w:val="single" w:color="000000" w:sz="4" w:space="0"/>
              <w:bottom w:val="single" w:color="000000" w:sz="4" w:space="0"/>
              <w:right w:val="single" w:color="000000" w:sz="4" w:space="0"/>
            </w:tcBorders>
            <w:tcW w:w="1136" w:type="dxa"/>
            <w:vAlign w:val="center"/>
            <w:textDirection w:val="lrTb"/>
            <w:noWrap w:val="false"/>
          </w:tcPr>
          <w:p>
            <w:pPr>
              <w:pStyle w:val="1063"/>
              <w:jc w:val="center"/>
              <w:widowControl w:val="off"/>
            </w:pPr>
            <w:r>
              <w:rPr>
                <w:rFonts w:ascii="Arial Narrow" w:hAnsi="Arial Narrow" w:cs="Calibri"/>
                <w:sz w:val="20"/>
                <w:szCs w:val="20"/>
                <w:lang w:eastAsia="ru-RU"/>
              </w:rPr>
              <w:t xml:space="preserve">0,50</w:t>
            </w:r>
            <w:r/>
          </w:p>
        </w:tc>
        <w:tc>
          <w:tcPr>
            <w:tcBorders>
              <w:top w:val="single" w:color="000000" w:sz="4" w:space="0"/>
              <w:bottom w:val="single" w:color="000000" w:sz="4" w:space="0"/>
              <w:right w:val="single" w:color="000000" w:sz="4" w:space="0"/>
            </w:tcBorders>
            <w:tcW w:w="1546" w:type="dxa"/>
            <w:vAlign w:val="center"/>
            <w:textDirection w:val="lrTb"/>
            <w:noWrap w:val="false"/>
          </w:tcPr>
          <w:p>
            <w:pPr>
              <w:pStyle w:val="1063"/>
              <w:jc w:val="center"/>
              <w:widowControl w:val="off"/>
            </w:pPr>
            <w:r>
              <w:rPr>
                <w:rFonts w:ascii="Arial Narrow" w:hAnsi="Arial Narrow" w:cs="Calibri"/>
                <w:sz w:val="20"/>
                <w:szCs w:val="20"/>
                <w:lang w:eastAsia="ru-RU"/>
              </w:rPr>
              <w:t xml:space="preserve">31,6</w:t>
            </w:r>
            <w:r/>
          </w:p>
        </w:tc>
      </w:tr>
      <w:tr>
        <w:trPr>
          <w:jc w:val="center"/>
        </w:trPr>
        <w:tc>
          <w:tcPr>
            <w:tcBorders>
              <w:top w:val="single" w:color="000000" w:sz="4" w:space="0"/>
              <w:left w:val="single" w:color="000000" w:sz="4" w:space="0"/>
              <w:bottom w:val="single" w:color="000000" w:sz="4" w:space="0"/>
              <w:right w:val="single" w:color="000000" w:sz="4" w:space="0"/>
            </w:tcBorders>
            <w:tcW w:w="565" w:type="dxa"/>
            <w:textDirection w:val="lrTb"/>
            <w:noWrap w:val="false"/>
          </w:tcPr>
          <w:p>
            <w:pPr>
              <w:pStyle w:val="1063"/>
              <w:jc w:val="center"/>
              <w:widowControl w:val="off"/>
            </w:pPr>
            <w:r>
              <w:rPr>
                <w:rFonts w:ascii="Arial Narrow" w:hAnsi="Arial Narrow" w:cs="Calibri"/>
                <w:bCs/>
                <w:sz w:val="20"/>
                <w:szCs w:val="20"/>
              </w:rPr>
              <w:t xml:space="preserve">8.</w:t>
            </w:r>
            <w:r/>
          </w:p>
        </w:tc>
        <w:tc>
          <w:tcPr>
            <w:tcBorders>
              <w:top w:val="single" w:color="000000" w:sz="4" w:space="0"/>
              <w:left w:val="single" w:color="000000" w:sz="4" w:space="0"/>
              <w:bottom w:val="single" w:color="000000" w:sz="4" w:space="0"/>
              <w:right w:val="single" w:color="000000" w:sz="4" w:space="0"/>
            </w:tcBorders>
            <w:tcW w:w="4675" w:type="dxa"/>
            <w:textDirection w:val="lrTb"/>
            <w:noWrap w:val="false"/>
          </w:tcPr>
          <w:p>
            <w:pPr>
              <w:pStyle w:val="1063"/>
              <w:jc w:val="both"/>
              <w:widowControl w:val="off"/>
            </w:pPr>
            <w:r>
              <w:rPr>
                <w:rFonts w:ascii="Arial Narrow" w:hAnsi="Arial Narrow" w:cs="Calibri"/>
                <w:bCs/>
                <w:sz w:val="20"/>
                <w:szCs w:val="20"/>
              </w:rPr>
              <w:t xml:space="preserve">Коэффициент абсолютной ликвидности</w:t>
            </w:r>
            <w:r/>
          </w:p>
        </w:tc>
        <w:tc>
          <w:tcPr>
            <w:tcBorders>
              <w:top w:val="single" w:color="000000" w:sz="4" w:space="0"/>
              <w:left w:val="single" w:color="000000" w:sz="4" w:space="0"/>
              <w:bottom w:val="single" w:color="000000" w:sz="4" w:space="0"/>
              <w:right w:val="single" w:color="000000" w:sz="4" w:space="0"/>
            </w:tcBorders>
            <w:tcW w:w="1076" w:type="dxa"/>
            <w:vAlign w:val="center"/>
            <w:textDirection w:val="lrTb"/>
            <w:noWrap w:val="false"/>
          </w:tcPr>
          <w:p>
            <w:pPr>
              <w:pStyle w:val="1063"/>
              <w:jc w:val="center"/>
              <w:widowControl w:val="off"/>
            </w:pPr>
            <w:r>
              <w:rPr>
                <w:rFonts w:ascii="Arial Narrow" w:hAnsi="Arial Narrow" w:cs="Calibri"/>
                <w:sz w:val="20"/>
                <w:szCs w:val="20"/>
                <w:lang w:eastAsia="ru-RU"/>
              </w:rPr>
              <w:t xml:space="preserve">0,24</w:t>
            </w:r>
            <w:r/>
          </w:p>
        </w:tc>
        <w:tc>
          <w:tcPr>
            <w:tcBorders>
              <w:top w:val="single" w:color="000000" w:sz="4" w:space="0"/>
              <w:bottom w:val="single" w:color="000000" w:sz="4" w:space="0"/>
              <w:right w:val="single" w:color="000000" w:sz="4" w:space="0"/>
            </w:tcBorders>
            <w:tcW w:w="1135" w:type="dxa"/>
            <w:vAlign w:val="center"/>
            <w:textDirection w:val="lrTb"/>
            <w:noWrap w:val="false"/>
          </w:tcPr>
          <w:p>
            <w:pPr>
              <w:pStyle w:val="1063"/>
              <w:jc w:val="center"/>
              <w:widowControl w:val="off"/>
            </w:pPr>
            <w:r>
              <w:rPr>
                <w:rFonts w:ascii="Arial Narrow" w:hAnsi="Arial Narrow" w:cs="Calibri"/>
                <w:sz w:val="20"/>
                <w:szCs w:val="20"/>
                <w:lang w:eastAsia="ru-RU"/>
              </w:rPr>
              <w:t xml:space="preserve">0,26</w:t>
            </w:r>
            <w:r/>
          </w:p>
        </w:tc>
        <w:tc>
          <w:tcPr>
            <w:tcBorders>
              <w:top w:val="single" w:color="000000" w:sz="4" w:space="0"/>
              <w:bottom w:val="single" w:color="000000" w:sz="4" w:space="0"/>
              <w:right w:val="single" w:color="000000" w:sz="4" w:space="0"/>
            </w:tcBorders>
            <w:tcW w:w="1136" w:type="dxa"/>
            <w:vAlign w:val="center"/>
            <w:textDirection w:val="lrTb"/>
            <w:noWrap w:val="false"/>
          </w:tcPr>
          <w:p>
            <w:pPr>
              <w:pStyle w:val="1063"/>
              <w:jc w:val="center"/>
              <w:widowControl w:val="off"/>
            </w:pPr>
            <w:r>
              <w:rPr>
                <w:rFonts w:ascii="Arial Narrow" w:hAnsi="Arial Narrow" w:cs="Calibri"/>
                <w:sz w:val="20"/>
                <w:szCs w:val="20"/>
                <w:lang w:eastAsia="ru-RU"/>
              </w:rPr>
              <w:t xml:space="preserve">0,09</w:t>
            </w:r>
            <w:r/>
          </w:p>
        </w:tc>
        <w:tc>
          <w:tcPr>
            <w:tcBorders>
              <w:top w:val="single" w:color="000000" w:sz="4" w:space="0"/>
              <w:bottom w:val="single" w:color="000000" w:sz="4" w:space="0"/>
              <w:right w:val="single" w:color="000000" w:sz="4" w:space="0"/>
            </w:tcBorders>
            <w:tcW w:w="1546" w:type="dxa"/>
            <w:vAlign w:val="center"/>
            <w:textDirection w:val="lrTb"/>
            <w:noWrap w:val="false"/>
          </w:tcPr>
          <w:p>
            <w:pPr>
              <w:pStyle w:val="1063"/>
              <w:jc w:val="center"/>
              <w:widowControl w:val="off"/>
            </w:pPr>
            <w:r>
              <w:rPr>
                <w:rFonts w:ascii="Arial Narrow" w:hAnsi="Arial Narrow" w:cs="Calibri"/>
                <w:sz w:val="20"/>
                <w:szCs w:val="20"/>
                <w:lang w:eastAsia="ru-RU"/>
              </w:rPr>
              <w:t xml:space="preserve">34,6</w:t>
            </w:r>
            <w:r/>
          </w:p>
        </w:tc>
      </w:tr>
      <w:tr>
        <w:trPr>
          <w:jc w:val="center"/>
        </w:trPr>
        <w:tc>
          <w:tcPr>
            <w:tcBorders>
              <w:top w:val="single" w:color="000000" w:sz="4" w:space="0"/>
              <w:left w:val="single" w:color="000000" w:sz="4" w:space="0"/>
              <w:bottom w:val="single" w:color="000000" w:sz="4" w:space="0"/>
              <w:right w:val="single" w:color="000000" w:sz="4" w:space="0"/>
            </w:tcBorders>
            <w:tcW w:w="565" w:type="dxa"/>
            <w:textDirection w:val="lrTb"/>
            <w:noWrap w:val="false"/>
          </w:tcPr>
          <w:p>
            <w:pPr>
              <w:pStyle w:val="1063"/>
              <w:jc w:val="center"/>
              <w:widowControl w:val="off"/>
            </w:pPr>
            <w:r>
              <w:rPr>
                <w:rFonts w:ascii="Arial Narrow" w:hAnsi="Arial Narrow" w:cs="Calibri"/>
                <w:bCs/>
                <w:sz w:val="20"/>
                <w:szCs w:val="20"/>
              </w:rPr>
              <w:t xml:space="preserve">9.</w:t>
            </w:r>
            <w:r/>
          </w:p>
        </w:tc>
        <w:tc>
          <w:tcPr>
            <w:tcBorders>
              <w:top w:val="single" w:color="000000" w:sz="4" w:space="0"/>
              <w:left w:val="single" w:color="000000" w:sz="4" w:space="0"/>
              <w:bottom w:val="single" w:color="000000" w:sz="4" w:space="0"/>
              <w:right w:val="single" w:color="000000" w:sz="4" w:space="0"/>
            </w:tcBorders>
            <w:tcW w:w="4675" w:type="dxa"/>
            <w:textDirection w:val="lrTb"/>
            <w:noWrap w:val="false"/>
          </w:tcPr>
          <w:p>
            <w:pPr>
              <w:pStyle w:val="1063"/>
              <w:jc w:val="both"/>
              <w:widowControl w:val="off"/>
            </w:pPr>
            <w:r>
              <w:rPr>
                <w:rFonts w:ascii="Arial Narrow" w:hAnsi="Arial Narrow" w:cs="Calibri"/>
                <w:bCs/>
                <w:sz w:val="20"/>
                <w:szCs w:val="20"/>
              </w:rPr>
              <w:t xml:space="preserve">Коэффициент Бивера</w:t>
            </w:r>
            <w:r/>
          </w:p>
        </w:tc>
        <w:tc>
          <w:tcPr>
            <w:tcBorders>
              <w:left w:val="single" w:color="000000" w:sz="4" w:space="0"/>
              <w:bottom w:val="single" w:color="000000" w:sz="4" w:space="0"/>
              <w:right w:val="single" w:color="000000" w:sz="4" w:space="0"/>
            </w:tcBorders>
            <w:tcW w:w="1076" w:type="dxa"/>
            <w:vAlign w:val="center"/>
            <w:textDirection w:val="lrTb"/>
            <w:noWrap w:val="false"/>
          </w:tcPr>
          <w:p>
            <w:pPr>
              <w:pStyle w:val="1063"/>
              <w:jc w:val="center"/>
              <w:widowControl w:val="off"/>
            </w:pPr>
            <w:r>
              <w:rPr>
                <w:rFonts w:ascii="Arial Narrow" w:hAnsi="Arial Narrow" w:cs="Calibri"/>
                <w:sz w:val="20"/>
                <w:szCs w:val="20"/>
                <w:lang w:eastAsia="ru-RU"/>
              </w:rPr>
              <w:t xml:space="preserve">0,93</w:t>
            </w:r>
            <w:r/>
          </w:p>
        </w:tc>
        <w:tc>
          <w:tcPr>
            <w:tcBorders>
              <w:bottom w:val="single" w:color="000000" w:sz="4" w:space="0"/>
              <w:right w:val="single" w:color="000000" w:sz="4" w:space="0"/>
            </w:tcBorders>
            <w:tcW w:w="1135" w:type="dxa"/>
            <w:vAlign w:val="center"/>
            <w:textDirection w:val="lrTb"/>
            <w:noWrap w:val="false"/>
          </w:tcPr>
          <w:p>
            <w:pPr>
              <w:pStyle w:val="1063"/>
              <w:jc w:val="center"/>
              <w:widowControl w:val="off"/>
            </w:pPr>
            <w:r>
              <w:rPr>
                <w:rFonts w:ascii="Arial Narrow" w:hAnsi="Arial Narrow" w:cs="Calibri"/>
                <w:sz w:val="20"/>
                <w:szCs w:val="20"/>
                <w:lang w:eastAsia="ru-RU"/>
              </w:rPr>
              <w:t xml:space="preserve">0,55</w:t>
            </w:r>
            <w:r/>
          </w:p>
        </w:tc>
        <w:tc>
          <w:tcPr>
            <w:tcBorders>
              <w:bottom w:val="single" w:color="000000" w:sz="4" w:space="0"/>
              <w:right w:val="single" w:color="000000" w:sz="4" w:space="0"/>
            </w:tcBorders>
            <w:tcW w:w="1136" w:type="dxa"/>
            <w:vAlign w:val="center"/>
            <w:textDirection w:val="lrTb"/>
            <w:noWrap w:val="false"/>
          </w:tcPr>
          <w:p>
            <w:pPr>
              <w:pStyle w:val="1063"/>
              <w:jc w:val="center"/>
              <w:widowControl w:val="off"/>
            </w:pPr>
            <w:r>
              <w:rPr>
                <w:rFonts w:ascii="Arial Narrow" w:hAnsi="Arial Narrow" w:cs="Calibri"/>
                <w:sz w:val="20"/>
                <w:szCs w:val="20"/>
                <w:lang w:eastAsia="ru-RU"/>
              </w:rPr>
              <w:t xml:space="preserve">0,54</w:t>
            </w:r>
            <w:r/>
          </w:p>
        </w:tc>
        <w:tc>
          <w:tcPr>
            <w:tcBorders>
              <w:bottom w:val="single" w:color="000000" w:sz="4" w:space="0"/>
              <w:right w:val="single" w:color="000000" w:sz="4" w:space="0"/>
            </w:tcBorders>
            <w:tcW w:w="1546" w:type="dxa"/>
            <w:vAlign w:val="center"/>
            <w:textDirection w:val="lrTb"/>
            <w:noWrap w:val="false"/>
          </w:tcPr>
          <w:p>
            <w:pPr>
              <w:pStyle w:val="1063"/>
              <w:jc w:val="center"/>
              <w:widowControl w:val="off"/>
            </w:pPr>
            <w:r>
              <w:rPr>
                <w:rFonts w:ascii="Arial Narrow" w:hAnsi="Arial Narrow" w:cs="Calibri"/>
                <w:sz w:val="20"/>
                <w:szCs w:val="20"/>
                <w:lang w:eastAsia="ru-RU"/>
              </w:rPr>
              <w:t xml:space="preserve">98,2</w:t>
            </w:r>
            <w:r/>
          </w:p>
        </w:tc>
      </w:tr>
      <w:tr>
        <w:trPr>
          <w:jc w:val="center"/>
        </w:trPr>
        <w:tc>
          <w:tcPr>
            <w:tcBorders>
              <w:top w:val="single" w:color="000000" w:sz="4" w:space="0"/>
              <w:left w:val="single" w:color="000000" w:sz="4" w:space="0"/>
              <w:bottom w:val="single" w:color="000000" w:sz="4" w:space="0"/>
              <w:right w:val="single" w:color="000000" w:sz="4" w:space="0"/>
            </w:tcBorders>
            <w:tcW w:w="565" w:type="dxa"/>
            <w:textDirection w:val="lrTb"/>
            <w:noWrap w:val="false"/>
          </w:tcPr>
          <w:p>
            <w:pPr>
              <w:pStyle w:val="1063"/>
              <w:jc w:val="center"/>
              <w:widowControl w:val="off"/>
            </w:pPr>
            <w:r>
              <w:rPr>
                <w:rFonts w:ascii="Arial Narrow" w:hAnsi="Arial Narrow" w:cs="Calibri"/>
                <w:bCs/>
                <w:sz w:val="20"/>
                <w:szCs w:val="20"/>
              </w:rPr>
              <w:t xml:space="preserve">10.</w:t>
            </w:r>
            <w:r/>
          </w:p>
        </w:tc>
        <w:tc>
          <w:tcPr>
            <w:tcBorders>
              <w:top w:val="single" w:color="000000" w:sz="4" w:space="0"/>
              <w:left w:val="single" w:color="000000" w:sz="4" w:space="0"/>
              <w:bottom w:val="single" w:color="000000" w:sz="4" w:space="0"/>
              <w:right w:val="single" w:color="000000" w:sz="4" w:space="0"/>
            </w:tcBorders>
            <w:tcW w:w="4675" w:type="dxa"/>
            <w:textDirection w:val="lrTb"/>
            <w:noWrap w:val="false"/>
          </w:tcPr>
          <w:p>
            <w:pPr>
              <w:pStyle w:val="1063"/>
              <w:jc w:val="both"/>
              <w:widowControl w:val="off"/>
            </w:pPr>
            <w:r>
              <w:rPr>
                <w:rFonts w:ascii="Arial Narrow" w:hAnsi="Arial Narrow" w:cs="Calibri"/>
                <w:bCs/>
                <w:sz w:val="20"/>
                <w:szCs w:val="20"/>
              </w:rPr>
              <w:t xml:space="preserve">Коэффициент автономии</w:t>
            </w:r>
            <w:r/>
          </w:p>
        </w:tc>
        <w:tc>
          <w:tcPr>
            <w:tcBorders>
              <w:left w:val="single" w:color="000000" w:sz="4" w:space="0"/>
              <w:bottom w:val="single" w:color="000000" w:sz="4" w:space="0"/>
              <w:right w:val="single" w:color="000000" w:sz="4" w:space="0"/>
            </w:tcBorders>
            <w:tcW w:w="1076" w:type="dxa"/>
            <w:vAlign w:val="center"/>
            <w:textDirection w:val="lrTb"/>
            <w:noWrap w:val="false"/>
          </w:tcPr>
          <w:p>
            <w:pPr>
              <w:pStyle w:val="1063"/>
              <w:jc w:val="center"/>
              <w:widowControl w:val="off"/>
            </w:pPr>
            <w:r>
              <w:rPr>
                <w:rFonts w:ascii="Arial Narrow" w:hAnsi="Arial Narrow" w:cs="Calibri"/>
                <w:sz w:val="20"/>
                <w:szCs w:val="20"/>
                <w:lang w:eastAsia="ru-RU"/>
              </w:rPr>
              <w:t xml:space="preserve">0,29</w:t>
            </w:r>
            <w:r/>
          </w:p>
        </w:tc>
        <w:tc>
          <w:tcPr>
            <w:tcBorders>
              <w:bottom w:val="single" w:color="000000" w:sz="4" w:space="0"/>
              <w:right w:val="single" w:color="000000" w:sz="4" w:space="0"/>
            </w:tcBorders>
            <w:tcW w:w="1135" w:type="dxa"/>
            <w:vAlign w:val="center"/>
            <w:textDirection w:val="lrTb"/>
            <w:noWrap w:val="false"/>
          </w:tcPr>
          <w:p>
            <w:pPr>
              <w:pStyle w:val="1063"/>
              <w:jc w:val="center"/>
              <w:widowControl w:val="off"/>
            </w:pPr>
            <w:r>
              <w:rPr>
                <w:rFonts w:ascii="Arial Narrow" w:hAnsi="Arial Narrow" w:cs="Calibri"/>
                <w:sz w:val="20"/>
                <w:szCs w:val="20"/>
                <w:lang w:eastAsia="ru-RU"/>
              </w:rPr>
              <w:t xml:space="preserve">0,36</w:t>
            </w:r>
            <w:r/>
          </w:p>
        </w:tc>
        <w:tc>
          <w:tcPr>
            <w:tcBorders>
              <w:bottom w:val="single" w:color="000000" w:sz="4" w:space="0"/>
              <w:right w:val="single" w:color="000000" w:sz="4" w:space="0"/>
            </w:tcBorders>
            <w:tcW w:w="1136" w:type="dxa"/>
            <w:vAlign w:val="center"/>
            <w:textDirection w:val="lrTb"/>
            <w:noWrap w:val="false"/>
          </w:tcPr>
          <w:p>
            <w:pPr>
              <w:pStyle w:val="1063"/>
              <w:jc w:val="center"/>
              <w:widowControl w:val="off"/>
            </w:pPr>
            <w:r>
              <w:rPr>
                <w:rFonts w:ascii="Arial Narrow" w:hAnsi="Arial Narrow" w:cs="Calibri"/>
                <w:sz w:val="20"/>
                <w:szCs w:val="20"/>
                <w:lang w:eastAsia="ru-RU"/>
              </w:rPr>
              <w:t xml:space="preserve">0,32</w:t>
            </w:r>
            <w:r/>
          </w:p>
        </w:tc>
        <w:tc>
          <w:tcPr>
            <w:tcBorders>
              <w:bottom w:val="single" w:color="000000" w:sz="4" w:space="0"/>
              <w:right w:val="single" w:color="000000" w:sz="4" w:space="0"/>
            </w:tcBorders>
            <w:tcW w:w="1546" w:type="dxa"/>
            <w:vAlign w:val="center"/>
            <w:textDirection w:val="lrTb"/>
            <w:noWrap w:val="false"/>
          </w:tcPr>
          <w:p>
            <w:pPr>
              <w:pStyle w:val="1063"/>
              <w:jc w:val="center"/>
              <w:widowControl w:val="off"/>
            </w:pPr>
            <w:r>
              <w:rPr>
                <w:rFonts w:ascii="Arial Narrow" w:hAnsi="Arial Narrow" w:cs="Calibri"/>
                <w:sz w:val="20"/>
                <w:szCs w:val="20"/>
                <w:lang w:eastAsia="ru-RU"/>
              </w:rPr>
              <w:t xml:space="preserve">88,9</w:t>
            </w:r>
            <w:r/>
          </w:p>
        </w:tc>
      </w:tr>
      <w:tr>
        <w:trPr>
          <w:jc w:val="center"/>
        </w:trPr>
        <w:tc>
          <w:tcPr>
            <w:tcBorders>
              <w:top w:val="single" w:color="000000" w:sz="4" w:space="0"/>
              <w:left w:val="single" w:color="000000" w:sz="4" w:space="0"/>
              <w:bottom w:val="single" w:color="000000" w:sz="4" w:space="0"/>
              <w:right w:val="single" w:color="000000" w:sz="4" w:space="0"/>
            </w:tcBorders>
            <w:tcW w:w="565" w:type="dxa"/>
            <w:textDirection w:val="lrTb"/>
            <w:noWrap w:val="false"/>
          </w:tcPr>
          <w:p>
            <w:pPr>
              <w:pStyle w:val="1063"/>
              <w:jc w:val="center"/>
              <w:widowControl w:val="off"/>
            </w:pPr>
            <w:r>
              <w:rPr>
                <w:rFonts w:ascii="Arial Narrow" w:hAnsi="Arial Narrow" w:cs="Calibri"/>
                <w:bCs/>
                <w:sz w:val="20"/>
                <w:szCs w:val="20"/>
              </w:rPr>
              <w:t xml:space="preserve">11.</w:t>
            </w:r>
            <w:r/>
          </w:p>
        </w:tc>
        <w:tc>
          <w:tcPr>
            <w:tcBorders>
              <w:top w:val="single" w:color="000000" w:sz="4" w:space="0"/>
              <w:left w:val="single" w:color="000000" w:sz="4" w:space="0"/>
              <w:bottom w:val="single" w:color="000000" w:sz="4" w:space="0"/>
              <w:right w:val="single" w:color="000000" w:sz="4" w:space="0"/>
            </w:tcBorders>
            <w:tcW w:w="4675" w:type="dxa"/>
            <w:textDirection w:val="lrTb"/>
            <w:noWrap w:val="false"/>
          </w:tcPr>
          <w:p>
            <w:pPr>
              <w:pStyle w:val="1063"/>
              <w:jc w:val="both"/>
              <w:widowControl w:val="off"/>
            </w:pPr>
            <w:r>
              <w:rPr>
                <w:rFonts w:ascii="Arial Narrow" w:hAnsi="Arial Narrow" w:cs="Calibri"/>
                <w:bCs/>
                <w:sz w:val="20"/>
                <w:szCs w:val="20"/>
              </w:rPr>
              <w:t xml:space="preserve">Соотношение заемного и собственного капитала</w:t>
            </w:r>
            <w:r/>
          </w:p>
        </w:tc>
        <w:tc>
          <w:tcPr>
            <w:tcBorders>
              <w:left w:val="single" w:color="000000" w:sz="4" w:space="0"/>
              <w:bottom w:val="single" w:color="000000" w:sz="4" w:space="0"/>
              <w:right w:val="single" w:color="000000" w:sz="4" w:space="0"/>
            </w:tcBorders>
            <w:tcW w:w="1076" w:type="dxa"/>
            <w:vAlign w:val="center"/>
            <w:textDirection w:val="lrTb"/>
            <w:noWrap w:val="false"/>
          </w:tcPr>
          <w:p>
            <w:pPr>
              <w:pStyle w:val="1063"/>
              <w:jc w:val="center"/>
              <w:widowControl w:val="off"/>
            </w:pPr>
            <w:r>
              <w:rPr>
                <w:rFonts w:ascii="Arial Narrow" w:hAnsi="Arial Narrow" w:cs="Calibri"/>
                <w:sz w:val="20"/>
                <w:szCs w:val="20"/>
                <w:lang w:eastAsia="ru-RU"/>
              </w:rPr>
              <w:t xml:space="preserve">2,41</w:t>
            </w:r>
            <w:r/>
          </w:p>
        </w:tc>
        <w:tc>
          <w:tcPr>
            <w:tcBorders>
              <w:bottom w:val="single" w:color="000000" w:sz="4" w:space="0"/>
              <w:right w:val="single" w:color="000000" w:sz="4" w:space="0"/>
            </w:tcBorders>
            <w:tcW w:w="1135" w:type="dxa"/>
            <w:vAlign w:val="center"/>
            <w:textDirection w:val="lrTb"/>
            <w:noWrap w:val="false"/>
          </w:tcPr>
          <w:p>
            <w:pPr>
              <w:pStyle w:val="1063"/>
              <w:jc w:val="center"/>
              <w:widowControl w:val="off"/>
            </w:pPr>
            <w:r>
              <w:rPr>
                <w:rFonts w:ascii="Arial Narrow" w:hAnsi="Arial Narrow" w:cs="Calibri"/>
                <w:sz w:val="20"/>
                <w:szCs w:val="20"/>
                <w:lang w:eastAsia="ru-RU"/>
              </w:rPr>
              <w:t xml:space="preserve">1,81</w:t>
            </w:r>
            <w:r/>
          </w:p>
        </w:tc>
        <w:tc>
          <w:tcPr>
            <w:tcBorders>
              <w:bottom w:val="single" w:color="000000" w:sz="4" w:space="0"/>
              <w:right w:val="single" w:color="000000" w:sz="4" w:space="0"/>
            </w:tcBorders>
            <w:tcW w:w="1136" w:type="dxa"/>
            <w:vAlign w:val="center"/>
            <w:textDirection w:val="lrTb"/>
            <w:noWrap w:val="false"/>
          </w:tcPr>
          <w:p>
            <w:pPr>
              <w:pStyle w:val="1063"/>
              <w:jc w:val="center"/>
              <w:widowControl w:val="off"/>
            </w:pPr>
            <w:r>
              <w:rPr>
                <w:rFonts w:ascii="Arial Narrow" w:hAnsi="Arial Narrow" w:cs="Calibri"/>
                <w:sz w:val="20"/>
                <w:szCs w:val="20"/>
                <w:lang w:eastAsia="ru-RU"/>
              </w:rPr>
              <w:t xml:space="preserve">2,10</w:t>
            </w:r>
            <w:r/>
          </w:p>
        </w:tc>
        <w:tc>
          <w:tcPr>
            <w:tcBorders>
              <w:bottom w:val="single" w:color="000000" w:sz="4" w:space="0"/>
              <w:right w:val="single" w:color="000000" w:sz="4" w:space="0"/>
            </w:tcBorders>
            <w:tcW w:w="1546" w:type="dxa"/>
            <w:vAlign w:val="center"/>
            <w:textDirection w:val="lrTb"/>
            <w:noWrap w:val="false"/>
          </w:tcPr>
          <w:p>
            <w:pPr>
              <w:pStyle w:val="1063"/>
              <w:jc w:val="center"/>
              <w:widowControl w:val="off"/>
            </w:pPr>
            <w:r>
              <w:rPr>
                <w:rFonts w:ascii="Arial Narrow" w:hAnsi="Arial Narrow" w:cs="Calibri"/>
                <w:sz w:val="20"/>
                <w:szCs w:val="20"/>
                <w:lang w:eastAsia="ru-RU"/>
              </w:rPr>
              <w:t xml:space="preserve">116,0</w:t>
            </w:r>
            <w:r/>
          </w:p>
        </w:tc>
      </w:tr>
      <w:tr>
        <w:trPr>
          <w:jc w:val="center"/>
          <w:trHeight w:val="50"/>
        </w:trPr>
        <w:tc>
          <w:tcPr>
            <w:tcBorders>
              <w:top w:val="single" w:color="000000" w:sz="4" w:space="0"/>
              <w:left w:val="single" w:color="000000" w:sz="4" w:space="0"/>
              <w:bottom w:val="single" w:color="000000" w:sz="4" w:space="0"/>
              <w:right w:val="single" w:color="000000" w:sz="4" w:space="0"/>
            </w:tcBorders>
            <w:tcW w:w="565" w:type="dxa"/>
            <w:textDirection w:val="lrTb"/>
            <w:noWrap w:val="false"/>
          </w:tcPr>
          <w:p>
            <w:pPr>
              <w:pStyle w:val="1063"/>
              <w:jc w:val="center"/>
              <w:widowControl w:val="off"/>
            </w:pPr>
            <w:r>
              <w:rPr>
                <w:rFonts w:ascii="Arial Narrow" w:hAnsi="Arial Narrow" w:cs="Calibri"/>
                <w:bCs/>
                <w:sz w:val="20"/>
                <w:szCs w:val="20"/>
              </w:rPr>
              <w:t xml:space="preserve">12.</w:t>
            </w:r>
            <w:r/>
          </w:p>
        </w:tc>
        <w:tc>
          <w:tcPr>
            <w:tcBorders>
              <w:top w:val="single" w:color="000000" w:sz="4" w:space="0"/>
              <w:left w:val="single" w:color="000000" w:sz="4" w:space="0"/>
              <w:bottom w:val="single" w:color="000000" w:sz="4" w:space="0"/>
              <w:right w:val="single" w:color="000000" w:sz="4" w:space="0"/>
            </w:tcBorders>
            <w:tcW w:w="4675" w:type="dxa"/>
            <w:textDirection w:val="lrTb"/>
            <w:noWrap w:val="false"/>
          </w:tcPr>
          <w:p>
            <w:pPr>
              <w:pStyle w:val="1063"/>
              <w:jc w:val="both"/>
              <w:widowControl w:val="off"/>
            </w:pPr>
            <w:r>
              <w:rPr>
                <w:rFonts w:ascii="Arial Narrow" w:hAnsi="Arial Narrow" w:cs="Calibri"/>
                <w:bCs/>
                <w:sz w:val="20"/>
                <w:szCs w:val="20"/>
              </w:rPr>
              <w:t xml:space="preserve">ROA, %</w:t>
            </w:r>
            <w:r/>
          </w:p>
        </w:tc>
        <w:tc>
          <w:tcPr>
            <w:tcBorders>
              <w:left w:val="single" w:color="000000" w:sz="4" w:space="0"/>
              <w:bottom w:val="single" w:color="000000" w:sz="4" w:space="0"/>
              <w:right w:val="single" w:color="000000" w:sz="4" w:space="0"/>
            </w:tcBorders>
            <w:tcW w:w="1076" w:type="dxa"/>
            <w:vAlign w:val="center"/>
            <w:textDirection w:val="lrTb"/>
            <w:noWrap w:val="false"/>
          </w:tcPr>
          <w:p>
            <w:pPr>
              <w:pStyle w:val="1063"/>
              <w:jc w:val="center"/>
              <w:widowControl w:val="off"/>
            </w:pPr>
            <w:r>
              <w:rPr>
                <w:rFonts w:ascii="Arial Narrow" w:hAnsi="Arial Narrow" w:cs="Calibri"/>
                <w:sz w:val="20"/>
                <w:szCs w:val="20"/>
                <w:lang w:eastAsia="ru-RU"/>
              </w:rPr>
              <w:t xml:space="preserve">2,16</w:t>
            </w:r>
            <w:r/>
          </w:p>
        </w:tc>
        <w:tc>
          <w:tcPr>
            <w:tcBorders>
              <w:bottom w:val="single" w:color="000000" w:sz="4" w:space="0"/>
              <w:right w:val="single" w:color="000000" w:sz="4" w:space="0"/>
            </w:tcBorders>
            <w:tcW w:w="1135" w:type="dxa"/>
            <w:vAlign w:val="center"/>
            <w:textDirection w:val="lrTb"/>
            <w:noWrap w:val="false"/>
          </w:tcPr>
          <w:p>
            <w:pPr>
              <w:pStyle w:val="1063"/>
              <w:jc w:val="center"/>
              <w:widowControl w:val="off"/>
            </w:pPr>
            <w:r>
              <w:rPr>
                <w:rFonts w:ascii="Arial Narrow" w:hAnsi="Arial Narrow" w:cs="Calibri"/>
                <w:sz w:val="20"/>
                <w:szCs w:val="20"/>
                <w:lang w:eastAsia="ru-RU"/>
              </w:rPr>
              <w:t xml:space="preserve">6,41</w:t>
            </w:r>
            <w:r/>
          </w:p>
        </w:tc>
        <w:tc>
          <w:tcPr>
            <w:tcBorders>
              <w:bottom w:val="single" w:color="000000" w:sz="4" w:space="0"/>
              <w:right w:val="single" w:color="000000" w:sz="4" w:space="0"/>
            </w:tcBorders>
            <w:tcW w:w="1136" w:type="dxa"/>
            <w:vAlign w:val="center"/>
            <w:textDirection w:val="lrTb"/>
            <w:noWrap w:val="false"/>
          </w:tcPr>
          <w:p>
            <w:pPr>
              <w:pStyle w:val="1063"/>
              <w:jc w:val="center"/>
              <w:widowControl w:val="off"/>
            </w:pPr>
            <w:r>
              <w:rPr>
                <w:rFonts w:ascii="Arial Narrow" w:hAnsi="Arial Narrow" w:cs="Calibri"/>
                <w:sz w:val="20"/>
                <w:szCs w:val="20"/>
                <w:lang w:eastAsia="ru-RU"/>
              </w:rPr>
              <w:t xml:space="preserve">3,73</w:t>
            </w:r>
            <w:r/>
          </w:p>
        </w:tc>
        <w:tc>
          <w:tcPr>
            <w:tcBorders>
              <w:bottom w:val="single" w:color="000000" w:sz="4" w:space="0"/>
              <w:right w:val="single" w:color="000000" w:sz="4" w:space="0"/>
            </w:tcBorders>
            <w:tcW w:w="1546" w:type="dxa"/>
            <w:vAlign w:val="center"/>
            <w:textDirection w:val="lrTb"/>
            <w:noWrap w:val="false"/>
          </w:tcPr>
          <w:p>
            <w:pPr>
              <w:pStyle w:val="1063"/>
              <w:jc w:val="center"/>
              <w:widowControl w:val="off"/>
            </w:pPr>
            <w:r>
              <w:rPr>
                <w:rFonts w:ascii="Arial Narrow" w:hAnsi="Arial Narrow" w:cs="Calibri"/>
                <w:sz w:val="20"/>
                <w:szCs w:val="20"/>
                <w:lang w:eastAsia="ru-RU"/>
              </w:rPr>
              <w:t xml:space="preserve">58,2</w:t>
            </w:r>
            <w:r/>
          </w:p>
        </w:tc>
      </w:tr>
      <w:tr>
        <w:trPr>
          <w:jc w:val="center"/>
        </w:trPr>
        <w:tc>
          <w:tcPr>
            <w:tcBorders>
              <w:top w:val="single" w:color="000000" w:sz="4" w:space="0"/>
              <w:left w:val="single" w:color="000000" w:sz="4" w:space="0"/>
              <w:bottom w:val="single" w:color="000000" w:sz="4" w:space="0"/>
              <w:right w:val="single" w:color="000000" w:sz="4" w:space="0"/>
            </w:tcBorders>
            <w:tcW w:w="565" w:type="dxa"/>
            <w:textDirection w:val="lrTb"/>
            <w:noWrap w:val="false"/>
          </w:tcPr>
          <w:p>
            <w:pPr>
              <w:pStyle w:val="1063"/>
              <w:jc w:val="center"/>
              <w:widowControl w:val="off"/>
            </w:pPr>
            <w:r>
              <w:rPr>
                <w:rFonts w:ascii="Arial Narrow" w:hAnsi="Arial Narrow" w:cs="Calibri"/>
                <w:bCs/>
                <w:sz w:val="20"/>
                <w:szCs w:val="20"/>
              </w:rPr>
              <w:t xml:space="preserve">13.</w:t>
            </w:r>
            <w:r/>
          </w:p>
        </w:tc>
        <w:tc>
          <w:tcPr>
            <w:tcBorders>
              <w:top w:val="single" w:color="000000" w:sz="4" w:space="0"/>
              <w:left w:val="single" w:color="000000" w:sz="4" w:space="0"/>
              <w:bottom w:val="single" w:color="000000" w:sz="4" w:space="0"/>
              <w:right w:val="single" w:color="000000" w:sz="4" w:space="0"/>
            </w:tcBorders>
            <w:tcW w:w="4675" w:type="dxa"/>
            <w:textDirection w:val="lrTb"/>
            <w:noWrap w:val="false"/>
          </w:tcPr>
          <w:p>
            <w:pPr>
              <w:pStyle w:val="1063"/>
              <w:jc w:val="both"/>
              <w:widowControl w:val="off"/>
            </w:pPr>
            <w:r>
              <w:rPr>
                <w:rFonts w:ascii="Arial Narrow" w:hAnsi="Arial Narrow" w:cs="Calibri"/>
                <w:bCs/>
                <w:sz w:val="20"/>
                <w:szCs w:val="20"/>
              </w:rPr>
              <w:t xml:space="preserve">ROE, %</w:t>
            </w:r>
            <w:r/>
          </w:p>
        </w:tc>
        <w:tc>
          <w:tcPr>
            <w:tcBorders>
              <w:left w:val="single" w:color="000000" w:sz="4" w:space="0"/>
              <w:bottom w:val="single" w:color="000000" w:sz="4" w:space="0"/>
              <w:right w:val="single" w:color="000000" w:sz="4" w:space="0"/>
            </w:tcBorders>
            <w:tcW w:w="1076" w:type="dxa"/>
            <w:vAlign w:val="center"/>
            <w:textDirection w:val="lrTb"/>
            <w:noWrap w:val="false"/>
          </w:tcPr>
          <w:p>
            <w:pPr>
              <w:pStyle w:val="1063"/>
              <w:jc w:val="center"/>
              <w:widowControl w:val="off"/>
            </w:pPr>
            <w:r>
              <w:rPr>
                <w:rFonts w:ascii="Arial Narrow" w:hAnsi="Arial Narrow" w:cs="Calibri"/>
                <w:sz w:val="20"/>
                <w:szCs w:val="20"/>
                <w:lang w:eastAsia="ru-RU"/>
              </w:rPr>
              <w:t xml:space="preserve">0,99</w:t>
            </w:r>
            <w:r/>
          </w:p>
        </w:tc>
        <w:tc>
          <w:tcPr>
            <w:tcBorders>
              <w:bottom w:val="single" w:color="000000" w:sz="4" w:space="0"/>
              <w:right w:val="single" w:color="000000" w:sz="4" w:space="0"/>
            </w:tcBorders>
            <w:tcW w:w="1135" w:type="dxa"/>
            <w:vAlign w:val="center"/>
            <w:textDirection w:val="lrTb"/>
            <w:noWrap w:val="false"/>
          </w:tcPr>
          <w:p>
            <w:pPr>
              <w:pStyle w:val="1063"/>
              <w:jc w:val="center"/>
              <w:widowControl w:val="off"/>
            </w:pPr>
            <w:r>
              <w:rPr>
                <w:rFonts w:ascii="Arial Narrow" w:hAnsi="Arial Narrow" w:cs="Calibri"/>
                <w:sz w:val="20"/>
                <w:szCs w:val="20"/>
                <w:lang w:eastAsia="ru-RU"/>
              </w:rPr>
              <w:t xml:space="preserve">14,72</w:t>
            </w:r>
            <w:r/>
          </w:p>
        </w:tc>
        <w:tc>
          <w:tcPr>
            <w:tcBorders>
              <w:bottom w:val="single" w:color="000000" w:sz="4" w:space="0"/>
              <w:right w:val="single" w:color="000000" w:sz="4" w:space="0"/>
            </w:tcBorders>
            <w:tcW w:w="1136" w:type="dxa"/>
            <w:vAlign w:val="center"/>
            <w:textDirection w:val="lrTb"/>
            <w:noWrap w:val="false"/>
          </w:tcPr>
          <w:p>
            <w:pPr>
              <w:pStyle w:val="1063"/>
              <w:jc w:val="center"/>
              <w:widowControl w:val="off"/>
            </w:pPr>
            <w:r>
              <w:rPr>
                <w:rFonts w:ascii="Arial Narrow" w:hAnsi="Arial Narrow" w:cs="Calibri"/>
                <w:sz w:val="20"/>
                <w:szCs w:val="20"/>
                <w:lang w:eastAsia="ru-RU"/>
              </w:rPr>
              <w:t xml:space="preserve">0,77</w:t>
            </w:r>
            <w:r/>
          </w:p>
        </w:tc>
        <w:tc>
          <w:tcPr>
            <w:tcBorders>
              <w:bottom w:val="single" w:color="000000" w:sz="4" w:space="0"/>
              <w:right w:val="single" w:color="000000" w:sz="4" w:space="0"/>
            </w:tcBorders>
            <w:tcW w:w="1546" w:type="dxa"/>
            <w:vAlign w:val="center"/>
            <w:textDirection w:val="lrTb"/>
            <w:noWrap w:val="false"/>
          </w:tcPr>
          <w:p>
            <w:pPr>
              <w:pStyle w:val="1063"/>
              <w:jc w:val="center"/>
              <w:widowControl w:val="off"/>
            </w:pPr>
            <w:r>
              <w:rPr>
                <w:rFonts w:ascii="Arial Narrow" w:hAnsi="Arial Narrow" w:cs="Calibri"/>
                <w:sz w:val="20"/>
                <w:szCs w:val="20"/>
                <w:lang w:eastAsia="ru-RU"/>
              </w:rPr>
              <w:t xml:space="preserve">5,2</w:t>
            </w:r>
            <w:r/>
          </w:p>
        </w:tc>
      </w:tr>
      <w:tr>
        <w:trPr>
          <w:jc w:val="center"/>
        </w:trPr>
        <w:tc>
          <w:tcPr>
            <w:tcBorders>
              <w:top w:val="single" w:color="000000" w:sz="4" w:space="0"/>
              <w:left w:val="single" w:color="000000" w:sz="4" w:space="0"/>
              <w:bottom w:val="single" w:color="000000" w:sz="4" w:space="0"/>
              <w:right w:val="single" w:color="000000" w:sz="4" w:space="0"/>
            </w:tcBorders>
            <w:tcW w:w="565" w:type="dxa"/>
            <w:textDirection w:val="lrTb"/>
            <w:noWrap w:val="false"/>
          </w:tcPr>
          <w:p>
            <w:pPr>
              <w:pStyle w:val="1063"/>
              <w:jc w:val="center"/>
              <w:widowControl w:val="off"/>
            </w:pPr>
            <w:r>
              <w:rPr>
                <w:rFonts w:ascii="Arial Narrow" w:hAnsi="Arial Narrow" w:cs="Calibri"/>
                <w:bCs/>
                <w:sz w:val="20"/>
                <w:szCs w:val="20"/>
              </w:rPr>
              <w:t xml:space="preserve">14.</w:t>
            </w:r>
            <w:r/>
          </w:p>
        </w:tc>
        <w:tc>
          <w:tcPr>
            <w:tcBorders>
              <w:top w:val="single" w:color="000000" w:sz="4" w:space="0"/>
              <w:left w:val="single" w:color="000000" w:sz="4" w:space="0"/>
              <w:bottom w:val="single" w:color="000000" w:sz="4" w:space="0"/>
              <w:right w:val="single" w:color="000000" w:sz="4" w:space="0"/>
            </w:tcBorders>
            <w:tcW w:w="4675" w:type="dxa"/>
            <w:textDirection w:val="lrTb"/>
            <w:noWrap w:val="false"/>
          </w:tcPr>
          <w:p>
            <w:pPr>
              <w:pStyle w:val="1063"/>
              <w:jc w:val="both"/>
              <w:widowControl w:val="off"/>
            </w:pPr>
            <w:r>
              <w:rPr>
                <w:rFonts w:ascii="Arial Narrow" w:hAnsi="Arial Narrow" w:cs="Calibri"/>
                <w:bCs/>
                <w:sz w:val="20"/>
                <w:szCs w:val="20"/>
              </w:rPr>
              <w:t xml:space="preserve">Долг, тыс. рублей</w:t>
            </w:r>
            <w:r/>
          </w:p>
        </w:tc>
        <w:tc>
          <w:tcPr>
            <w:tcBorders>
              <w:left w:val="single" w:color="000000" w:sz="4" w:space="0"/>
              <w:bottom w:val="single" w:color="000000" w:sz="4" w:space="0"/>
              <w:right w:val="single" w:color="000000" w:sz="4" w:space="0"/>
            </w:tcBorders>
            <w:tcW w:w="1076" w:type="dxa"/>
            <w:vAlign w:val="center"/>
            <w:textDirection w:val="lrTb"/>
            <w:noWrap w:val="false"/>
          </w:tcPr>
          <w:p>
            <w:pPr>
              <w:pStyle w:val="1063"/>
              <w:jc w:val="center"/>
              <w:widowControl w:val="off"/>
            </w:pPr>
            <w:r>
              <w:rPr>
                <w:rFonts w:ascii="Arial Narrow" w:hAnsi="Arial Narrow" w:cs="Calibri"/>
                <w:sz w:val="20"/>
                <w:szCs w:val="20"/>
                <w:lang w:eastAsia="ru-RU"/>
              </w:rPr>
              <w:t xml:space="preserve">10 640 381</w:t>
            </w:r>
            <w:r/>
          </w:p>
        </w:tc>
        <w:tc>
          <w:tcPr>
            <w:tcBorders>
              <w:bottom w:val="single" w:color="000000" w:sz="4" w:space="0"/>
              <w:right w:val="single" w:color="000000" w:sz="4" w:space="0"/>
            </w:tcBorders>
            <w:tcW w:w="1135" w:type="dxa"/>
            <w:vAlign w:val="center"/>
            <w:textDirection w:val="lrTb"/>
            <w:noWrap w:val="false"/>
          </w:tcPr>
          <w:p>
            <w:pPr>
              <w:pStyle w:val="1063"/>
              <w:jc w:val="center"/>
              <w:widowControl w:val="off"/>
            </w:pPr>
            <w:r>
              <w:rPr>
                <w:rFonts w:ascii="Arial Narrow" w:hAnsi="Arial Narrow" w:cs="Calibri"/>
                <w:sz w:val="20"/>
                <w:szCs w:val="20"/>
                <w:lang w:eastAsia="ru-RU"/>
              </w:rPr>
              <w:t xml:space="preserve">11 631 114</w:t>
            </w:r>
            <w:r/>
          </w:p>
        </w:tc>
        <w:tc>
          <w:tcPr>
            <w:tcBorders>
              <w:bottom w:val="single" w:color="000000" w:sz="4" w:space="0"/>
              <w:right w:val="single" w:color="000000" w:sz="4" w:space="0"/>
            </w:tcBorders>
            <w:tcW w:w="1136" w:type="dxa"/>
            <w:vAlign w:val="center"/>
            <w:textDirection w:val="lrTb"/>
            <w:noWrap w:val="false"/>
          </w:tcPr>
          <w:p>
            <w:pPr>
              <w:pStyle w:val="1063"/>
              <w:jc w:val="center"/>
              <w:widowControl w:val="off"/>
            </w:pPr>
            <w:r>
              <w:rPr>
                <w:rFonts w:ascii="Arial Narrow" w:hAnsi="Arial Narrow" w:cs="Calibri"/>
                <w:sz w:val="20"/>
                <w:szCs w:val="20"/>
                <w:lang w:eastAsia="ru-RU"/>
              </w:rPr>
              <w:t xml:space="preserve">14 515 351</w:t>
            </w:r>
            <w:r/>
          </w:p>
        </w:tc>
        <w:tc>
          <w:tcPr>
            <w:tcBorders>
              <w:bottom w:val="single" w:color="000000" w:sz="4" w:space="0"/>
              <w:right w:val="single" w:color="000000" w:sz="4" w:space="0"/>
            </w:tcBorders>
            <w:tcW w:w="1546" w:type="dxa"/>
            <w:vAlign w:val="center"/>
            <w:textDirection w:val="lrTb"/>
            <w:noWrap w:val="false"/>
          </w:tcPr>
          <w:p>
            <w:pPr>
              <w:pStyle w:val="1063"/>
              <w:jc w:val="center"/>
              <w:widowControl w:val="off"/>
            </w:pPr>
            <w:r>
              <w:rPr>
                <w:rFonts w:ascii="Arial Narrow" w:hAnsi="Arial Narrow" w:cs="Calibri"/>
                <w:sz w:val="20"/>
                <w:szCs w:val="20"/>
                <w:lang w:eastAsia="ru-RU"/>
              </w:rPr>
              <w:t xml:space="preserve">124,8</w:t>
            </w:r>
            <w:r/>
          </w:p>
        </w:tc>
      </w:tr>
      <w:tr>
        <w:trPr>
          <w:jc w:val="center"/>
        </w:trPr>
        <w:tc>
          <w:tcPr>
            <w:tcBorders>
              <w:top w:val="single" w:color="000000" w:sz="4" w:space="0"/>
              <w:left w:val="single" w:color="000000" w:sz="4" w:space="0"/>
              <w:bottom w:val="single" w:color="000000" w:sz="4" w:space="0"/>
              <w:right w:val="single" w:color="000000" w:sz="4" w:space="0"/>
            </w:tcBorders>
            <w:tcW w:w="565" w:type="dxa"/>
            <w:textDirection w:val="lrTb"/>
            <w:noWrap w:val="false"/>
          </w:tcPr>
          <w:p>
            <w:pPr>
              <w:pStyle w:val="1063"/>
              <w:jc w:val="center"/>
              <w:widowControl w:val="off"/>
            </w:pPr>
            <w:r>
              <w:rPr>
                <w:rFonts w:ascii="Arial Narrow" w:hAnsi="Arial Narrow" w:cs="Calibri"/>
                <w:bCs/>
                <w:sz w:val="20"/>
                <w:szCs w:val="20"/>
              </w:rPr>
              <w:t xml:space="preserve">15.</w:t>
            </w:r>
            <w:r/>
          </w:p>
        </w:tc>
        <w:tc>
          <w:tcPr>
            <w:tcBorders>
              <w:top w:val="single" w:color="000000" w:sz="4" w:space="0"/>
              <w:left w:val="single" w:color="000000" w:sz="4" w:space="0"/>
              <w:bottom w:val="single" w:color="000000" w:sz="4" w:space="0"/>
              <w:right w:val="single" w:color="000000" w:sz="4" w:space="0"/>
            </w:tcBorders>
            <w:tcW w:w="4675" w:type="dxa"/>
            <w:textDirection w:val="lrTb"/>
            <w:noWrap w:val="false"/>
          </w:tcPr>
          <w:p>
            <w:pPr>
              <w:pStyle w:val="1063"/>
              <w:jc w:val="both"/>
              <w:widowControl w:val="off"/>
            </w:pPr>
            <w:r>
              <w:rPr>
                <w:rFonts w:ascii="Arial Narrow" w:hAnsi="Arial Narrow" w:cs="Calibri"/>
                <w:bCs/>
                <w:sz w:val="20"/>
                <w:szCs w:val="20"/>
              </w:rPr>
              <w:t xml:space="preserve">Процентные расходы, тыс. рублей</w:t>
            </w:r>
            <w:r/>
          </w:p>
        </w:tc>
        <w:tc>
          <w:tcPr>
            <w:tcBorders>
              <w:left w:val="single" w:color="000000" w:sz="4" w:space="0"/>
              <w:bottom w:val="single" w:color="000000" w:sz="4" w:space="0"/>
              <w:right w:val="single" w:color="000000" w:sz="4" w:space="0"/>
            </w:tcBorders>
            <w:tcW w:w="1076" w:type="dxa"/>
            <w:vAlign w:val="center"/>
            <w:textDirection w:val="lrTb"/>
            <w:noWrap w:val="false"/>
          </w:tcPr>
          <w:p>
            <w:pPr>
              <w:pStyle w:val="1063"/>
              <w:jc w:val="center"/>
              <w:widowControl w:val="off"/>
            </w:pPr>
            <w:r>
              <w:rPr>
                <w:rFonts w:ascii="Arial Narrow" w:hAnsi="Arial Narrow" w:cs="Calibri"/>
                <w:sz w:val="20"/>
                <w:szCs w:val="20"/>
                <w:lang w:eastAsia="ru-RU"/>
              </w:rPr>
              <w:t xml:space="preserve">837 708</w:t>
            </w:r>
            <w:r/>
          </w:p>
        </w:tc>
        <w:tc>
          <w:tcPr>
            <w:tcBorders>
              <w:bottom w:val="single" w:color="000000" w:sz="4" w:space="0"/>
              <w:right w:val="single" w:color="000000" w:sz="4" w:space="0"/>
            </w:tcBorders>
            <w:tcW w:w="1135" w:type="dxa"/>
            <w:vAlign w:val="center"/>
            <w:textDirection w:val="lrTb"/>
            <w:noWrap w:val="false"/>
          </w:tcPr>
          <w:p>
            <w:pPr>
              <w:pStyle w:val="1063"/>
              <w:jc w:val="center"/>
              <w:widowControl w:val="off"/>
            </w:pPr>
            <w:r>
              <w:rPr>
                <w:rFonts w:ascii="Arial Narrow" w:hAnsi="Arial Narrow" w:cs="Calibri"/>
                <w:sz w:val="20"/>
                <w:szCs w:val="20"/>
                <w:lang w:eastAsia="ru-RU"/>
              </w:rPr>
              <w:t xml:space="preserve">771 106</w:t>
            </w:r>
            <w:r/>
          </w:p>
        </w:tc>
        <w:tc>
          <w:tcPr>
            <w:tcBorders>
              <w:bottom w:val="single" w:color="000000" w:sz="4" w:space="0"/>
              <w:right w:val="single" w:color="000000" w:sz="4" w:space="0"/>
            </w:tcBorders>
            <w:tcW w:w="1136" w:type="dxa"/>
            <w:vAlign w:val="center"/>
            <w:textDirection w:val="lrTb"/>
            <w:noWrap w:val="false"/>
          </w:tcPr>
          <w:p>
            <w:pPr>
              <w:pStyle w:val="1063"/>
              <w:jc w:val="center"/>
              <w:widowControl w:val="off"/>
            </w:pPr>
            <w:r>
              <w:rPr>
                <w:rFonts w:ascii="Arial Narrow" w:hAnsi="Arial Narrow" w:cs="Calibri"/>
                <w:sz w:val="20"/>
                <w:szCs w:val="20"/>
                <w:lang w:eastAsia="ru-RU"/>
              </w:rPr>
              <w:t xml:space="preserve">1 863 399</w:t>
            </w:r>
            <w:r/>
          </w:p>
        </w:tc>
        <w:tc>
          <w:tcPr>
            <w:tcBorders>
              <w:bottom w:val="single" w:color="000000" w:sz="4" w:space="0"/>
              <w:right w:val="single" w:color="000000" w:sz="4" w:space="0"/>
            </w:tcBorders>
            <w:tcW w:w="1546" w:type="dxa"/>
            <w:vAlign w:val="center"/>
            <w:textDirection w:val="lrTb"/>
            <w:noWrap w:val="false"/>
          </w:tcPr>
          <w:p>
            <w:pPr>
              <w:pStyle w:val="1063"/>
              <w:jc w:val="center"/>
              <w:widowControl w:val="off"/>
            </w:pPr>
            <w:r>
              <w:rPr>
                <w:rFonts w:ascii="Arial Narrow" w:hAnsi="Arial Narrow" w:cs="Calibri"/>
                <w:sz w:val="20"/>
                <w:szCs w:val="20"/>
                <w:lang w:eastAsia="ru-RU"/>
              </w:rPr>
              <w:t xml:space="preserve">241,7</w:t>
            </w:r>
            <w:r/>
          </w:p>
        </w:tc>
      </w:tr>
      <w:tr>
        <w:trPr>
          <w:jc w:val="center"/>
        </w:trPr>
        <w:tc>
          <w:tcPr>
            <w:tcBorders>
              <w:top w:val="single" w:color="000000" w:sz="4" w:space="0"/>
              <w:left w:val="single" w:color="000000" w:sz="4" w:space="0"/>
              <w:bottom w:val="single" w:color="000000" w:sz="4" w:space="0"/>
              <w:right w:val="single" w:color="000000" w:sz="4" w:space="0"/>
            </w:tcBorders>
            <w:tcW w:w="565" w:type="dxa"/>
            <w:textDirection w:val="lrTb"/>
            <w:noWrap w:val="false"/>
          </w:tcPr>
          <w:p>
            <w:pPr>
              <w:pStyle w:val="1063"/>
              <w:jc w:val="center"/>
              <w:widowControl w:val="off"/>
            </w:pPr>
            <w:r>
              <w:rPr>
                <w:rFonts w:ascii="Arial Narrow" w:hAnsi="Arial Narrow" w:cs="Calibri"/>
                <w:bCs/>
                <w:sz w:val="20"/>
                <w:szCs w:val="20"/>
              </w:rPr>
              <w:t xml:space="preserve">16.</w:t>
            </w:r>
            <w:r/>
          </w:p>
        </w:tc>
        <w:tc>
          <w:tcPr>
            <w:tcBorders>
              <w:top w:val="single" w:color="000000" w:sz="4" w:space="0"/>
              <w:left w:val="single" w:color="000000" w:sz="4" w:space="0"/>
              <w:bottom w:val="single" w:color="000000" w:sz="4" w:space="0"/>
              <w:right w:val="single" w:color="000000" w:sz="4" w:space="0"/>
            </w:tcBorders>
            <w:tcW w:w="4675" w:type="dxa"/>
            <w:textDirection w:val="lrTb"/>
            <w:noWrap w:val="false"/>
          </w:tcPr>
          <w:p>
            <w:pPr>
              <w:pStyle w:val="1063"/>
              <w:jc w:val="both"/>
              <w:widowControl w:val="off"/>
            </w:pPr>
            <w:r>
              <w:rPr>
                <w:rFonts w:ascii="Arial Narrow" w:hAnsi="Arial Narrow" w:cs="Calibri"/>
                <w:bCs/>
                <w:sz w:val="20"/>
                <w:szCs w:val="20"/>
              </w:rPr>
              <w:t xml:space="preserve">Коэффициент долговой нагрузки</w:t>
            </w:r>
            <w:r/>
          </w:p>
        </w:tc>
        <w:tc>
          <w:tcPr>
            <w:tcBorders>
              <w:left w:val="single" w:color="000000" w:sz="4" w:space="0"/>
              <w:bottom w:val="single" w:color="000000" w:sz="4" w:space="0"/>
              <w:right w:val="single" w:color="000000" w:sz="4" w:space="0"/>
            </w:tcBorders>
            <w:tcW w:w="1076" w:type="dxa"/>
            <w:vAlign w:val="center"/>
            <w:textDirection w:val="lrTb"/>
            <w:noWrap w:val="false"/>
          </w:tcPr>
          <w:p>
            <w:pPr>
              <w:pStyle w:val="1063"/>
              <w:jc w:val="center"/>
              <w:widowControl w:val="off"/>
            </w:pPr>
            <w:r>
              <w:rPr>
                <w:rFonts w:ascii="Arial Narrow" w:hAnsi="Arial Narrow" w:cs="Calibri"/>
                <w:sz w:val="20"/>
                <w:szCs w:val="20"/>
                <w:lang w:eastAsia="ru-RU"/>
              </w:rPr>
              <w:t xml:space="preserve">9,10</w:t>
            </w:r>
            <w:r/>
          </w:p>
        </w:tc>
        <w:tc>
          <w:tcPr>
            <w:tcBorders>
              <w:bottom w:val="single" w:color="000000" w:sz="4" w:space="0"/>
              <w:right w:val="single" w:color="000000" w:sz="4" w:space="0"/>
            </w:tcBorders>
            <w:tcW w:w="1135" w:type="dxa"/>
            <w:vAlign w:val="center"/>
            <w:textDirection w:val="lrTb"/>
            <w:noWrap w:val="false"/>
          </w:tcPr>
          <w:p>
            <w:pPr>
              <w:pStyle w:val="1063"/>
              <w:jc w:val="center"/>
              <w:widowControl w:val="off"/>
            </w:pPr>
            <w:r>
              <w:rPr>
                <w:rFonts w:ascii="Arial Narrow" w:hAnsi="Arial Narrow" w:cs="Calibri"/>
                <w:sz w:val="20"/>
                <w:szCs w:val="20"/>
                <w:lang w:eastAsia="ru-RU"/>
              </w:rPr>
              <w:t xml:space="preserve">2,70</w:t>
            </w:r>
            <w:r/>
          </w:p>
        </w:tc>
        <w:tc>
          <w:tcPr>
            <w:tcBorders>
              <w:bottom w:val="single" w:color="000000" w:sz="4" w:space="0"/>
              <w:right w:val="single" w:color="000000" w:sz="4" w:space="0"/>
            </w:tcBorders>
            <w:tcW w:w="1136" w:type="dxa"/>
            <w:vAlign w:val="center"/>
            <w:textDirection w:val="lrTb"/>
            <w:noWrap w:val="false"/>
          </w:tcPr>
          <w:p>
            <w:pPr>
              <w:pStyle w:val="1063"/>
              <w:jc w:val="center"/>
              <w:widowControl w:val="off"/>
            </w:pPr>
            <w:r>
              <w:rPr>
                <w:rFonts w:ascii="Arial Narrow" w:hAnsi="Arial Narrow" w:cs="Calibri"/>
                <w:sz w:val="20"/>
                <w:szCs w:val="20"/>
                <w:lang w:eastAsia="ru-RU"/>
              </w:rPr>
              <w:t xml:space="preserve">7,20</w:t>
            </w:r>
            <w:r/>
          </w:p>
        </w:tc>
        <w:tc>
          <w:tcPr>
            <w:tcBorders>
              <w:bottom w:val="single" w:color="000000" w:sz="4" w:space="0"/>
              <w:right w:val="single" w:color="000000" w:sz="4" w:space="0"/>
            </w:tcBorders>
            <w:tcW w:w="1546" w:type="dxa"/>
            <w:vAlign w:val="center"/>
            <w:textDirection w:val="lrTb"/>
            <w:noWrap w:val="false"/>
          </w:tcPr>
          <w:p>
            <w:pPr>
              <w:pStyle w:val="1063"/>
              <w:jc w:val="center"/>
              <w:widowControl w:val="off"/>
            </w:pPr>
            <w:r>
              <w:rPr>
                <w:rFonts w:ascii="Arial Narrow" w:hAnsi="Arial Narrow" w:cs="Calibri"/>
                <w:sz w:val="20"/>
                <w:szCs w:val="20"/>
                <w:lang w:eastAsia="ru-RU"/>
              </w:rPr>
              <w:t xml:space="preserve">266,7</w:t>
            </w:r>
            <w:r/>
          </w:p>
        </w:tc>
      </w:tr>
      <w:tr>
        <w:trPr>
          <w:jc w:val="center"/>
        </w:trPr>
        <w:tc>
          <w:tcPr>
            <w:tcBorders>
              <w:top w:val="single" w:color="000000" w:sz="4" w:space="0"/>
              <w:left w:val="single" w:color="000000" w:sz="4" w:space="0"/>
              <w:bottom w:val="single" w:color="000000" w:sz="4" w:space="0"/>
              <w:right w:val="single" w:color="000000" w:sz="4" w:space="0"/>
            </w:tcBorders>
            <w:tcW w:w="565" w:type="dxa"/>
            <w:textDirection w:val="lrTb"/>
            <w:noWrap w:val="false"/>
          </w:tcPr>
          <w:p>
            <w:pPr>
              <w:pStyle w:val="1063"/>
              <w:jc w:val="center"/>
              <w:widowControl w:val="off"/>
            </w:pPr>
            <w:r>
              <w:rPr>
                <w:rFonts w:ascii="Arial Narrow" w:hAnsi="Arial Narrow" w:cs="Calibri"/>
                <w:bCs/>
                <w:sz w:val="20"/>
                <w:szCs w:val="20"/>
              </w:rPr>
              <w:t xml:space="preserve">17.</w:t>
            </w:r>
            <w:r/>
          </w:p>
        </w:tc>
        <w:tc>
          <w:tcPr>
            <w:tcBorders>
              <w:top w:val="single" w:color="000000" w:sz="4" w:space="0"/>
              <w:left w:val="single" w:color="000000" w:sz="4" w:space="0"/>
              <w:bottom w:val="single" w:color="000000" w:sz="4" w:space="0"/>
              <w:right w:val="single" w:color="000000" w:sz="4" w:space="0"/>
            </w:tcBorders>
            <w:tcW w:w="4675" w:type="dxa"/>
            <w:textDirection w:val="lrTb"/>
            <w:noWrap w:val="false"/>
          </w:tcPr>
          <w:p>
            <w:pPr>
              <w:pStyle w:val="1063"/>
              <w:jc w:val="both"/>
              <w:widowControl w:val="off"/>
            </w:pPr>
            <w:r>
              <w:rPr>
                <w:rFonts w:ascii="Arial Narrow" w:hAnsi="Arial Narrow" w:cs="Calibri"/>
                <w:bCs/>
                <w:sz w:val="20"/>
                <w:szCs w:val="20"/>
              </w:rPr>
              <w:t xml:space="preserve">Коэффициент покрытия процентных расходов</w:t>
            </w:r>
            <w:r/>
          </w:p>
        </w:tc>
        <w:tc>
          <w:tcPr>
            <w:tcBorders>
              <w:left w:val="single" w:color="000000" w:sz="4" w:space="0"/>
              <w:bottom w:val="single" w:color="000000" w:sz="4" w:space="0"/>
              <w:right w:val="single" w:color="000000" w:sz="4" w:space="0"/>
            </w:tcBorders>
            <w:tcW w:w="1076" w:type="dxa"/>
            <w:vAlign w:val="center"/>
            <w:textDirection w:val="lrTb"/>
            <w:noWrap w:val="false"/>
          </w:tcPr>
          <w:p>
            <w:pPr>
              <w:pStyle w:val="1063"/>
              <w:jc w:val="center"/>
              <w:widowControl w:val="off"/>
            </w:pPr>
            <w:r>
              <w:rPr>
                <w:rFonts w:ascii="Arial Narrow" w:hAnsi="Arial Narrow" w:cs="Calibri"/>
                <w:sz w:val="20"/>
                <w:szCs w:val="20"/>
                <w:lang w:eastAsia="ru-RU"/>
              </w:rPr>
              <w:t xml:space="preserve">1,40</w:t>
            </w:r>
            <w:r/>
          </w:p>
        </w:tc>
        <w:tc>
          <w:tcPr>
            <w:tcBorders>
              <w:bottom w:val="single" w:color="000000" w:sz="4" w:space="0"/>
              <w:right w:val="single" w:color="000000" w:sz="4" w:space="0"/>
            </w:tcBorders>
            <w:tcW w:w="1135" w:type="dxa"/>
            <w:vAlign w:val="center"/>
            <w:textDirection w:val="lrTb"/>
            <w:noWrap w:val="false"/>
          </w:tcPr>
          <w:p>
            <w:pPr>
              <w:pStyle w:val="1063"/>
              <w:jc w:val="center"/>
              <w:widowControl w:val="off"/>
            </w:pPr>
            <w:r>
              <w:rPr>
                <w:rFonts w:ascii="Arial Narrow" w:hAnsi="Arial Narrow" w:cs="Calibri"/>
                <w:sz w:val="20"/>
                <w:szCs w:val="20"/>
                <w:lang w:eastAsia="ru-RU"/>
              </w:rPr>
              <w:t xml:space="preserve">5,60</w:t>
            </w:r>
            <w:r/>
          </w:p>
        </w:tc>
        <w:tc>
          <w:tcPr>
            <w:tcBorders>
              <w:bottom w:val="single" w:color="000000" w:sz="4" w:space="0"/>
              <w:right w:val="single" w:color="000000" w:sz="4" w:space="0"/>
            </w:tcBorders>
            <w:tcW w:w="1136" w:type="dxa"/>
            <w:vAlign w:val="center"/>
            <w:textDirection w:val="lrTb"/>
            <w:noWrap w:val="false"/>
          </w:tcPr>
          <w:p>
            <w:pPr>
              <w:pStyle w:val="1063"/>
              <w:jc w:val="center"/>
              <w:widowControl w:val="off"/>
            </w:pPr>
            <w:r>
              <w:rPr>
                <w:rFonts w:ascii="Arial Narrow" w:hAnsi="Arial Narrow" w:cs="Calibri"/>
                <w:sz w:val="20"/>
                <w:szCs w:val="20"/>
                <w:lang w:eastAsia="ru-RU"/>
              </w:rPr>
              <w:t xml:space="preserve">1,10</w:t>
            </w:r>
            <w:r/>
          </w:p>
        </w:tc>
        <w:tc>
          <w:tcPr>
            <w:tcBorders>
              <w:bottom w:val="single" w:color="000000" w:sz="4" w:space="0"/>
              <w:right w:val="single" w:color="000000" w:sz="4" w:space="0"/>
            </w:tcBorders>
            <w:tcW w:w="1546" w:type="dxa"/>
            <w:vAlign w:val="center"/>
            <w:textDirection w:val="lrTb"/>
            <w:noWrap w:val="false"/>
          </w:tcPr>
          <w:p>
            <w:pPr>
              <w:pStyle w:val="1063"/>
              <w:jc w:val="center"/>
              <w:widowControl w:val="off"/>
            </w:pPr>
            <w:r>
              <w:rPr>
                <w:rFonts w:ascii="Arial Narrow" w:hAnsi="Arial Narrow" w:cs="Calibri"/>
                <w:sz w:val="20"/>
                <w:szCs w:val="20"/>
                <w:lang w:eastAsia="ru-RU"/>
              </w:rPr>
              <w:t xml:space="preserve">19,6</w:t>
            </w:r>
            <w:r/>
          </w:p>
        </w:tc>
      </w:tr>
    </w:tbl>
    <w:p>
      <w:pPr>
        <w:pStyle w:val="1063"/>
        <w:ind w:firstLine="709"/>
        <w:jc w:val="both"/>
        <w:rPr>
          <w:rFonts w:ascii="Arial Narrow" w:hAnsi="Arial Narrow" w:cs="Calibri"/>
          <w:lang w:eastAsia="ru-RU"/>
        </w:rPr>
      </w:pPr>
      <w:r>
        <w:rPr>
          <w:rFonts w:ascii="Arial Narrow" w:hAnsi="Arial Narrow" w:cs="Calibri"/>
          <w:lang w:eastAsia="ru-RU"/>
        </w:rPr>
      </w:r>
      <w:r>
        <w:rPr>
          <w:rFonts w:ascii="Arial Narrow" w:hAnsi="Arial Narrow" w:cs="Calibri"/>
          <w:lang w:eastAsia="ru-RU"/>
        </w:rPr>
      </w:r>
      <w:r>
        <w:rPr>
          <w:rFonts w:ascii="Arial Narrow" w:hAnsi="Arial Narrow" w:cs="Calibri"/>
          <w:lang w:eastAsia="ru-RU"/>
        </w:rPr>
      </w:r>
    </w:p>
    <w:p>
      <w:pPr>
        <w:pStyle w:val="1063"/>
        <w:ind w:firstLine="567"/>
        <w:jc w:val="both"/>
      </w:pPr>
      <w:r>
        <w:rPr>
          <w:rFonts w:ascii="Arial Narrow" w:hAnsi="Arial Narrow" w:cs="Calibri"/>
          <w:lang w:eastAsia="ru-RU"/>
        </w:rPr>
        <w:t xml:space="preserve">По итогам 2024 года основными факторами, оказавшими влияние на финансовое состояние Общества относительно 2023 года, являются снижение чистой прибыли на 1 735 157 тыс. рублей и увеличение процентных расходов на 1 092 293 тыс. рублей.</w:t>
      </w:r>
      <w:r/>
    </w:p>
    <w:p>
      <w:pPr>
        <w:pStyle w:val="1063"/>
        <w:ind w:firstLine="567"/>
        <w:jc w:val="both"/>
      </w:pPr>
      <w:r>
        <w:rPr>
          <w:rFonts w:ascii="Arial Narrow" w:hAnsi="Arial Narrow" w:cs="Calibri"/>
          <w:lang w:eastAsia="ru-RU"/>
        </w:rPr>
        <w:t xml:space="preserve">В изменении финансовых показателях Общества наблюдается следующая динамика:</w:t>
      </w:r>
      <w:r/>
    </w:p>
    <w:p>
      <w:pPr>
        <w:pStyle w:val="1063"/>
        <w:ind w:firstLine="567"/>
        <w:jc w:val="both"/>
        <w:rPr>
          <w:rFonts w:ascii="Arial Narrow" w:hAnsi="Arial Narrow" w:cs="Calibri"/>
          <w:lang w:eastAsia="ru-RU"/>
        </w:rPr>
      </w:pPr>
      <w:r>
        <w:rPr>
          <w:rFonts w:ascii="Arial Narrow" w:hAnsi="Arial Narrow" w:cs="Calibri"/>
          <w:lang w:eastAsia="ru-RU"/>
        </w:rPr>
        <w:t xml:space="preserve">Показатели эффективности по итогам 2024 года составили: </w:t>
      </w:r>
      <w:r>
        <w:rPr>
          <w:rFonts w:ascii="Arial Narrow" w:hAnsi="Arial Narrow" w:cs="Calibri"/>
          <w:lang w:eastAsia="ru-RU"/>
        </w:rPr>
      </w:r>
      <w:r>
        <w:rPr>
          <w:rFonts w:ascii="Arial Narrow" w:hAnsi="Arial Narrow" w:cs="Calibri"/>
          <w:lang w:eastAsia="ru-RU"/>
        </w:rPr>
      </w:r>
    </w:p>
    <w:p>
      <w:pPr>
        <w:pStyle w:val="1063"/>
        <w:numPr>
          <w:ilvl w:val="0"/>
          <w:numId w:val="23"/>
        </w:numPr>
        <w:ind w:left="0" w:firstLine="567"/>
        <w:jc w:val="both"/>
        <w:tabs>
          <w:tab w:val="left" w:pos="851" w:leader="none"/>
        </w:tabs>
        <w:rPr>
          <w:rFonts w:ascii="Arial Narrow" w:hAnsi="Arial Narrow" w:cs="Calibri"/>
          <w:lang w:eastAsia="ru-RU"/>
        </w:rPr>
      </w:pPr>
      <w:r>
        <w:rPr>
          <w:rFonts w:ascii="Arial Narrow" w:hAnsi="Arial Narrow" w:cs="Calibri"/>
          <w:lang w:eastAsia="ru-RU"/>
        </w:rPr>
        <w:t xml:space="preserve">значение EBIT - 140 535 тыс. рублей (снижение на 2 458 453 тыс. рублей),</w:t>
      </w:r>
      <w:r>
        <w:rPr>
          <w:rFonts w:ascii="Arial Narrow" w:hAnsi="Arial Narrow" w:cs="Calibri"/>
          <w:lang w:eastAsia="ru-RU"/>
        </w:rPr>
      </w:r>
      <w:r>
        <w:rPr>
          <w:rFonts w:ascii="Arial Narrow" w:hAnsi="Arial Narrow" w:cs="Calibri"/>
          <w:lang w:eastAsia="ru-RU"/>
        </w:rPr>
      </w:r>
    </w:p>
    <w:p>
      <w:pPr>
        <w:pStyle w:val="1063"/>
        <w:numPr>
          <w:ilvl w:val="0"/>
          <w:numId w:val="23"/>
        </w:numPr>
        <w:ind w:left="0" w:firstLine="567"/>
        <w:jc w:val="both"/>
        <w:tabs>
          <w:tab w:val="left" w:pos="851" w:leader="none"/>
        </w:tabs>
      </w:pPr>
      <w:r>
        <w:rPr>
          <w:rFonts w:ascii="Arial Narrow" w:hAnsi="Arial Narrow" w:cs="Calibri"/>
          <w:lang w:eastAsia="ru-RU"/>
        </w:rPr>
        <w:t xml:space="preserve">значение EBITDA – 2 004 993 тыс. рублей (снижение на 2 314 358 тыс. рублей).</w:t>
      </w:r>
      <w:r/>
    </w:p>
    <w:p>
      <w:pPr>
        <w:pStyle w:val="1063"/>
        <w:ind w:firstLine="567"/>
        <w:jc w:val="both"/>
      </w:pPr>
      <w:r>
        <w:rPr>
          <w:rFonts w:ascii="Arial Narrow" w:hAnsi="Arial Narrow" w:cs="Calibri"/>
          <w:lang w:eastAsia="ru-RU"/>
        </w:rPr>
        <w:t xml:space="preserve">Показатели упра</w:t>
      </w:r>
      <w:r>
        <w:rPr>
          <w:rFonts w:ascii="Arial Narrow" w:hAnsi="Arial Narrow" w:cs="Calibri"/>
          <w:lang w:eastAsia="ru-RU"/>
        </w:rPr>
        <w:t xml:space="preserve">вления операционной задолженностью. В 2024 году в сравнении с 2023 годом наблюдается рост коэффициента оборачиваемости дебиторской задолженности. Оборачиваемость дебиторской задолженности в 2024 году составила 81 день и в сравнении с 2023 годом улучшилась </w:t>
      </w:r>
      <w:r>
        <w:rPr>
          <w:rFonts w:ascii="Arial Narrow" w:hAnsi="Arial Narrow" w:cs="Calibri"/>
          <w:lang w:eastAsia="ru-RU"/>
        </w:rPr>
        <w:br/>
        <w:t xml:space="preserve">на 4 дня.</w:t>
      </w:r>
      <w:r/>
    </w:p>
    <w:p>
      <w:pPr>
        <w:pStyle w:val="1063"/>
        <w:ind w:firstLine="567"/>
        <w:jc w:val="both"/>
      </w:pPr>
      <w:r>
        <w:rPr>
          <w:rFonts w:ascii="Arial Narrow" w:hAnsi="Arial Narrow" w:cs="Calibri"/>
          <w:lang w:eastAsia="ru-RU"/>
        </w:rPr>
        <w:t xml:space="preserve">В 2024 году наблюдается снижение коэффициента оборачиваемости кредиторской задолженности и рост оборачиваемости кредиторской задолженности, что свидетельствует о увеличении сроков погашения </w:t>
      </w:r>
      <w:r>
        <w:rPr>
          <w:rFonts w:ascii="Arial Narrow" w:hAnsi="Arial Narrow" w:cs="Calibri"/>
          <w:lang w:eastAsia="ru-RU"/>
        </w:rPr>
        <w:t xml:space="preserve">обязательств перед кредиторами Общества. Оборачиваемость кредиторской задолженности в 2024 году составила 55 дней и в сравнении с 2023 годом увеличилась (ухудшилась) на 24 дня.</w:t>
      </w:r>
      <w:r/>
    </w:p>
    <w:p>
      <w:pPr>
        <w:pStyle w:val="1063"/>
        <w:ind w:firstLine="567"/>
        <w:jc w:val="both"/>
      </w:pPr>
      <w:r>
        <w:rPr>
          <w:rFonts w:ascii="Arial Narrow" w:hAnsi="Arial Narrow" w:cs="Calibri"/>
          <w:lang w:eastAsia="ru-RU"/>
        </w:rPr>
        <w:t xml:space="preserve">Показатели ликвидности по итогам 2024 составили: показатель быстрой ликвидности – 0,50 (снижение на 1,08 пункта); абсолютной ликвидности – 0,09 (снижение на 0,17 пункта); коэффициент Бивера – 0,54 (снижение на 0,01 пункта).</w:t>
      </w:r>
      <w:r/>
    </w:p>
    <w:p>
      <w:pPr>
        <w:pStyle w:val="1063"/>
        <w:ind w:firstLine="567"/>
        <w:jc w:val="both"/>
      </w:pPr>
      <w:r>
        <w:rPr>
          <w:rFonts w:ascii="Arial Narrow" w:hAnsi="Arial Narrow" w:cs="Calibri"/>
          <w:lang w:eastAsia="ru-RU"/>
        </w:rPr>
        <w:t xml:space="preserve">Показатели структуры капитала по итогам 2024 составили: коэффициент автономии 0,32 (снижение на 0,04 пункта); показатель соотношения заемного и собственного капитала 2,10 (рост на 0,29 пункта).</w:t>
      </w:r>
      <w:r/>
    </w:p>
    <w:p>
      <w:pPr>
        <w:pStyle w:val="1063"/>
        <w:ind w:firstLine="567"/>
        <w:jc w:val="both"/>
      </w:pPr>
      <w:r>
        <w:rPr>
          <w:rFonts w:ascii="Arial Narrow" w:hAnsi="Arial Narrow" w:cs="Calibri"/>
          <w:lang w:eastAsia="ru-RU"/>
        </w:rPr>
        <w:t xml:space="preserve">Показатели доходности капитала по итогам 2024 года составили: показатель рентабельности активов (</w:t>
      </w:r>
      <w:r>
        <w:rPr>
          <w:rFonts w:ascii="Arial Narrow" w:hAnsi="Arial Narrow" w:cs="Calibri"/>
          <w:lang w:val="en-US" w:eastAsia="ru-RU"/>
        </w:rPr>
        <w:t xml:space="preserve">ROA</w:t>
      </w:r>
      <w:r>
        <w:rPr>
          <w:rFonts w:ascii="Arial Narrow" w:hAnsi="Arial Narrow" w:cs="Calibri"/>
          <w:lang w:eastAsia="ru-RU"/>
        </w:rPr>
        <w:t xml:space="preserve">) 3,73 % (снижение на 2,68 процентных пункта); показатель использования собственных источников финансирования (</w:t>
      </w:r>
      <w:r>
        <w:rPr>
          <w:rFonts w:ascii="Arial Narrow" w:hAnsi="Arial Narrow" w:cs="Calibri"/>
          <w:lang w:val="en-US" w:eastAsia="ru-RU"/>
        </w:rPr>
        <w:t xml:space="preserve">ROE</w:t>
      </w:r>
      <w:r>
        <w:rPr>
          <w:rFonts w:ascii="Arial Narrow" w:hAnsi="Arial Narrow" w:cs="Calibri"/>
          <w:lang w:eastAsia="ru-RU"/>
        </w:rPr>
        <w:t xml:space="preserve">) 0,77 % (снижение на 13,95 процентных пункта).</w:t>
      </w:r>
      <w:r/>
    </w:p>
    <w:p>
      <w:pPr>
        <w:pStyle w:val="1063"/>
        <w:ind w:firstLine="567"/>
        <w:jc w:val="both"/>
        <w:rPr>
          <w:rFonts w:ascii="Arial Narrow" w:hAnsi="Arial Narrow" w:cs="Calibri"/>
          <w:lang w:eastAsia="ru-RU"/>
        </w:rPr>
      </w:pPr>
      <w:r>
        <w:rPr>
          <w:rFonts w:ascii="Arial Narrow" w:hAnsi="Arial Narrow" w:cs="Calibri"/>
          <w:lang w:eastAsia="ru-RU"/>
        </w:rPr>
        <w:t xml:space="preserve">Показатели долговой нагрузки по итогам 2024 года составили: коэффициент долговой нагрузки 7,20 (рост на 4,5 пункта); коэффициент покрытия процентных расходов 1,10 (снижение на 4,50 пункта). На конец отч</w:t>
      </w:r>
      <w:r>
        <w:rPr>
          <w:rFonts w:ascii="Arial Narrow" w:hAnsi="Arial Narrow" w:cs="Calibri"/>
          <w:lang w:eastAsia="ru-RU"/>
        </w:rPr>
        <w:t xml:space="preserve">етного периода наблюдается рост коэффициента долговой нагрузки Общества и снижение коэффициента покрытия процентных расходов, что объясняется как увеличением процентных расходов, так и снижением показателя EBITDA ввиду увеличения расходов на себестоимость.</w:t>
      </w:r>
      <w:r>
        <w:rPr>
          <w:rFonts w:ascii="Arial Narrow" w:hAnsi="Arial Narrow" w:cs="Calibri"/>
          <w:lang w:eastAsia="ru-RU"/>
        </w:rPr>
      </w:r>
      <w:r>
        <w:rPr>
          <w:rFonts w:ascii="Arial Narrow" w:hAnsi="Arial Narrow" w:cs="Calibri"/>
          <w:lang w:eastAsia="ru-RU"/>
        </w:rPr>
      </w:r>
    </w:p>
    <w:p>
      <w:pPr>
        <w:pStyle w:val="1063"/>
        <w:ind w:firstLine="567"/>
        <w:jc w:val="both"/>
        <w:rPr>
          <w:rFonts w:ascii="Arial Narrow" w:hAnsi="Arial Narrow" w:cs="Calibri"/>
          <w:lang w:eastAsia="ru-RU"/>
        </w:rPr>
      </w:pPr>
      <w:r>
        <w:rPr>
          <w:rFonts w:ascii="Arial Narrow" w:hAnsi="Arial Narrow" w:cs="Calibri"/>
          <w:lang w:eastAsia="ru-RU"/>
        </w:rPr>
        <w:t xml:space="preserve">Рост Долга Общества в 2024 году на 2 884,2 млн. рублей обусловлен следующими факторами:</w:t>
      </w:r>
      <w:r>
        <w:rPr>
          <w:rFonts w:ascii="Arial Narrow" w:hAnsi="Arial Narrow" w:cs="Calibri"/>
          <w:lang w:eastAsia="ru-RU"/>
        </w:rPr>
      </w:r>
      <w:r>
        <w:rPr>
          <w:rFonts w:ascii="Arial Narrow" w:hAnsi="Arial Narrow" w:cs="Calibri"/>
          <w:lang w:eastAsia="ru-RU"/>
        </w:rPr>
      </w:r>
    </w:p>
    <w:p>
      <w:pPr>
        <w:pStyle w:val="1063"/>
        <w:ind w:firstLine="567"/>
        <w:jc w:val="both"/>
        <w:rPr>
          <w:rFonts w:ascii="Arial Narrow" w:hAnsi="Arial Narrow" w:cs="Calibri"/>
          <w:lang w:eastAsia="ru-RU"/>
        </w:rPr>
      </w:pPr>
      <w:r>
        <w:rPr>
          <w:rFonts w:ascii="Arial Narrow" w:hAnsi="Arial Narrow" w:cs="Calibri"/>
          <w:lang w:eastAsia="ru-RU"/>
        </w:rPr>
        <w:t xml:space="preserve">- приростом дебиторской задолженности по основной деятельности на 617,4 млн. рублей;</w:t>
      </w:r>
      <w:r>
        <w:rPr>
          <w:rFonts w:ascii="Arial Narrow" w:hAnsi="Arial Narrow" w:cs="Calibri"/>
          <w:lang w:eastAsia="ru-RU"/>
        </w:rPr>
      </w:r>
      <w:r>
        <w:rPr>
          <w:rFonts w:ascii="Arial Narrow" w:hAnsi="Arial Narrow" w:cs="Calibri"/>
          <w:lang w:eastAsia="ru-RU"/>
        </w:rPr>
      </w:r>
    </w:p>
    <w:p>
      <w:pPr>
        <w:pStyle w:val="1063"/>
        <w:ind w:firstLine="567"/>
        <w:jc w:val="both"/>
        <w:rPr>
          <w:rFonts w:ascii="Arial Narrow" w:hAnsi="Arial Narrow" w:cs="Calibri"/>
          <w:lang w:eastAsia="ru-RU"/>
        </w:rPr>
      </w:pPr>
      <w:r>
        <w:rPr>
          <w:rFonts w:ascii="Arial Narrow" w:hAnsi="Arial Narrow" w:cs="Calibri"/>
          <w:lang w:eastAsia="ru-RU"/>
        </w:rPr>
        <w:t xml:space="preserve">- несвоевременным поступлением субсидий по электрической и тепловой энергии (средняя просроченная задолженность за 2024 год составляла 2 200 млн. рублей);</w:t>
      </w:r>
      <w:r>
        <w:rPr>
          <w:rFonts w:ascii="Arial Narrow" w:hAnsi="Arial Narrow" w:cs="Calibri"/>
          <w:lang w:eastAsia="ru-RU"/>
        </w:rPr>
      </w:r>
      <w:r>
        <w:rPr>
          <w:rFonts w:ascii="Arial Narrow" w:hAnsi="Arial Narrow" w:cs="Calibri"/>
          <w:lang w:eastAsia="ru-RU"/>
        </w:rPr>
      </w:r>
    </w:p>
    <w:p>
      <w:pPr>
        <w:pStyle w:val="1063"/>
        <w:ind w:firstLine="567"/>
        <w:jc w:val="both"/>
        <w:rPr>
          <w:rFonts w:ascii="Arial Narrow" w:hAnsi="Arial Narrow" w:cs="Calibri"/>
          <w:lang w:eastAsia="ru-RU"/>
        </w:rPr>
      </w:pPr>
      <w:r>
        <w:rPr>
          <w:rFonts w:ascii="Arial Narrow" w:hAnsi="Arial Narrow" w:cs="Calibri"/>
          <w:lang w:eastAsia="ru-RU"/>
        </w:rPr>
        <w:t xml:space="preserve">- ростом расходов по оплате процентов на 1 083,8 млн. рублей из-за роста процентных ставок по действующим и вновь привлекаемым в 2024 году кредитам;</w:t>
      </w:r>
      <w:r>
        <w:rPr>
          <w:rFonts w:ascii="Arial Narrow" w:hAnsi="Arial Narrow" w:cs="Calibri"/>
          <w:lang w:eastAsia="ru-RU"/>
        </w:rPr>
      </w:r>
      <w:r>
        <w:rPr>
          <w:rFonts w:ascii="Arial Narrow" w:hAnsi="Arial Narrow" w:cs="Calibri"/>
          <w:lang w:eastAsia="ru-RU"/>
        </w:rPr>
      </w:r>
    </w:p>
    <w:p>
      <w:pPr>
        <w:pStyle w:val="1063"/>
        <w:ind w:firstLine="567"/>
        <w:jc w:val="both"/>
        <w:rPr>
          <w:rFonts w:ascii="Arial Narrow" w:hAnsi="Arial Narrow" w:cs="Calibri"/>
          <w:lang w:eastAsia="ru-RU"/>
        </w:rPr>
      </w:pPr>
      <w:r>
        <w:rPr>
          <w:rFonts w:ascii="Arial Narrow" w:hAnsi="Arial Narrow" w:cs="Calibri"/>
          <w:lang w:eastAsia="ru-RU"/>
        </w:rPr>
        <w:t xml:space="preserve">- превышением расходов на финансирование мазута над расходами, учтенными в тарифах </w:t>
      </w:r>
      <w:r>
        <w:rPr>
          <w:rFonts w:ascii="Arial Narrow" w:hAnsi="Arial Narrow" w:cs="Calibri"/>
          <w:lang w:eastAsia="ru-RU"/>
        </w:rPr>
        <w:br/>
        <w:t xml:space="preserve">на 5 923,9 млн. рублей.</w:t>
      </w:r>
      <w:r>
        <w:rPr>
          <w:rFonts w:ascii="Arial Narrow" w:hAnsi="Arial Narrow" w:cs="Calibri"/>
          <w:lang w:eastAsia="ru-RU"/>
        </w:rPr>
      </w:r>
      <w:r>
        <w:rPr>
          <w:rFonts w:ascii="Arial Narrow" w:hAnsi="Arial Narrow" w:cs="Calibri"/>
          <w:lang w:eastAsia="ru-RU"/>
        </w:rPr>
      </w:r>
    </w:p>
    <w:p>
      <w:pPr>
        <w:pStyle w:val="1063"/>
        <w:ind w:firstLine="567"/>
        <w:jc w:val="both"/>
        <w:rPr>
          <w:rFonts w:ascii="Arial Narrow" w:hAnsi="Arial Narrow" w:cs="Calibri"/>
          <w:lang w:eastAsia="ru-RU"/>
        </w:rPr>
      </w:pPr>
      <w:r>
        <w:rPr>
          <w:rFonts w:ascii="Arial Narrow" w:hAnsi="Arial Narrow" w:cs="Calibri"/>
          <w:lang w:eastAsia="ru-RU"/>
        </w:rPr>
        <w:t xml:space="preserve">Рост процентных расходов Общества в 2024 году н</w:t>
      </w:r>
      <w:r>
        <w:rPr>
          <w:rFonts w:ascii="Arial Narrow" w:hAnsi="Arial Narrow" w:cs="Calibri"/>
          <w:lang w:eastAsia="ru-RU"/>
        </w:rPr>
        <w:t xml:space="preserve">а 1 092,3 млн. рублей обусловлен в том числе: ростом расходов по процентам к уплате на 1 084,2 млн. рублей из-за роста процентных ставок по действующим и вновь привлекаемым в 2024 году кредитам в связи увеличением ключевой ставки Центрального Банка России.</w:t>
      </w:r>
      <w:r>
        <w:rPr>
          <w:rFonts w:ascii="Arial Narrow" w:hAnsi="Arial Narrow" w:cs="Calibri"/>
          <w:lang w:eastAsia="ru-RU"/>
        </w:rPr>
      </w:r>
      <w:r>
        <w:rPr>
          <w:rFonts w:ascii="Arial Narrow" w:hAnsi="Arial Narrow" w:cs="Calibri"/>
          <w:lang w:eastAsia="ru-RU"/>
        </w:rPr>
      </w:r>
    </w:p>
    <w:p>
      <w:pPr>
        <w:pStyle w:val="1063"/>
        <w:ind w:firstLine="709"/>
        <w:jc w:val="both"/>
        <w:rPr>
          <w:rFonts w:ascii="Arial Narrow" w:hAnsi="Arial Narrow" w:cs="Calibri"/>
          <w:lang w:eastAsia="ru-RU"/>
        </w:rPr>
      </w:pPr>
      <w:r>
        <w:rPr>
          <w:rFonts w:ascii="Arial Narrow" w:hAnsi="Arial Narrow" w:cs="Calibri"/>
          <w:lang w:eastAsia="ru-RU"/>
        </w:rPr>
      </w:r>
      <w:r>
        <w:rPr>
          <w:rFonts w:ascii="Arial Narrow" w:hAnsi="Arial Narrow" w:cs="Calibri"/>
          <w:lang w:eastAsia="ru-RU"/>
        </w:rPr>
      </w:r>
      <w:r>
        <w:rPr>
          <w:rFonts w:ascii="Arial Narrow" w:hAnsi="Arial Narrow" w:cs="Calibri"/>
          <w:lang w:eastAsia="ru-RU"/>
        </w:rPr>
      </w:r>
    </w:p>
    <w:p>
      <w:pPr>
        <w:pStyle w:val="763"/>
        <w:jc w:val="both"/>
        <w:keepLines/>
        <w:spacing w:after="0" w:line="276" w:lineRule="auto"/>
        <w:rPr>
          <w:rFonts w:ascii="Arial Narrow" w:hAnsi="Arial Narrow" w:eastAsiaTheme="majorEastAsia" w:cstheme="minorHAnsi"/>
          <w:color w:val="314e87"/>
          <w:lang w:eastAsia="en-US" w:bidi="ru-RU"/>
        </w:rPr>
      </w:pPr>
      <w:r/>
      <w:bookmarkStart w:id="98" w:name="_Toc131673743"/>
      <w:r/>
      <w:bookmarkStart w:id="99" w:name="_Toc131673739"/>
      <w:r/>
      <w:bookmarkStart w:id="100" w:name="_Toc131517733"/>
      <w:r/>
      <w:bookmarkStart w:id="101" w:name="_Toc131673740"/>
      <w:r/>
      <w:bookmarkStart w:id="102" w:name="_Toc131673741"/>
      <w:r/>
      <w:bookmarkStart w:id="103" w:name="_Toc131517735"/>
      <w:r/>
      <w:bookmarkStart w:id="104" w:name="_Toc131673742"/>
      <w:r/>
      <w:bookmarkStart w:id="105" w:name="_Toc131517736"/>
      <w:r/>
      <w:bookmarkStart w:id="106" w:name="_Toc131517737"/>
      <w:r/>
      <w:bookmarkStart w:id="107" w:name="_Toc131673744"/>
      <w:r/>
      <w:bookmarkStart w:id="108" w:name="_Toc131517732"/>
      <w:r/>
      <w:bookmarkStart w:id="109" w:name="_Toc131517734"/>
      <w:r/>
      <w:bookmarkStart w:id="110" w:name="_Toc193883491"/>
      <w:r/>
      <w:bookmarkStart w:id="111" w:name="_Toc196126991"/>
      <w:r/>
      <w:bookmarkEnd w:id="98"/>
      <w:r/>
      <w:bookmarkEnd w:id="99"/>
      <w:r/>
      <w:bookmarkEnd w:id="100"/>
      <w:r/>
      <w:bookmarkEnd w:id="101"/>
      <w:r/>
      <w:bookmarkEnd w:id="102"/>
      <w:r/>
      <w:bookmarkEnd w:id="103"/>
      <w:r/>
      <w:bookmarkEnd w:id="104"/>
      <w:r/>
      <w:bookmarkEnd w:id="105"/>
      <w:r/>
      <w:bookmarkEnd w:id="106"/>
      <w:r/>
      <w:bookmarkEnd w:id="107"/>
      <w:r/>
      <w:bookmarkEnd w:id="108"/>
      <w:r/>
      <w:bookmarkEnd w:id="109"/>
      <w:r>
        <w:rPr>
          <w:rFonts w:ascii="Arial Narrow" w:hAnsi="Arial Narrow" w:eastAsiaTheme="majorEastAsia" w:cstheme="minorHAnsi"/>
          <w:b/>
          <w:color w:val="314e87"/>
          <w:sz w:val="24"/>
          <w:szCs w:val="24"/>
          <w:lang w:eastAsia="en-US" w:bidi="ru-RU"/>
        </w:rPr>
        <w:t xml:space="preserve">4.4. Анализ дебиторской задолженности</w:t>
      </w:r>
      <w:bookmarkEnd w:id="110"/>
      <w:r/>
      <w:bookmarkEnd w:id="111"/>
      <w:r>
        <w:rPr>
          <w:rFonts w:ascii="Arial Narrow" w:hAnsi="Arial Narrow" w:eastAsiaTheme="majorEastAsia" w:cstheme="minorHAnsi"/>
          <w:color w:val="314e87"/>
          <w:lang w:eastAsia="en-US" w:bidi="ru-RU"/>
        </w:rPr>
      </w:r>
      <w:r>
        <w:rPr>
          <w:rFonts w:ascii="Arial Narrow" w:hAnsi="Arial Narrow" w:eastAsiaTheme="majorEastAsia" w:cstheme="minorHAnsi"/>
          <w:color w:val="314e87"/>
          <w:lang w:eastAsia="en-US" w:bidi="ru-RU"/>
        </w:rPr>
      </w:r>
    </w:p>
    <w:p>
      <w:pPr>
        <w:pStyle w:val="1063"/>
        <w:jc w:val="right"/>
      </w:pPr>
      <w:r>
        <w:rPr>
          <w:rFonts w:ascii="Arial Narrow" w:hAnsi="Arial Narrow" w:eastAsia="Calibri" w:cs="Calibri"/>
          <w:i/>
          <w:lang w:eastAsia="ja-JP"/>
        </w:rPr>
        <w:t xml:space="preserve">Таблица № 22, тыс. рублей</w:t>
      </w:r>
      <w:r/>
    </w:p>
    <w:tbl>
      <w:tblPr>
        <w:tblW w:w="10112" w:type="dxa"/>
        <w:jc w:val="center"/>
        <w:tblLayout w:type="fixed"/>
        <w:tblLook w:val="04A0" w:firstRow="1" w:lastRow="0" w:firstColumn="1" w:lastColumn="0" w:noHBand="0" w:noVBand="1"/>
      </w:tblPr>
      <w:tblGrid>
        <w:gridCol w:w="489"/>
        <w:gridCol w:w="5011"/>
        <w:gridCol w:w="1124"/>
        <w:gridCol w:w="1267"/>
        <w:gridCol w:w="1100"/>
        <w:gridCol w:w="1121"/>
      </w:tblGrid>
      <w:tr>
        <w:trPr>
          <w:jc w:val="center"/>
          <w:trHeight w:val="147"/>
          <w:tblHeader/>
        </w:trPr>
        <w:tc>
          <w:tcPr>
            <w:tcBorders>
              <w:top w:val="single" w:color="000000" w:sz="4" w:space="0"/>
              <w:left w:val="single" w:color="000000" w:sz="4" w:space="0"/>
              <w:bottom w:val="single" w:color="000000" w:sz="4" w:space="0"/>
              <w:right w:val="single" w:color="000000" w:sz="4" w:space="0"/>
            </w:tcBorders>
            <w:tcW w:w="489"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w:t>
            </w:r>
            <w:r>
              <w:rPr>
                <w:sz w:val="20"/>
                <w:szCs w:val="20"/>
              </w:rPr>
            </w:r>
            <w:r>
              <w:rPr>
                <w:sz w:val="20"/>
                <w:szCs w:val="20"/>
              </w:rPr>
            </w:r>
          </w:p>
          <w:p>
            <w:pPr>
              <w:pStyle w:val="1063"/>
              <w:jc w:val="center"/>
              <w:widowControl w:val="off"/>
              <w:rPr>
                <w:sz w:val="20"/>
                <w:szCs w:val="20"/>
              </w:rPr>
            </w:pPr>
            <w:r>
              <w:rPr>
                <w:rFonts w:ascii="Arial Narrow" w:hAnsi="Arial Narrow" w:cs="Calibri"/>
                <w:bCs/>
                <w:sz w:val="20"/>
                <w:szCs w:val="20"/>
              </w:rPr>
              <w:t xml:space="preserve">п/п</w:t>
            </w:r>
            <w:r>
              <w:rPr>
                <w:sz w:val="20"/>
                <w:szCs w:val="20"/>
              </w:rPr>
            </w:r>
            <w:r>
              <w:rPr>
                <w:sz w:val="20"/>
                <w:szCs w:val="20"/>
              </w:rPr>
            </w:r>
          </w:p>
        </w:tc>
        <w:tc>
          <w:tcPr>
            <w:tcBorders>
              <w:top w:val="single" w:color="000000" w:sz="4" w:space="0"/>
              <w:bottom w:val="single" w:color="000000" w:sz="4" w:space="0"/>
              <w:right w:val="single" w:color="000000" w:sz="4" w:space="0"/>
            </w:tcBorders>
            <w:tcW w:w="5011"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Наименование показателя</w:t>
            </w:r>
            <w:r>
              <w:rPr>
                <w:sz w:val="20"/>
                <w:szCs w:val="20"/>
              </w:rPr>
            </w:r>
            <w:r>
              <w:rPr>
                <w:sz w:val="20"/>
                <w:szCs w:val="20"/>
              </w:rPr>
            </w:r>
          </w:p>
        </w:tc>
        <w:tc>
          <w:tcPr>
            <w:tcBorders>
              <w:top w:val="single" w:color="000000" w:sz="4" w:space="0"/>
              <w:bottom w:val="single" w:color="000000" w:sz="4" w:space="0"/>
              <w:right w:val="single" w:color="000000" w:sz="4" w:space="0"/>
            </w:tcBorders>
            <w:tcW w:w="1124"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2022 г.</w:t>
            </w:r>
            <w:r>
              <w:rPr>
                <w:sz w:val="20"/>
                <w:szCs w:val="20"/>
              </w:rPr>
            </w:r>
            <w:r>
              <w:rPr>
                <w:sz w:val="20"/>
                <w:szCs w:val="20"/>
              </w:rPr>
            </w:r>
          </w:p>
          <w:p>
            <w:pPr>
              <w:pStyle w:val="1063"/>
              <w:jc w:val="center"/>
              <w:widowControl w:val="off"/>
              <w:rPr>
                <w:sz w:val="20"/>
                <w:szCs w:val="20"/>
              </w:rPr>
            </w:pPr>
            <w:r>
              <w:rPr>
                <w:rFonts w:ascii="Arial Narrow" w:hAnsi="Arial Narrow" w:cs="Calibri"/>
                <w:bCs/>
                <w:sz w:val="20"/>
                <w:szCs w:val="20"/>
              </w:rPr>
              <w:t xml:space="preserve"> Факт</w:t>
            </w:r>
            <w:r>
              <w:rPr>
                <w:sz w:val="20"/>
                <w:szCs w:val="20"/>
              </w:rPr>
            </w:r>
            <w:r>
              <w:rPr>
                <w:sz w:val="20"/>
                <w:szCs w:val="20"/>
              </w:rPr>
            </w:r>
          </w:p>
        </w:tc>
        <w:tc>
          <w:tcPr>
            <w:tcBorders>
              <w:top w:val="single" w:color="000000" w:sz="4" w:space="0"/>
              <w:bottom w:val="single" w:color="000000" w:sz="4" w:space="0"/>
              <w:right w:val="single" w:color="000000" w:sz="4" w:space="0"/>
            </w:tcBorders>
            <w:tcW w:w="1267"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2023 г.</w:t>
            </w:r>
            <w:r>
              <w:rPr>
                <w:sz w:val="20"/>
                <w:szCs w:val="20"/>
              </w:rPr>
            </w:r>
            <w:r>
              <w:rPr>
                <w:sz w:val="20"/>
                <w:szCs w:val="20"/>
              </w:rPr>
            </w:r>
          </w:p>
          <w:p>
            <w:pPr>
              <w:pStyle w:val="1063"/>
              <w:jc w:val="center"/>
              <w:widowControl w:val="off"/>
              <w:rPr>
                <w:sz w:val="20"/>
                <w:szCs w:val="20"/>
              </w:rPr>
            </w:pPr>
            <w:r>
              <w:rPr>
                <w:rFonts w:ascii="Arial Narrow" w:hAnsi="Arial Narrow" w:cs="Calibri"/>
                <w:bCs/>
                <w:sz w:val="20"/>
                <w:szCs w:val="20"/>
              </w:rPr>
              <w:t xml:space="preserve"> Факт</w:t>
            </w:r>
            <w:r>
              <w:rPr>
                <w:sz w:val="20"/>
                <w:szCs w:val="20"/>
              </w:rPr>
            </w:r>
            <w:r>
              <w:rPr>
                <w:sz w:val="20"/>
                <w:szCs w:val="20"/>
              </w:rPr>
            </w:r>
          </w:p>
        </w:tc>
        <w:tc>
          <w:tcPr>
            <w:tcBorders>
              <w:top w:val="single" w:color="000000" w:sz="4" w:space="0"/>
              <w:bottom w:val="single" w:color="000000" w:sz="4" w:space="0"/>
              <w:right w:val="single" w:color="000000" w:sz="4" w:space="0"/>
            </w:tcBorders>
            <w:tcW w:w="1100"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2024 г.</w:t>
            </w:r>
            <w:r>
              <w:rPr>
                <w:sz w:val="20"/>
                <w:szCs w:val="20"/>
              </w:rPr>
            </w:r>
            <w:r>
              <w:rPr>
                <w:sz w:val="20"/>
                <w:szCs w:val="20"/>
              </w:rPr>
            </w:r>
          </w:p>
          <w:p>
            <w:pPr>
              <w:pStyle w:val="1063"/>
              <w:jc w:val="center"/>
              <w:widowControl w:val="off"/>
              <w:rPr>
                <w:sz w:val="20"/>
                <w:szCs w:val="20"/>
              </w:rPr>
            </w:pPr>
            <w:r>
              <w:rPr>
                <w:rFonts w:ascii="Arial Narrow" w:hAnsi="Arial Narrow" w:cs="Calibri"/>
                <w:bCs/>
                <w:sz w:val="20"/>
                <w:szCs w:val="20"/>
              </w:rPr>
              <w:t xml:space="preserve"> Факт</w:t>
            </w:r>
            <w:r>
              <w:rPr>
                <w:sz w:val="20"/>
                <w:szCs w:val="20"/>
              </w:rPr>
            </w:r>
            <w:r>
              <w:rPr>
                <w:sz w:val="20"/>
                <w:szCs w:val="20"/>
              </w:rPr>
            </w:r>
          </w:p>
        </w:tc>
        <w:tc>
          <w:tcPr>
            <w:tcBorders>
              <w:top w:val="single" w:color="000000" w:sz="4" w:space="0"/>
              <w:bottom w:val="single" w:color="000000" w:sz="4" w:space="0"/>
              <w:right w:val="single" w:color="000000" w:sz="4" w:space="0"/>
            </w:tcBorders>
            <w:tcW w:w="1121" w:type="dxa"/>
            <w:vAlign w:val="center"/>
            <w:textDirection w:val="lrTb"/>
            <w:noWrap w:val="false"/>
          </w:tcPr>
          <w:p>
            <w:pPr>
              <w:pStyle w:val="1063"/>
              <w:ind w:left="-140" w:right="-133"/>
              <w:jc w:val="center"/>
              <w:widowControl w:val="off"/>
              <w:rPr>
                <w:sz w:val="20"/>
                <w:szCs w:val="20"/>
              </w:rPr>
            </w:pPr>
            <w:r>
              <w:rPr>
                <w:rFonts w:ascii="Arial Narrow" w:hAnsi="Arial Narrow" w:cs="Calibri"/>
                <w:bCs/>
                <w:sz w:val="20"/>
                <w:szCs w:val="20"/>
              </w:rPr>
              <w:t xml:space="preserve">Темп роста (5/4), %</w:t>
            </w:r>
            <w:r>
              <w:rPr>
                <w:sz w:val="20"/>
                <w:szCs w:val="20"/>
              </w:rPr>
            </w:r>
            <w:r>
              <w:rPr>
                <w:sz w:val="20"/>
                <w:szCs w:val="20"/>
              </w:rPr>
            </w:r>
          </w:p>
        </w:tc>
      </w:tr>
      <w:tr>
        <w:trPr>
          <w:jc w:val="center"/>
          <w:trHeight w:val="40"/>
        </w:trPr>
        <w:tc>
          <w:tcPr>
            <w:shd w:val="clear" w:color="auto" w:fill="ffffff"/>
            <w:tcBorders>
              <w:left w:val="single" w:color="000000" w:sz="4" w:space="0"/>
              <w:bottom w:val="single" w:color="000000" w:sz="4" w:space="0"/>
              <w:right w:val="single" w:color="000000" w:sz="4" w:space="0"/>
            </w:tcBorders>
            <w:tcW w:w="48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w:t>
            </w:r>
            <w:r>
              <w:rPr>
                <w:sz w:val="20"/>
                <w:szCs w:val="20"/>
              </w:rPr>
            </w:r>
            <w:r>
              <w:rPr>
                <w:sz w:val="20"/>
                <w:szCs w:val="20"/>
              </w:rPr>
            </w:r>
          </w:p>
        </w:tc>
        <w:tc>
          <w:tcPr>
            <w:shd w:val="clear" w:color="auto" w:fill="ffffff"/>
            <w:tcBorders>
              <w:bottom w:val="single" w:color="000000" w:sz="4" w:space="0"/>
              <w:right w:val="single" w:color="000000" w:sz="4" w:space="0"/>
            </w:tcBorders>
            <w:tcW w:w="5011"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w:t>
            </w:r>
            <w:r>
              <w:rPr>
                <w:sz w:val="20"/>
                <w:szCs w:val="20"/>
              </w:rPr>
            </w:r>
            <w:r>
              <w:rPr>
                <w:sz w:val="20"/>
                <w:szCs w:val="20"/>
              </w:rPr>
            </w:r>
          </w:p>
        </w:tc>
        <w:tc>
          <w:tcPr>
            <w:shd w:val="clear" w:color="auto" w:fill="ffffff"/>
            <w:tcBorders>
              <w:bottom w:val="single" w:color="000000" w:sz="4" w:space="0"/>
              <w:right w:val="single" w:color="000000" w:sz="4" w:space="0"/>
            </w:tcBorders>
            <w:tcW w:w="112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3</w:t>
            </w:r>
            <w:r>
              <w:rPr>
                <w:sz w:val="20"/>
                <w:szCs w:val="20"/>
              </w:rPr>
            </w:r>
            <w:r>
              <w:rPr>
                <w:sz w:val="20"/>
                <w:szCs w:val="20"/>
              </w:rPr>
            </w:r>
          </w:p>
        </w:tc>
        <w:tc>
          <w:tcPr>
            <w:shd w:val="clear" w:color="auto" w:fill="ffffff"/>
            <w:tcBorders>
              <w:bottom w:val="single" w:color="000000" w:sz="4" w:space="0"/>
              <w:right w:val="single" w:color="000000" w:sz="4" w:space="0"/>
            </w:tcBorders>
            <w:tcW w:w="1267"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4</w:t>
            </w:r>
            <w:r>
              <w:rPr>
                <w:sz w:val="20"/>
                <w:szCs w:val="20"/>
              </w:rPr>
            </w:r>
            <w:r>
              <w:rPr>
                <w:sz w:val="20"/>
                <w:szCs w:val="20"/>
              </w:rPr>
            </w:r>
          </w:p>
        </w:tc>
        <w:tc>
          <w:tcPr>
            <w:shd w:val="clear" w:color="auto" w:fill="ffffff"/>
            <w:tcBorders>
              <w:bottom w:val="single" w:color="000000" w:sz="4" w:space="0"/>
              <w:right w:val="single" w:color="000000" w:sz="4" w:space="0"/>
            </w:tcBorders>
            <w:tcW w:w="1100"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5</w:t>
            </w:r>
            <w:r>
              <w:rPr>
                <w:sz w:val="20"/>
                <w:szCs w:val="20"/>
              </w:rPr>
            </w:r>
            <w:r>
              <w:rPr>
                <w:sz w:val="20"/>
                <w:szCs w:val="20"/>
              </w:rPr>
            </w:r>
          </w:p>
        </w:tc>
        <w:tc>
          <w:tcPr>
            <w:shd w:val="clear" w:color="auto" w:fill="ffffff"/>
            <w:tcBorders>
              <w:bottom w:val="single" w:color="000000" w:sz="4" w:space="0"/>
              <w:right w:val="single" w:color="000000" w:sz="4" w:space="0"/>
            </w:tcBorders>
            <w:tcW w:w="1121"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6</w:t>
            </w:r>
            <w:r>
              <w:rPr>
                <w:sz w:val="20"/>
                <w:szCs w:val="20"/>
              </w:rPr>
            </w:r>
            <w:r>
              <w:rPr>
                <w:sz w:val="20"/>
                <w:szCs w:val="20"/>
              </w:rPr>
            </w:r>
          </w:p>
        </w:tc>
      </w:tr>
      <w:tr>
        <w:trPr>
          <w:jc w:val="center"/>
          <w:trHeight w:val="398"/>
        </w:trPr>
        <w:tc>
          <w:tcPr>
            <w:tcBorders>
              <w:left w:val="single" w:color="000000" w:sz="4" w:space="0"/>
              <w:bottom w:val="single" w:color="000000" w:sz="4" w:space="0"/>
              <w:right w:val="single" w:color="000000" w:sz="4" w:space="0"/>
            </w:tcBorders>
            <w:tcW w:w="489"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1.</w:t>
            </w:r>
            <w:r>
              <w:rPr>
                <w:sz w:val="20"/>
                <w:szCs w:val="20"/>
              </w:rPr>
            </w:r>
            <w:r>
              <w:rPr>
                <w:sz w:val="20"/>
                <w:szCs w:val="20"/>
              </w:rPr>
            </w:r>
          </w:p>
        </w:tc>
        <w:tc>
          <w:tcPr>
            <w:tcBorders>
              <w:bottom w:val="single" w:color="000000" w:sz="4" w:space="0"/>
              <w:right w:val="single" w:color="000000" w:sz="4" w:space="0"/>
            </w:tcBorders>
            <w:tcW w:w="5011" w:type="dxa"/>
            <w:vAlign w:val="center"/>
            <w:textDirection w:val="lrTb"/>
            <w:noWrap w:val="false"/>
          </w:tcPr>
          <w:p>
            <w:pPr>
              <w:pStyle w:val="1063"/>
              <w:jc w:val="both"/>
              <w:widowControl w:val="off"/>
              <w:rPr>
                <w:sz w:val="20"/>
                <w:szCs w:val="20"/>
              </w:rPr>
            </w:pPr>
            <w:r>
              <w:rPr>
                <w:rFonts w:ascii="Arial Narrow" w:hAnsi="Arial Narrow" w:cs="Calibri"/>
                <w:bCs/>
                <w:sz w:val="20"/>
                <w:szCs w:val="20"/>
              </w:rPr>
              <w:t xml:space="preserve">Дебиторская задолженность (свыше 12 месяцев), </w:t>
            </w:r>
            <w:r>
              <w:rPr>
                <w:rFonts w:ascii="Arial Narrow" w:hAnsi="Arial Narrow" w:cs="Calibri"/>
                <w:bCs/>
                <w:sz w:val="20"/>
                <w:szCs w:val="20"/>
              </w:rPr>
              <w:br/>
              <w:t xml:space="preserve">в том числе:</w:t>
            </w:r>
            <w:r>
              <w:rPr>
                <w:sz w:val="20"/>
                <w:szCs w:val="20"/>
              </w:rPr>
            </w:r>
            <w:r>
              <w:rPr>
                <w:sz w:val="20"/>
                <w:szCs w:val="20"/>
              </w:rPr>
            </w:r>
          </w:p>
        </w:tc>
        <w:tc>
          <w:tcPr>
            <w:tcBorders>
              <w:bottom w:val="single" w:color="000000" w:sz="4" w:space="0"/>
              <w:right w:val="single" w:color="000000" w:sz="4" w:space="0"/>
            </w:tcBorders>
            <w:tcW w:w="1124" w:type="dxa"/>
            <w:vAlign w:val="center"/>
            <w:textDirection w:val="lrTb"/>
            <w:noWrap w:val="false"/>
          </w:tcPr>
          <w:p>
            <w:pPr>
              <w:pStyle w:val="1063"/>
              <w:jc w:val="center"/>
              <w:widowControl w:val="off"/>
              <w:rPr>
                <w:sz w:val="20"/>
                <w:szCs w:val="20"/>
              </w:rPr>
            </w:pPr>
            <w:r>
              <w:rPr>
                <w:rFonts w:ascii="Arial Narrow" w:hAnsi="Arial Narrow" w:cs="Calibri"/>
                <w:bCs/>
                <w:color w:val="000000"/>
                <w:sz w:val="20"/>
                <w:szCs w:val="20"/>
              </w:rPr>
              <w:t xml:space="preserve">81 267</w:t>
            </w:r>
            <w:r>
              <w:rPr>
                <w:sz w:val="20"/>
                <w:szCs w:val="20"/>
              </w:rPr>
            </w:r>
            <w:r>
              <w:rPr>
                <w:sz w:val="20"/>
                <w:szCs w:val="20"/>
              </w:rPr>
            </w:r>
          </w:p>
        </w:tc>
        <w:tc>
          <w:tcPr>
            <w:tcBorders>
              <w:bottom w:val="single" w:color="000000" w:sz="4" w:space="0"/>
              <w:right w:val="single" w:color="000000" w:sz="4" w:space="0"/>
            </w:tcBorders>
            <w:tcW w:w="1267" w:type="dxa"/>
            <w:vAlign w:val="center"/>
            <w:textDirection w:val="lrTb"/>
            <w:noWrap w:val="false"/>
          </w:tcPr>
          <w:p>
            <w:pPr>
              <w:pStyle w:val="1063"/>
              <w:jc w:val="center"/>
              <w:widowControl w:val="off"/>
              <w:rPr>
                <w:sz w:val="20"/>
                <w:szCs w:val="20"/>
              </w:rPr>
            </w:pPr>
            <w:r>
              <w:rPr>
                <w:rFonts w:ascii="Arial Narrow" w:hAnsi="Arial Narrow" w:cs="Calibri"/>
                <w:bCs/>
                <w:color w:val="000000"/>
                <w:sz w:val="20"/>
                <w:szCs w:val="20"/>
              </w:rPr>
              <w:t xml:space="preserve">45 359</w:t>
            </w:r>
            <w:r>
              <w:rPr>
                <w:sz w:val="20"/>
                <w:szCs w:val="20"/>
              </w:rPr>
            </w:r>
            <w:r>
              <w:rPr>
                <w:sz w:val="20"/>
                <w:szCs w:val="20"/>
              </w:rPr>
            </w:r>
          </w:p>
        </w:tc>
        <w:tc>
          <w:tcPr>
            <w:tcBorders>
              <w:bottom w:val="single" w:color="000000" w:sz="4" w:space="0"/>
              <w:right w:val="single" w:color="000000" w:sz="4" w:space="0"/>
            </w:tcBorders>
            <w:tcW w:w="1100" w:type="dxa"/>
            <w:vAlign w:val="center"/>
            <w:textDirection w:val="lrTb"/>
            <w:noWrap w:val="false"/>
          </w:tcPr>
          <w:p>
            <w:pPr>
              <w:pStyle w:val="1063"/>
              <w:jc w:val="center"/>
              <w:widowControl w:val="off"/>
              <w:rPr>
                <w:sz w:val="20"/>
                <w:szCs w:val="20"/>
              </w:rPr>
            </w:pPr>
            <w:r>
              <w:rPr>
                <w:rFonts w:ascii="Arial Narrow" w:hAnsi="Arial Narrow" w:cs="Calibri"/>
                <w:bCs/>
                <w:color w:val="000000"/>
                <w:sz w:val="20"/>
                <w:szCs w:val="20"/>
              </w:rPr>
              <w:t xml:space="preserve">13 908</w:t>
            </w:r>
            <w:r>
              <w:rPr>
                <w:sz w:val="20"/>
                <w:szCs w:val="20"/>
              </w:rPr>
            </w:r>
            <w:r>
              <w:rPr>
                <w:sz w:val="20"/>
                <w:szCs w:val="20"/>
              </w:rPr>
            </w:r>
          </w:p>
        </w:tc>
        <w:tc>
          <w:tcPr>
            <w:tcBorders>
              <w:bottom w:val="single" w:color="000000" w:sz="4" w:space="0"/>
              <w:right w:val="single" w:color="000000" w:sz="4" w:space="0"/>
            </w:tcBorders>
            <w:tcW w:w="1121" w:type="dxa"/>
            <w:vAlign w:val="center"/>
            <w:textDirection w:val="lrTb"/>
            <w:noWrap w:val="false"/>
          </w:tcPr>
          <w:p>
            <w:pPr>
              <w:pStyle w:val="1063"/>
              <w:jc w:val="center"/>
              <w:widowControl w:val="off"/>
              <w:rPr>
                <w:sz w:val="20"/>
                <w:szCs w:val="20"/>
              </w:rPr>
            </w:pPr>
            <w:r>
              <w:rPr>
                <w:rFonts w:ascii="Arial Narrow" w:hAnsi="Arial Narrow" w:cs="Calibri"/>
                <w:bCs/>
                <w:color w:val="000000"/>
                <w:sz w:val="20"/>
                <w:szCs w:val="20"/>
              </w:rPr>
              <w:t xml:space="preserve">30,7</w:t>
            </w:r>
            <w:r>
              <w:rPr>
                <w:sz w:val="20"/>
                <w:szCs w:val="20"/>
              </w:rPr>
            </w:r>
            <w:r>
              <w:rPr>
                <w:sz w:val="20"/>
                <w:szCs w:val="20"/>
              </w:rPr>
            </w:r>
          </w:p>
        </w:tc>
      </w:tr>
      <w:tr>
        <w:trPr>
          <w:jc w:val="center"/>
          <w:trHeight w:val="108"/>
        </w:trPr>
        <w:tc>
          <w:tcPr>
            <w:tcBorders>
              <w:left w:val="single" w:color="000000" w:sz="4" w:space="0"/>
              <w:bottom w:val="single" w:color="000000" w:sz="4" w:space="0"/>
              <w:right w:val="single" w:color="000000" w:sz="4" w:space="0"/>
            </w:tcBorders>
            <w:tcW w:w="48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1.1</w:t>
            </w:r>
            <w:r>
              <w:rPr>
                <w:sz w:val="20"/>
                <w:szCs w:val="20"/>
              </w:rPr>
            </w:r>
            <w:r>
              <w:rPr>
                <w:sz w:val="20"/>
                <w:szCs w:val="20"/>
              </w:rPr>
            </w:r>
          </w:p>
        </w:tc>
        <w:tc>
          <w:tcPr>
            <w:tcBorders>
              <w:bottom w:val="single" w:color="000000" w:sz="4" w:space="0"/>
              <w:right w:val="single" w:color="000000" w:sz="4" w:space="0"/>
            </w:tcBorders>
            <w:tcW w:w="5011" w:type="dxa"/>
            <w:vAlign w:val="center"/>
            <w:textDirection w:val="lrTb"/>
            <w:noWrap w:val="false"/>
          </w:tcPr>
          <w:p>
            <w:pPr>
              <w:pStyle w:val="1063"/>
              <w:jc w:val="both"/>
              <w:widowControl w:val="off"/>
              <w:rPr>
                <w:sz w:val="20"/>
                <w:szCs w:val="20"/>
              </w:rPr>
            </w:pPr>
            <w:r>
              <w:rPr>
                <w:rFonts w:ascii="Arial Narrow" w:hAnsi="Arial Narrow" w:cs="Calibri"/>
                <w:sz w:val="20"/>
                <w:szCs w:val="20"/>
              </w:rPr>
              <w:t xml:space="preserve">Покупатели и заказчики</w:t>
            </w:r>
            <w:r>
              <w:rPr>
                <w:sz w:val="20"/>
                <w:szCs w:val="20"/>
              </w:rPr>
            </w:r>
            <w:r>
              <w:rPr>
                <w:sz w:val="20"/>
                <w:szCs w:val="20"/>
              </w:rPr>
            </w:r>
          </w:p>
        </w:tc>
        <w:tc>
          <w:tcPr>
            <w:tcBorders>
              <w:bottom w:val="single" w:color="000000" w:sz="4" w:space="0"/>
              <w:right w:val="single" w:color="000000" w:sz="4" w:space="0"/>
            </w:tcBorders>
            <w:tcW w:w="1124"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81 224</w:t>
            </w:r>
            <w:r>
              <w:rPr>
                <w:sz w:val="20"/>
                <w:szCs w:val="20"/>
              </w:rPr>
            </w:r>
            <w:r>
              <w:rPr>
                <w:sz w:val="20"/>
                <w:szCs w:val="20"/>
              </w:rPr>
            </w:r>
          </w:p>
        </w:tc>
        <w:tc>
          <w:tcPr>
            <w:tcBorders>
              <w:bottom w:val="single" w:color="000000" w:sz="4" w:space="0"/>
              <w:right w:val="single" w:color="000000" w:sz="4" w:space="0"/>
            </w:tcBorders>
            <w:tcW w:w="1267"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45 335</w:t>
            </w:r>
            <w:r>
              <w:rPr>
                <w:sz w:val="20"/>
                <w:szCs w:val="20"/>
              </w:rPr>
            </w:r>
            <w:r>
              <w:rPr>
                <w:sz w:val="20"/>
                <w:szCs w:val="20"/>
              </w:rPr>
            </w:r>
          </w:p>
        </w:tc>
        <w:tc>
          <w:tcPr>
            <w:tcBorders>
              <w:bottom w:val="single" w:color="000000" w:sz="4" w:space="0"/>
              <w:right w:val="single" w:color="000000" w:sz="4" w:space="0"/>
            </w:tcBorders>
            <w:tcW w:w="1100"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11 111</w:t>
            </w:r>
            <w:r>
              <w:rPr>
                <w:sz w:val="20"/>
                <w:szCs w:val="20"/>
              </w:rPr>
            </w:r>
            <w:r>
              <w:rPr>
                <w:sz w:val="20"/>
                <w:szCs w:val="20"/>
              </w:rPr>
            </w:r>
          </w:p>
        </w:tc>
        <w:tc>
          <w:tcPr>
            <w:tcBorders>
              <w:bottom w:val="single" w:color="000000" w:sz="4" w:space="0"/>
              <w:right w:val="single" w:color="000000" w:sz="4" w:space="0"/>
            </w:tcBorders>
            <w:tcW w:w="1121"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24,5</w:t>
            </w:r>
            <w:r>
              <w:rPr>
                <w:sz w:val="20"/>
                <w:szCs w:val="20"/>
              </w:rPr>
            </w:r>
            <w:r>
              <w:rPr>
                <w:sz w:val="20"/>
                <w:szCs w:val="20"/>
              </w:rPr>
            </w:r>
          </w:p>
        </w:tc>
      </w:tr>
      <w:tr>
        <w:trPr>
          <w:jc w:val="center"/>
          <w:trHeight w:val="53"/>
        </w:trPr>
        <w:tc>
          <w:tcPr>
            <w:tcBorders>
              <w:left w:val="single" w:color="000000" w:sz="4" w:space="0"/>
              <w:bottom w:val="single" w:color="000000" w:sz="4" w:space="0"/>
              <w:right w:val="single" w:color="000000" w:sz="4" w:space="0"/>
            </w:tcBorders>
            <w:tcW w:w="48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1.2</w:t>
            </w:r>
            <w:r>
              <w:rPr>
                <w:sz w:val="20"/>
                <w:szCs w:val="20"/>
              </w:rPr>
            </w:r>
            <w:r>
              <w:rPr>
                <w:sz w:val="20"/>
                <w:szCs w:val="20"/>
              </w:rPr>
            </w:r>
          </w:p>
        </w:tc>
        <w:tc>
          <w:tcPr>
            <w:tcBorders>
              <w:bottom w:val="single" w:color="000000" w:sz="4" w:space="0"/>
              <w:right w:val="single" w:color="000000" w:sz="4" w:space="0"/>
            </w:tcBorders>
            <w:tcW w:w="5011" w:type="dxa"/>
            <w:vAlign w:val="center"/>
            <w:textDirection w:val="lrTb"/>
            <w:noWrap w:val="false"/>
          </w:tcPr>
          <w:p>
            <w:pPr>
              <w:pStyle w:val="1063"/>
              <w:jc w:val="both"/>
              <w:widowControl w:val="off"/>
              <w:rPr>
                <w:sz w:val="20"/>
                <w:szCs w:val="20"/>
              </w:rPr>
            </w:pPr>
            <w:r>
              <w:rPr>
                <w:rFonts w:ascii="Arial Narrow" w:hAnsi="Arial Narrow" w:cs="Calibri"/>
                <w:sz w:val="20"/>
                <w:szCs w:val="20"/>
              </w:rPr>
              <w:t xml:space="preserve">Векселя к получению</w:t>
            </w:r>
            <w:r>
              <w:rPr>
                <w:sz w:val="20"/>
                <w:szCs w:val="20"/>
              </w:rPr>
            </w:r>
            <w:r>
              <w:rPr>
                <w:sz w:val="20"/>
                <w:szCs w:val="20"/>
              </w:rPr>
            </w:r>
          </w:p>
        </w:tc>
        <w:tc>
          <w:tcPr>
            <w:tcBorders>
              <w:bottom w:val="single" w:color="000000" w:sz="4" w:space="0"/>
              <w:right w:val="single" w:color="000000" w:sz="4" w:space="0"/>
            </w:tcBorders>
            <w:tcW w:w="1124"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c>
          <w:tcPr>
            <w:tcBorders>
              <w:bottom w:val="single" w:color="000000" w:sz="4" w:space="0"/>
              <w:right w:val="single" w:color="000000" w:sz="4" w:space="0"/>
            </w:tcBorders>
            <w:tcW w:w="1267"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c>
          <w:tcPr>
            <w:tcBorders>
              <w:bottom w:val="single" w:color="000000" w:sz="4" w:space="0"/>
              <w:right w:val="single" w:color="000000" w:sz="4" w:space="0"/>
            </w:tcBorders>
            <w:tcW w:w="1100"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c>
          <w:tcPr>
            <w:tcBorders>
              <w:bottom w:val="single" w:color="000000" w:sz="4" w:space="0"/>
              <w:right w:val="single" w:color="000000" w:sz="4" w:space="0"/>
            </w:tcBorders>
            <w:tcW w:w="1121"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r>
      <w:tr>
        <w:trPr>
          <w:jc w:val="center"/>
          <w:trHeight w:val="53"/>
        </w:trPr>
        <w:tc>
          <w:tcPr>
            <w:tcBorders>
              <w:left w:val="single" w:color="000000" w:sz="4" w:space="0"/>
              <w:bottom w:val="single" w:color="000000" w:sz="4" w:space="0"/>
              <w:right w:val="single" w:color="000000" w:sz="4" w:space="0"/>
            </w:tcBorders>
            <w:tcW w:w="48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1.3</w:t>
            </w:r>
            <w:r>
              <w:rPr>
                <w:sz w:val="20"/>
                <w:szCs w:val="20"/>
              </w:rPr>
            </w:r>
            <w:r>
              <w:rPr>
                <w:sz w:val="20"/>
                <w:szCs w:val="20"/>
              </w:rPr>
            </w:r>
          </w:p>
        </w:tc>
        <w:tc>
          <w:tcPr>
            <w:tcBorders>
              <w:bottom w:val="single" w:color="000000" w:sz="4" w:space="0"/>
              <w:right w:val="single" w:color="000000" w:sz="4" w:space="0"/>
            </w:tcBorders>
            <w:tcW w:w="5011" w:type="dxa"/>
            <w:vAlign w:val="center"/>
            <w:textDirection w:val="lrTb"/>
            <w:noWrap w:val="false"/>
          </w:tcPr>
          <w:p>
            <w:pPr>
              <w:pStyle w:val="1063"/>
              <w:jc w:val="both"/>
              <w:widowControl w:val="off"/>
              <w:rPr>
                <w:sz w:val="20"/>
                <w:szCs w:val="20"/>
              </w:rPr>
            </w:pPr>
            <w:r>
              <w:rPr>
                <w:rFonts w:ascii="Arial Narrow" w:hAnsi="Arial Narrow" w:cs="Calibri"/>
                <w:sz w:val="20"/>
                <w:szCs w:val="20"/>
              </w:rPr>
              <w:t xml:space="preserve">Задолженность дочерних обществ</w:t>
            </w:r>
            <w:r>
              <w:rPr>
                <w:sz w:val="20"/>
                <w:szCs w:val="20"/>
              </w:rPr>
            </w:r>
            <w:r>
              <w:rPr>
                <w:sz w:val="20"/>
                <w:szCs w:val="20"/>
              </w:rPr>
            </w:r>
          </w:p>
        </w:tc>
        <w:tc>
          <w:tcPr>
            <w:tcBorders>
              <w:bottom w:val="single" w:color="000000" w:sz="4" w:space="0"/>
              <w:right w:val="single" w:color="000000" w:sz="4" w:space="0"/>
            </w:tcBorders>
            <w:tcW w:w="1124"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c>
          <w:tcPr>
            <w:tcBorders>
              <w:bottom w:val="single" w:color="000000" w:sz="4" w:space="0"/>
              <w:right w:val="single" w:color="000000" w:sz="4" w:space="0"/>
            </w:tcBorders>
            <w:tcW w:w="1267"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c>
          <w:tcPr>
            <w:tcBorders>
              <w:bottom w:val="single" w:color="000000" w:sz="4" w:space="0"/>
              <w:right w:val="single" w:color="000000" w:sz="4" w:space="0"/>
            </w:tcBorders>
            <w:tcW w:w="1100"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c>
          <w:tcPr>
            <w:tcBorders>
              <w:bottom w:val="single" w:color="000000" w:sz="4" w:space="0"/>
              <w:right w:val="single" w:color="000000" w:sz="4" w:space="0"/>
            </w:tcBorders>
            <w:tcW w:w="1121"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r>
      <w:tr>
        <w:trPr>
          <w:jc w:val="center"/>
          <w:trHeight w:val="53"/>
        </w:trPr>
        <w:tc>
          <w:tcPr>
            <w:tcBorders>
              <w:left w:val="single" w:color="000000" w:sz="4" w:space="0"/>
              <w:bottom w:val="single" w:color="000000" w:sz="4" w:space="0"/>
              <w:right w:val="single" w:color="000000" w:sz="4" w:space="0"/>
            </w:tcBorders>
            <w:tcW w:w="48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1.4</w:t>
            </w:r>
            <w:r>
              <w:rPr>
                <w:sz w:val="20"/>
                <w:szCs w:val="20"/>
              </w:rPr>
            </w:r>
            <w:r>
              <w:rPr>
                <w:sz w:val="20"/>
                <w:szCs w:val="20"/>
              </w:rPr>
            </w:r>
          </w:p>
        </w:tc>
        <w:tc>
          <w:tcPr>
            <w:tcBorders>
              <w:bottom w:val="single" w:color="000000" w:sz="4" w:space="0"/>
              <w:right w:val="single" w:color="000000" w:sz="4" w:space="0"/>
            </w:tcBorders>
            <w:tcW w:w="5011" w:type="dxa"/>
            <w:vAlign w:val="center"/>
            <w:textDirection w:val="lrTb"/>
            <w:noWrap w:val="false"/>
          </w:tcPr>
          <w:p>
            <w:pPr>
              <w:pStyle w:val="1063"/>
              <w:jc w:val="both"/>
              <w:widowControl w:val="off"/>
              <w:rPr>
                <w:sz w:val="20"/>
                <w:szCs w:val="20"/>
              </w:rPr>
            </w:pPr>
            <w:r>
              <w:rPr>
                <w:rFonts w:ascii="Arial Narrow" w:hAnsi="Arial Narrow" w:cs="Calibri"/>
                <w:sz w:val="20"/>
                <w:szCs w:val="20"/>
              </w:rPr>
              <w:t xml:space="preserve">Авансы выданные</w:t>
            </w:r>
            <w:r>
              <w:rPr>
                <w:sz w:val="20"/>
                <w:szCs w:val="20"/>
              </w:rPr>
            </w:r>
            <w:r>
              <w:rPr>
                <w:sz w:val="20"/>
                <w:szCs w:val="20"/>
              </w:rPr>
            </w:r>
          </w:p>
        </w:tc>
        <w:tc>
          <w:tcPr>
            <w:tcBorders>
              <w:bottom w:val="single" w:color="000000" w:sz="4" w:space="0"/>
              <w:right w:val="single" w:color="000000" w:sz="4" w:space="0"/>
            </w:tcBorders>
            <w:tcW w:w="1124"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0</w:t>
            </w:r>
            <w:r>
              <w:rPr>
                <w:sz w:val="20"/>
                <w:szCs w:val="20"/>
              </w:rPr>
            </w:r>
            <w:r>
              <w:rPr>
                <w:sz w:val="20"/>
                <w:szCs w:val="20"/>
              </w:rPr>
            </w:r>
          </w:p>
        </w:tc>
        <w:tc>
          <w:tcPr>
            <w:tcBorders>
              <w:bottom w:val="single" w:color="000000" w:sz="4" w:space="0"/>
              <w:right w:val="single" w:color="000000" w:sz="4" w:space="0"/>
            </w:tcBorders>
            <w:tcW w:w="1267"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24</w:t>
            </w:r>
            <w:r>
              <w:rPr>
                <w:sz w:val="20"/>
                <w:szCs w:val="20"/>
              </w:rPr>
            </w:r>
            <w:r>
              <w:rPr>
                <w:sz w:val="20"/>
                <w:szCs w:val="20"/>
              </w:rPr>
            </w:r>
          </w:p>
        </w:tc>
        <w:tc>
          <w:tcPr>
            <w:tcBorders>
              <w:bottom w:val="single" w:color="000000" w:sz="4" w:space="0"/>
              <w:right w:val="single" w:color="000000" w:sz="4" w:space="0"/>
            </w:tcBorders>
            <w:tcW w:w="1100"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24</w:t>
            </w:r>
            <w:r>
              <w:rPr>
                <w:sz w:val="20"/>
                <w:szCs w:val="20"/>
              </w:rPr>
            </w:r>
            <w:r>
              <w:rPr>
                <w:sz w:val="20"/>
                <w:szCs w:val="20"/>
              </w:rPr>
            </w:r>
          </w:p>
        </w:tc>
        <w:tc>
          <w:tcPr>
            <w:tcBorders>
              <w:bottom w:val="single" w:color="000000" w:sz="4" w:space="0"/>
              <w:right w:val="single" w:color="000000" w:sz="4" w:space="0"/>
            </w:tcBorders>
            <w:tcW w:w="1121"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100,0</w:t>
            </w:r>
            <w:r>
              <w:rPr>
                <w:sz w:val="20"/>
                <w:szCs w:val="20"/>
              </w:rPr>
            </w:r>
            <w:r>
              <w:rPr>
                <w:sz w:val="20"/>
                <w:szCs w:val="20"/>
              </w:rPr>
            </w:r>
          </w:p>
        </w:tc>
      </w:tr>
      <w:tr>
        <w:trPr>
          <w:jc w:val="center"/>
          <w:trHeight w:val="53"/>
        </w:trPr>
        <w:tc>
          <w:tcPr>
            <w:tcBorders>
              <w:left w:val="single" w:color="000000" w:sz="4" w:space="0"/>
              <w:bottom w:val="single" w:color="000000" w:sz="4" w:space="0"/>
              <w:right w:val="single" w:color="000000" w:sz="4" w:space="0"/>
            </w:tcBorders>
            <w:tcW w:w="48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1.5</w:t>
            </w:r>
            <w:r>
              <w:rPr>
                <w:sz w:val="20"/>
                <w:szCs w:val="20"/>
              </w:rPr>
            </w:r>
            <w:r>
              <w:rPr>
                <w:sz w:val="20"/>
                <w:szCs w:val="20"/>
              </w:rPr>
            </w:r>
          </w:p>
        </w:tc>
        <w:tc>
          <w:tcPr>
            <w:tcBorders>
              <w:bottom w:val="single" w:color="000000" w:sz="4" w:space="0"/>
              <w:right w:val="single" w:color="000000" w:sz="4" w:space="0"/>
            </w:tcBorders>
            <w:tcW w:w="5011" w:type="dxa"/>
            <w:vAlign w:val="center"/>
            <w:textDirection w:val="lrTb"/>
            <w:noWrap w:val="false"/>
          </w:tcPr>
          <w:p>
            <w:pPr>
              <w:pStyle w:val="1063"/>
              <w:jc w:val="both"/>
              <w:widowControl w:val="off"/>
              <w:rPr>
                <w:sz w:val="20"/>
                <w:szCs w:val="20"/>
              </w:rPr>
            </w:pPr>
            <w:r>
              <w:rPr>
                <w:rFonts w:ascii="Arial Narrow" w:hAnsi="Arial Narrow" w:cs="Calibri"/>
                <w:sz w:val="20"/>
                <w:szCs w:val="20"/>
              </w:rPr>
              <w:t xml:space="preserve">Прочие дебиторы</w:t>
            </w:r>
            <w:r>
              <w:rPr>
                <w:sz w:val="20"/>
                <w:szCs w:val="20"/>
              </w:rPr>
            </w:r>
            <w:r>
              <w:rPr>
                <w:sz w:val="20"/>
                <w:szCs w:val="20"/>
              </w:rPr>
            </w:r>
          </w:p>
        </w:tc>
        <w:tc>
          <w:tcPr>
            <w:tcBorders>
              <w:bottom w:val="single" w:color="000000" w:sz="4" w:space="0"/>
              <w:right w:val="single" w:color="000000" w:sz="4" w:space="0"/>
            </w:tcBorders>
            <w:tcW w:w="1124"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43</w:t>
            </w:r>
            <w:r>
              <w:rPr>
                <w:sz w:val="20"/>
                <w:szCs w:val="20"/>
              </w:rPr>
            </w:r>
            <w:r>
              <w:rPr>
                <w:sz w:val="20"/>
                <w:szCs w:val="20"/>
              </w:rPr>
            </w:r>
          </w:p>
        </w:tc>
        <w:tc>
          <w:tcPr>
            <w:tcBorders>
              <w:bottom w:val="single" w:color="000000" w:sz="4" w:space="0"/>
              <w:right w:val="single" w:color="000000" w:sz="4" w:space="0"/>
            </w:tcBorders>
            <w:tcW w:w="1267"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0</w:t>
            </w:r>
            <w:r>
              <w:rPr>
                <w:sz w:val="20"/>
                <w:szCs w:val="20"/>
              </w:rPr>
            </w:r>
            <w:r>
              <w:rPr>
                <w:sz w:val="20"/>
                <w:szCs w:val="20"/>
              </w:rPr>
            </w:r>
          </w:p>
        </w:tc>
        <w:tc>
          <w:tcPr>
            <w:tcBorders>
              <w:bottom w:val="single" w:color="000000" w:sz="4" w:space="0"/>
              <w:right w:val="single" w:color="000000" w:sz="4" w:space="0"/>
            </w:tcBorders>
            <w:tcW w:w="1100"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2 773</w:t>
            </w:r>
            <w:r>
              <w:rPr>
                <w:sz w:val="20"/>
                <w:szCs w:val="20"/>
              </w:rPr>
            </w:r>
            <w:r>
              <w:rPr>
                <w:sz w:val="20"/>
                <w:szCs w:val="20"/>
              </w:rPr>
            </w:r>
          </w:p>
        </w:tc>
        <w:tc>
          <w:tcPr>
            <w:tcBorders>
              <w:bottom w:val="single" w:color="000000" w:sz="4" w:space="0"/>
              <w:right w:val="single" w:color="000000" w:sz="4" w:space="0"/>
            </w:tcBorders>
            <w:tcW w:w="1121"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в 2,8 раз</w:t>
            </w:r>
            <w:r>
              <w:rPr>
                <w:sz w:val="20"/>
                <w:szCs w:val="20"/>
              </w:rPr>
            </w:r>
            <w:r>
              <w:rPr>
                <w:sz w:val="20"/>
                <w:szCs w:val="20"/>
              </w:rPr>
            </w:r>
          </w:p>
        </w:tc>
      </w:tr>
      <w:tr>
        <w:trPr>
          <w:jc w:val="center"/>
          <w:trHeight w:val="45"/>
        </w:trPr>
        <w:tc>
          <w:tcPr>
            <w:tcBorders>
              <w:left w:val="single" w:color="000000" w:sz="4" w:space="0"/>
              <w:bottom w:val="single" w:color="000000" w:sz="4" w:space="0"/>
              <w:right w:val="single" w:color="000000" w:sz="4" w:space="0"/>
            </w:tcBorders>
            <w:tcW w:w="489"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2.</w:t>
            </w:r>
            <w:r>
              <w:rPr>
                <w:sz w:val="20"/>
                <w:szCs w:val="20"/>
              </w:rPr>
            </w:r>
            <w:r>
              <w:rPr>
                <w:sz w:val="20"/>
                <w:szCs w:val="20"/>
              </w:rPr>
            </w:r>
          </w:p>
        </w:tc>
        <w:tc>
          <w:tcPr>
            <w:tcBorders>
              <w:bottom w:val="single" w:color="000000" w:sz="4" w:space="0"/>
              <w:right w:val="single" w:color="000000" w:sz="4" w:space="0"/>
            </w:tcBorders>
            <w:tcW w:w="5011" w:type="dxa"/>
            <w:vAlign w:val="center"/>
            <w:textDirection w:val="lrTb"/>
            <w:noWrap w:val="false"/>
          </w:tcPr>
          <w:p>
            <w:pPr>
              <w:pStyle w:val="1063"/>
              <w:jc w:val="both"/>
              <w:widowControl w:val="off"/>
              <w:rPr>
                <w:sz w:val="20"/>
                <w:szCs w:val="20"/>
              </w:rPr>
            </w:pPr>
            <w:r>
              <w:rPr>
                <w:rFonts w:ascii="Arial Narrow" w:hAnsi="Arial Narrow" w:cs="Calibri"/>
                <w:bCs/>
                <w:sz w:val="20"/>
                <w:szCs w:val="20"/>
              </w:rPr>
              <w:t xml:space="preserve">Дебиторская задолженность (до 12 месяцев), в том числе:</w:t>
            </w:r>
            <w:r>
              <w:rPr>
                <w:sz w:val="20"/>
                <w:szCs w:val="20"/>
              </w:rPr>
            </w:r>
            <w:r>
              <w:rPr>
                <w:sz w:val="20"/>
                <w:szCs w:val="20"/>
              </w:rPr>
            </w:r>
          </w:p>
        </w:tc>
        <w:tc>
          <w:tcPr>
            <w:tcBorders>
              <w:bottom w:val="single" w:color="000000" w:sz="4" w:space="0"/>
              <w:right w:val="single" w:color="000000" w:sz="4" w:space="0"/>
            </w:tcBorders>
            <w:tcW w:w="1124" w:type="dxa"/>
            <w:vAlign w:val="center"/>
            <w:textDirection w:val="lrTb"/>
            <w:noWrap w:val="false"/>
          </w:tcPr>
          <w:p>
            <w:pPr>
              <w:pStyle w:val="1063"/>
              <w:jc w:val="center"/>
              <w:widowControl w:val="off"/>
              <w:rPr>
                <w:sz w:val="20"/>
                <w:szCs w:val="20"/>
              </w:rPr>
            </w:pPr>
            <w:r>
              <w:rPr>
                <w:rFonts w:ascii="Arial Narrow" w:hAnsi="Arial Narrow" w:cs="Calibri"/>
                <w:bCs/>
                <w:color w:val="000000"/>
                <w:sz w:val="20"/>
                <w:szCs w:val="20"/>
              </w:rPr>
              <w:t xml:space="preserve">7 810 753</w:t>
            </w:r>
            <w:r>
              <w:rPr>
                <w:sz w:val="20"/>
                <w:szCs w:val="20"/>
              </w:rPr>
            </w:r>
            <w:r>
              <w:rPr>
                <w:sz w:val="20"/>
                <w:szCs w:val="20"/>
              </w:rPr>
            </w:r>
          </w:p>
        </w:tc>
        <w:tc>
          <w:tcPr>
            <w:tcBorders>
              <w:bottom w:val="single" w:color="000000" w:sz="4" w:space="0"/>
              <w:right w:val="single" w:color="000000" w:sz="4" w:space="0"/>
            </w:tcBorders>
            <w:tcW w:w="1267" w:type="dxa"/>
            <w:vAlign w:val="center"/>
            <w:textDirection w:val="lrTb"/>
            <w:noWrap w:val="false"/>
          </w:tcPr>
          <w:p>
            <w:pPr>
              <w:pStyle w:val="1063"/>
              <w:jc w:val="center"/>
              <w:widowControl w:val="off"/>
              <w:rPr>
                <w:sz w:val="20"/>
                <w:szCs w:val="20"/>
              </w:rPr>
            </w:pPr>
            <w:r>
              <w:rPr>
                <w:rFonts w:ascii="Arial Narrow" w:hAnsi="Arial Narrow" w:cs="Calibri"/>
                <w:bCs/>
                <w:color w:val="000000"/>
                <w:sz w:val="20"/>
                <w:szCs w:val="20"/>
              </w:rPr>
              <w:t xml:space="preserve">10 006 117</w:t>
            </w:r>
            <w:r>
              <w:rPr>
                <w:sz w:val="20"/>
                <w:szCs w:val="20"/>
              </w:rPr>
            </w:r>
            <w:r>
              <w:rPr>
                <w:sz w:val="20"/>
                <w:szCs w:val="20"/>
              </w:rPr>
            </w:r>
          </w:p>
        </w:tc>
        <w:tc>
          <w:tcPr>
            <w:tcBorders>
              <w:bottom w:val="single" w:color="000000" w:sz="4" w:space="0"/>
              <w:right w:val="single" w:color="000000" w:sz="4" w:space="0"/>
            </w:tcBorders>
            <w:tcW w:w="1100" w:type="dxa"/>
            <w:vAlign w:val="center"/>
            <w:textDirection w:val="lrTb"/>
            <w:noWrap w:val="false"/>
          </w:tcPr>
          <w:p>
            <w:pPr>
              <w:pStyle w:val="1063"/>
              <w:jc w:val="center"/>
              <w:widowControl w:val="off"/>
              <w:rPr>
                <w:sz w:val="20"/>
                <w:szCs w:val="20"/>
              </w:rPr>
            </w:pPr>
            <w:r>
              <w:rPr>
                <w:rFonts w:ascii="Arial Narrow" w:hAnsi="Arial Narrow" w:cs="Calibri"/>
                <w:bCs/>
                <w:color w:val="000000"/>
                <w:sz w:val="20"/>
                <w:szCs w:val="20"/>
              </w:rPr>
              <w:t xml:space="preserve">9 690 441</w:t>
            </w:r>
            <w:r>
              <w:rPr>
                <w:sz w:val="20"/>
                <w:szCs w:val="20"/>
              </w:rPr>
            </w:r>
            <w:r>
              <w:rPr>
                <w:sz w:val="20"/>
                <w:szCs w:val="20"/>
              </w:rPr>
            </w:r>
          </w:p>
        </w:tc>
        <w:tc>
          <w:tcPr>
            <w:tcBorders>
              <w:bottom w:val="single" w:color="000000" w:sz="4" w:space="0"/>
              <w:right w:val="single" w:color="000000" w:sz="4" w:space="0"/>
            </w:tcBorders>
            <w:tcW w:w="1121" w:type="dxa"/>
            <w:vAlign w:val="center"/>
            <w:textDirection w:val="lrTb"/>
            <w:noWrap w:val="false"/>
          </w:tcPr>
          <w:p>
            <w:pPr>
              <w:pStyle w:val="1063"/>
              <w:jc w:val="center"/>
              <w:widowControl w:val="off"/>
              <w:rPr>
                <w:sz w:val="20"/>
                <w:szCs w:val="20"/>
              </w:rPr>
            </w:pPr>
            <w:r>
              <w:rPr>
                <w:rFonts w:ascii="Arial Narrow" w:hAnsi="Arial Narrow" w:cs="Calibri"/>
                <w:bCs/>
                <w:color w:val="000000"/>
                <w:sz w:val="20"/>
                <w:szCs w:val="20"/>
              </w:rPr>
              <w:t xml:space="preserve">96,8</w:t>
            </w:r>
            <w:r>
              <w:rPr>
                <w:sz w:val="20"/>
                <w:szCs w:val="20"/>
              </w:rPr>
            </w:r>
            <w:r>
              <w:rPr>
                <w:sz w:val="20"/>
                <w:szCs w:val="20"/>
              </w:rPr>
            </w:r>
          </w:p>
        </w:tc>
      </w:tr>
      <w:tr>
        <w:trPr>
          <w:jc w:val="center"/>
          <w:trHeight w:val="53"/>
        </w:trPr>
        <w:tc>
          <w:tcPr>
            <w:tcBorders>
              <w:left w:val="single" w:color="000000" w:sz="4" w:space="0"/>
              <w:bottom w:val="single" w:color="000000" w:sz="4" w:space="0"/>
              <w:right w:val="single" w:color="000000" w:sz="4" w:space="0"/>
            </w:tcBorders>
            <w:tcW w:w="48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2.1</w:t>
            </w:r>
            <w:r>
              <w:rPr>
                <w:sz w:val="20"/>
                <w:szCs w:val="20"/>
              </w:rPr>
            </w:r>
            <w:r>
              <w:rPr>
                <w:sz w:val="20"/>
                <w:szCs w:val="20"/>
              </w:rPr>
            </w:r>
          </w:p>
        </w:tc>
        <w:tc>
          <w:tcPr>
            <w:tcBorders>
              <w:bottom w:val="single" w:color="000000" w:sz="4" w:space="0"/>
              <w:right w:val="single" w:color="000000" w:sz="4" w:space="0"/>
            </w:tcBorders>
            <w:tcW w:w="5011" w:type="dxa"/>
            <w:vAlign w:val="center"/>
            <w:textDirection w:val="lrTb"/>
            <w:noWrap w:val="false"/>
          </w:tcPr>
          <w:p>
            <w:pPr>
              <w:pStyle w:val="1063"/>
              <w:jc w:val="both"/>
              <w:widowControl w:val="off"/>
              <w:rPr>
                <w:sz w:val="20"/>
                <w:szCs w:val="20"/>
              </w:rPr>
            </w:pPr>
            <w:r>
              <w:rPr>
                <w:rFonts w:ascii="Arial Narrow" w:hAnsi="Arial Narrow" w:cs="Calibri"/>
                <w:sz w:val="20"/>
                <w:szCs w:val="20"/>
              </w:rPr>
              <w:t xml:space="preserve">Покупатели и заказчики</w:t>
            </w:r>
            <w:r>
              <w:rPr>
                <w:sz w:val="20"/>
                <w:szCs w:val="20"/>
              </w:rPr>
            </w:r>
            <w:r>
              <w:rPr>
                <w:sz w:val="20"/>
                <w:szCs w:val="20"/>
              </w:rPr>
            </w:r>
          </w:p>
        </w:tc>
        <w:tc>
          <w:tcPr>
            <w:tcBorders>
              <w:bottom w:val="single" w:color="000000" w:sz="4" w:space="0"/>
              <w:right w:val="single" w:color="000000" w:sz="4" w:space="0"/>
            </w:tcBorders>
            <w:tcW w:w="1124"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2 837 106</w:t>
            </w:r>
            <w:r>
              <w:rPr>
                <w:sz w:val="20"/>
                <w:szCs w:val="20"/>
              </w:rPr>
            </w:r>
            <w:r>
              <w:rPr>
                <w:sz w:val="20"/>
                <w:szCs w:val="20"/>
              </w:rPr>
            </w:r>
          </w:p>
        </w:tc>
        <w:tc>
          <w:tcPr>
            <w:tcBorders>
              <w:bottom w:val="single" w:color="000000" w:sz="4" w:space="0"/>
              <w:right w:val="single" w:color="000000" w:sz="4" w:space="0"/>
            </w:tcBorders>
            <w:tcW w:w="1267"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2 111 794</w:t>
            </w:r>
            <w:r>
              <w:rPr>
                <w:sz w:val="20"/>
                <w:szCs w:val="20"/>
              </w:rPr>
            </w:r>
            <w:r>
              <w:rPr>
                <w:sz w:val="20"/>
                <w:szCs w:val="20"/>
              </w:rPr>
            </w:r>
          </w:p>
        </w:tc>
        <w:tc>
          <w:tcPr>
            <w:tcBorders>
              <w:bottom w:val="single" w:color="000000" w:sz="4" w:space="0"/>
              <w:right w:val="single" w:color="000000" w:sz="4" w:space="0"/>
            </w:tcBorders>
            <w:tcW w:w="1100"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2 779 339</w:t>
            </w:r>
            <w:r>
              <w:rPr>
                <w:sz w:val="20"/>
                <w:szCs w:val="20"/>
              </w:rPr>
            </w:r>
            <w:r>
              <w:rPr>
                <w:sz w:val="20"/>
                <w:szCs w:val="20"/>
              </w:rPr>
            </w:r>
          </w:p>
        </w:tc>
        <w:tc>
          <w:tcPr>
            <w:tcBorders>
              <w:bottom w:val="single" w:color="000000" w:sz="4" w:space="0"/>
              <w:right w:val="single" w:color="000000" w:sz="4" w:space="0"/>
            </w:tcBorders>
            <w:tcW w:w="1121"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131,6</w:t>
            </w:r>
            <w:r>
              <w:rPr>
                <w:sz w:val="20"/>
                <w:szCs w:val="20"/>
              </w:rPr>
            </w:r>
            <w:r>
              <w:rPr>
                <w:sz w:val="20"/>
                <w:szCs w:val="20"/>
              </w:rPr>
            </w:r>
          </w:p>
        </w:tc>
      </w:tr>
      <w:tr>
        <w:trPr>
          <w:jc w:val="center"/>
          <w:trHeight w:val="53"/>
        </w:trPr>
        <w:tc>
          <w:tcPr>
            <w:tcBorders>
              <w:left w:val="single" w:color="000000" w:sz="4" w:space="0"/>
              <w:bottom w:val="single" w:color="000000" w:sz="4" w:space="0"/>
              <w:right w:val="single" w:color="000000" w:sz="4" w:space="0"/>
            </w:tcBorders>
            <w:tcW w:w="48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2.2</w:t>
            </w:r>
            <w:r>
              <w:rPr>
                <w:sz w:val="20"/>
                <w:szCs w:val="20"/>
              </w:rPr>
            </w:r>
            <w:r>
              <w:rPr>
                <w:sz w:val="20"/>
                <w:szCs w:val="20"/>
              </w:rPr>
            </w:r>
          </w:p>
        </w:tc>
        <w:tc>
          <w:tcPr>
            <w:tcBorders>
              <w:bottom w:val="single" w:color="000000" w:sz="4" w:space="0"/>
              <w:right w:val="single" w:color="000000" w:sz="4" w:space="0"/>
            </w:tcBorders>
            <w:tcW w:w="5011" w:type="dxa"/>
            <w:vAlign w:val="center"/>
            <w:textDirection w:val="lrTb"/>
            <w:noWrap w:val="false"/>
          </w:tcPr>
          <w:p>
            <w:pPr>
              <w:pStyle w:val="1063"/>
              <w:jc w:val="both"/>
              <w:widowControl w:val="off"/>
              <w:rPr>
                <w:sz w:val="20"/>
                <w:szCs w:val="20"/>
              </w:rPr>
            </w:pPr>
            <w:r>
              <w:rPr>
                <w:rFonts w:ascii="Arial Narrow" w:hAnsi="Arial Narrow" w:cs="Calibri"/>
                <w:sz w:val="20"/>
                <w:szCs w:val="20"/>
              </w:rPr>
              <w:t xml:space="preserve">Векселя к получению</w:t>
            </w:r>
            <w:r>
              <w:rPr>
                <w:sz w:val="20"/>
                <w:szCs w:val="20"/>
              </w:rPr>
            </w:r>
            <w:r>
              <w:rPr>
                <w:sz w:val="20"/>
                <w:szCs w:val="20"/>
              </w:rPr>
            </w:r>
          </w:p>
        </w:tc>
        <w:tc>
          <w:tcPr>
            <w:tcBorders>
              <w:bottom w:val="single" w:color="000000" w:sz="4" w:space="0"/>
              <w:right w:val="single" w:color="000000" w:sz="4" w:space="0"/>
            </w:tcBorders>
            <w:tcW w:w="1124"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c>
          <w:tcPr>
            <w:tcBorders>
              <w:bottom w:val="single" w:color="000000" w:sz="4" w:space="0"/>
              <w:right w:val="single" w:color="000000" w:sz="4" w:space="0"/>
            </w:tcBorders>
            <w:tcW w:w="1267"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c>
          <w:tcPr>
            <w:tcBorders>
              <w:bottom w:val="single" w:color="000000" w:sz="4" w:space="0"/>
              <w:right w:val="single" w:color="000000" w:sz="4" w:space="0"/>
            </w:tcBorders>
            <w:tcW w:w="1100"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c>
          <w:tcPr>
            <w:tcBorders>
              <w:bottom w:val="single" w:color="000000" w:sz="4" w:space="0"/>
              <w:right w:val="single" w:color="000000" w:sz="4" w:space="0"/>
            </w:tcBorders>
            <w:tcW w:w="1121"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r>
      <w:tr>
        <w:trPr>
          <w:jc w:val="center"/>
          <w:trHeight w:val="53"/>
        </w:trPr>
        <w:tc>
          <w:tcPr>
            <w:tcBorders>
              <w:left w:val="single" w:color="000000" w:sz="4" w:space="0"/>
              <w:bottom w:val="single" w:color="000000" w:sz="4" w:space="0"/>
              <w:right w:val="single" w:color="000000" w:sz="4" w:space="0"/>
            </w:tcBorders>
            <w:tcW w:w="48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2.3</w:t>
            </w:r>
            <w:r>
              <w:rPr>
                <w:sz w:val="20"/>
                <w:szCs w:val="20"/>
              </w:rPr>
            </w:r>
            <w:r>
              <w:rPr>
                <w:sz w:val="20"/>
                <w:szCs w:val="20"/>
              </w:rPr>
            </w:r>
          </w:p>
        </w:tc>
        <w:tc>
          <w:tcPr>
            <w:tcBorders>
              <w:bottom w:val="single" w:color="000000" w:sz="4" w:space="0"/>
              <w:right w:val="single" w:color="000000" w:sz="4" w:space="0"/>
            </w:tcBorders>
            <w:tcW w:w="5011" w:type="dxa"/>
            <w:vAlign w:val="center"/>
            <w:textDirection w:val="lrTb"/>
            <w:noWrap w:val="false"/>
          </w:tcPr>
          <w:p>
            <w:pPr>
              <w:pStyle w:val="1063"/>
              <w:jc w:val="both"/>
              <w:widowControl w:val="off"/>
              <w:rPr>
                <w:sz w:val="20"/>
                <w:szCs w:val="20"/>
              </w:rPr>
            </w:pPr>
            <w:r>
              <w:rPr>
                <w:rFonts w:ascii="Arial Narrow" w:hAnsi="Arial Narrow" w:cs="Calibri"/>
                <w:sz w:val="20"/>
                <w:szCs w:val="20"/>
              </w:rPr>
              <w:t xml:space="preserve">Задолженность дочерних обществ</w:t>
            </w:r>
            <w:r>
              <w:rPr>
                <w:sz w:val="20"/>
                <w:szCs w:val="20"/>
              </w:rPr>
            </w:r>
            <w:r>
              <w:rPr>
                <w:sz w:val="20"/>
                <w:szCs w:val="20"/>
              </w:rPr>
            </w:r>
          </w:p>
        </w:tc>
        <w:tc>
          <w:tcPr>
            <w:tcBorders>
              <w:bottom w:val="single" w:color="000000" w:sz="4" w:space="0"/>
              <w:right w:val="single" w:color="000000" w:sz="4" w:space="0"/>
            </w:tcBorders>
            <w:tcW w:w="1124"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c>
          <w:tcPr>
            <w:tcBorders>
              <w:bottom w:val="single" w:color="000000" w:sz="4" w:space="0"/>
              <w:right w:val="single" w:color="000000" w:sz="4" w:space="0"/>
            </w:tcBorders>
            <w:tcW w:w="1267"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c>
          <w:tcPr>
            <w:tcBorders>
              <w:bottom w:val="single" w:color="000000" w:sz="4" w:space="0"/>
              <w:right w:val="single" w:color="000000" w:sz="4" w:space="0"/>
            </w:tcBorders>
            <w:tcW w:w="1100"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c>
          <w:tcPr>
            <w:tcBorders>
              <w:bottom w:val="single" w:color="000000" w:sz="4" w:space="0"/>
              <w:right w:val="single" w:color="000000" w:sz="4" w:space="0"/>
            </w:tcBorders>
            <w:tcW w:w="1121"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r>
      <w:tr>
        <w:trPr>
          <w:jc w:val="center"/>
          <w:trHeight w:val="53"/>
        </w:trPr>
        <w:tc>
          <w:tcPr>
            <w:tcBorders>
              <w:left w:val="single" w:color="000000" w:sz="4" w:space="0"/>
              <w:bottom w:val="single" w:color="000000" w:sz="4" w:space="0"/>
              <w:right w:val="single" w:color="000000" w:sz="4" w:space="0"/>
            </w:tcBorders>
            <w:tcW w:w="48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2.4</w:t>
            </w:r>
            <w:r>
              <w:rPr>
                <w:sz w:val="20"/>
                <w:szCs w:val="20"/>
              </w:rPr>
            </w:r>
            <w:r>
              <w:rPr>
                <w:sz w:val="20"/>
                <w:szCs w:val="20"/>
              </w:rPr>
            </w:r>
          </w:p>
        </w:tc>
        <w:tc>
          <w:tcPr>
            <w:tcBorders>
              <w:bottom w:val="single" w:color="000000" w:sz="4" w:space="0"/>
              <w:right w:val="single" w:color="000000" w:sz="4" w:space="0"/>
            </w:tcBorders>
            <w:tcW w:w="5011" w:type="dxa"/>
            <w:vAlign w:val="center"/>
            <w:textDirection w:val="lrTb"/>
            <w:noWrap w:val="false"/>
          </w:tcPr>
          <w:p>
            <w:pPr>
              <w:pStyle w:val="1063"/>
              <w:jc w:val="both"/>
              <w:widowControl w:val="off"/>
              <w:rPr>
                <w:sz w:val="20"/>
                <w:szCs w:val="20"/>
              </w:rPr>
            </w:pPr>
            <w:r>
              <w:rPr>
                <w:rFonts w:ascii="Arial Narrow" w:hAnsi="Arial Narrow" w:cs="Calibri"/>
                <w:sz w:val="20"/>
                <w:szCs w:val="20"/>
              </w:rPr>
              <w:t xml:space="preserve">Задолженность участников по взносам в Уставный капитал</w:t>
            </w:r>
            <w:r>
              <w:rPr>
                <w:sz w:val="20"/>
                <w:szCs w:val="20"/>
              </w:rPr>
            </w:r>
            <w:r>
              <w:rPr>
                <w:sz w:val="20"/>
                <w:szCs w:val="20"/>
              </w:rPr>
            </w:r>
          </w:p>
        </w:tc>
        <w:tc>
          <w:tcPr>
            <w:tcBorders>
              <w:bottom w:val="single" w:color="000000" w:sz="4" w:space="0"/>
              <w:right w:val="single" w:color="000000" w:sz="4" w:space="0"/>
            </w:tcBorders>
            <w:tcW w:w="1124"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c>
          <w:tcPr>
            <w:tcBorders>
              <w:bottom w:val="single" w:color="000000" w:sz="4" w:space="0"/>
              <w:right w:val="single" w:color="000000" w:sz="4" w:space="0"/>
            </w:tcBorders>
            <w:tcW w:w="1267"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c>
          <w:tcPr>
            <w:tcBorders>
              <w:bottom w:val="single" w:color="000000" w:sz="4" w:space="0"/>
              <w:right w:val="single" w:color="000000" w:sz="4" w:space="0"/>
            </w:tcBorders>
            <w:tcW w:w="1100"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c>
          <w:tcPr>
            <w:tcBorders>
              <w:bottom w:val="single" w:color="000000" w:sz="4" w:space="0"/>
              <w:right w:val="single" w:color="000000" w:sz="4" w:space="0"/>
            </w:tcBorders>
            <w:tcW w:w="1121"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r>
      <w:tr>
        <w:trPr>
          <w:jc w:val="center"/>
          <w:trHeight w:val="53"/>
        </w:trPr>
        <w:tc>
          <w:tcPr>
            <w:tcBorders>
              <w:left w:val="single" w:color="000000" w:sz="4" w:space="0"/>
              <w:bottom w:val="single" w:color="000000" w:sz="4" w:space="0"/>
              <w:right w:val="single" w:color="000000" w:sz="4" w:space="0"/>
            </w:tcBorders>
            <w:tcW w:w="48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2.5</w:t>
            </w:r>
            <w:r>
              <w:rPr>
                <w:sz w:val="20"/>
                <w:szCs w:val="20"/>
              </w:rPr>
            </w:r>
            <w:r>
              <w:rPr>
                <w:sz w:val="20"/>
                <w:szCs w:val="20"/>
              </w:rPr>
            </w:r>
          </w:p>
        </w:tc>
        <w:tc>
          <w:tcPr>
            <w:tcBorders>
              <w:bottom w:val="single" w:color="000000" w:sz="4" w:space="0"/>
              <w:right w:val="single" w:color="000000" w:sz="4" w:space="0"/>
            </w:tcBorders>
            <w:tcW w:w="5011" w:type="dxa"/>
            <w:vAlign w:val="center"/>
            <w:textDirection w:val="lrTb"/>
            <w:noWrap w:val="false"/>
          </w:tcPr>
          <w:p>
            <w:pPr>
              <w:pStyle w:val="1063"/>
              <w:jc w:val="both"/>
              <w:widowControl w:val="off"/>
              <w:rPr>
                <w:sz w:val="20"/>
                <w:szCs w:val="20"/>
              </w:rPr>
            </w:pPr>
            <w:r>
              <w:rPr>
                <w:rFonts w:ascii="Arial Narrow" w:hAnsi="Arial Narrow" w:cs="Calibri"/>
                <w:sz w:val="20"/>
                <w:szCs w:val="20"/>
              </w:rPr>
              <w:t xml:space="preserve">Авансы выданные</w:t>
            </w:r>
            <w:r>
              <w:rPr>
                <w:sz w:val="20"/>
                <w:szCs w:val="20"/>
              </w:rPr>
            </w:r>
            <w:r>
              <w:rPr>
                <w:sz w:val="20"/>
                <w:szCs w:val="20"/>
              </w:rPr>
            </w:r>
          </w:p>
        </w:tc>
        <w:tc>
          <w:tcPr>
            <w:tcBorders>
              <w:bottom w:val="single" w:color="000000" w:sz="4" w:space="0"/>
              <w:right w:val="single" w:color="000000" w:sz="4" w:space="0"/>
            </w:tcBorders>
            <w:tcW w:w="1124"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1 316 880</w:t>
            </w:r>
            <w:r>
              <w:rPr>
                <w:sz w:val="20"/>
                <w:szCs w:val="20"/>
              </w:rPr>
            </w:r>
            <w:r>
              <w:rPr>
                <w:sz w:val="20"/>
                <w:szCs w:val="20"/>
              </w:rPr>
            </w:r>
          </w:p>
        </w:tc>
        <w:tc>
          <w:tcPr>
            <w:tcBorders>
              <w:bottom w:val="single" w:color="000000" w:sz="4" w:space="0"/>
              <w:right w:val="single" w:color="000000" w:sz="4" w:space="0"/>
            </w:tcBorders>
            <w:tcW w:w="1267"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1 822 216</w:t>
            </w:r>
            <w:r>
              <w:rPr>
                <w:sz w:val="20"/>
                <w:szCs w:val="20"/>
              </w:rPr>
            </w:r>
            <w:r>
              <w:rPr>
                <w:sz w:val="20"/>
                <w:szCs w:val="20"/>
              </w:rPr>
            </w:r>
          </w:p>
        </w:tc>
        <w:tc>
          <w:tcPr>
            <w:tcBorders>
              <w:bottom w:val="single" w:color="000000" w:sz="4" w:space="0"/>
              <w:right w:val="single" w:color="000000" w:sz="4" w:space="0"/>
            </w:tcBorders>
            <w:tcW w:w="1100"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2 088 020</w:t>
            </w:r>
            <w:r>
              <w:rPr>
                <w:sz w:val="20"/>
                <w:szCs w:val="20"/>
              </w:rPr>
            </w:r>
            <w:r>
              <w:rPr>
                <w:sz w:val="20"/>
                <w:szCs w:val="20"/>
              </w:rPr>
            </w:r>
          </w:p>
        </w:tc>
        <w:tc>
          <w:tcPr>
            <w:tcBorders>
              <w:bottom w:val="single" w:color="000000" w:sz="4" w:space="0"/>
              <w:right w:val="single" w:color="000000" w:sz="4" w:space="0"/>
            </w:tcBorders>
            <w:tcW w:w="1121"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114,6</w:t>
            </w:r>
            <w:r>
              <w:rPr>
                <w:sz w:val="20"/>
                <w:szCs w:val="20"/>
              </w:rPr>
            </w:r>
            <w:r>
              <w:rPr>
                <w:sz w:val="20"/>
                <w:szCs w:val="20"/>
              </w:rPr>
            </w:r>
          </w:p>
        </w:tc>
      </w:tr>
      <w:tr>
        <w:trPr>
          <w:jc w:val="center"/>
          <w:trHeight w:val="53"/>
        </w:trPr>
        <w:tc>
          <w:tcPr>
            <w:tcBorders>
              <w:left w:val="single" w:color="000000" w:sz="4" w:space="0"/>
              <w:bottom w:val="single" w:color="000000" w:sz="4" w:space="0"/>
              <w:right w:val="single" w:color="000000" w:sz="4" w:space="0"/>
            </w:tcBorders>
            <w:tcW w:w="489"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2.6</w:t>
            </w:r>
            <w:r>
              <w:rPr>
                <w:sz w:val="20"/>
                <w:szCs w:val="20"/>
              </w:rPr>
            </w:r>
            <w:r>
              <w:rPr>
                <w:sz w:val="20"/>
                <w:szCs w:val="20"/>
              </w:rPr>
            </w:r>
          </w:p>
        </w:tc>
        <w:tc>
          <w:tcPr>
            <w:tcBorders>
              <w:bottom w:val="single" w:color="000000" w:sz="4" w:space="0"/>
              <w:right w:val="single" w:color="000000" w:sz="4" w:space="0"/>
            </w:tcBorders>
            <w:tcW w:w="5011" w:type="dxa"/>
            <w:vAlign w:val="center"/>
            <w:textDirection w:val="lrTb"/>
            <w:noWrap w:val="false"/>
          </w:tcPr>
          <w:p>
            <w:pPr>
              <w:pStyle w:val="1063"/>
              <w:jc w:val="both"/>
              <w:widowControl w:val="off"/>
              <w:rPr>
                <w:sz w:val="20"/>
                <w:szCs w:val="20"/>
              </w:rPr>
            </w:pPr>
            <w:r>
              <w:rPr>
                <w:rFonts w:ascii="Arial Narrow" w:hAnsi="Arial Narrow" w:cs="Calibri"/>
                <w:sz w:val="20"/>
                <w:szCs w:val="20"/>
              </w:rPr>
              <w:t xml:space="preserve">Прочие дебиторы</w:t>
            </w:r>
            <w:r>
              <w:rPr>
                <w:sz w:val="20"/>
                <w:szCs w:val="20"/>
              </w:rPr>
            </w:r>
            <w:r>
              <w:rPr>
                <w:sz w:val="20"/>
                <w:szCs w:val="20"/>
              </w:rPr>
            </w:r>
          </w:p>
        </w:tc>
        <w:tc>
          <w:tcPr>
            <w:tcBorders>
              <w:bottom w:val="single" w:color="000000" w:sz="4" w:space="0"/>
              <w:right w:val="single" w:color="000000" w:sz="4" w:space="0"/>
            </w:tcBorders>
            <w:tcW w:w="1124"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3 656 767</w:t>
            </w:r>
            <w:r>
              <w:rPr>
                <w:sz w:val="20"/>
                <w:szCs w:val="20"/>
              </w:rPr>
            </w:r>
            <w:r>
              <w:rPr>
                <w:sz w:val="20"/>
                <w:szCs w:val="20"/>
              </w:rPr>
            </w:r>
          </w:p>
        </w:tc>
        <w:tc>
          <w:tcPr>
            <w:tcBorders>
              <w:bottom w:val="single" w:color="000000" w:sz="4" w:space="0"/>
              <w:right w:val="single" w:color="000000" w:sz="4" w:space="0"/>
            </w:tcBorders>
            <w:tcW w:w="1267"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6 072 107</w:t>
            </w:r>
            <w:r>
              <w:rPr>
                <w:sz w:val="20"/>
                <w:szCs w:val="20"/>
              </w:rPr>
            </w:r>
            <w:r>
              <w:rPr>
                <w:sz w:val="20"/>
                <w:szCs w:val="20"/>
              </w:rPr>
            </w:r>
          </w:p>
        </w:tc>
        <w:tc>
          <w:tcPr>
            <w:tcBorders>
              <w:bottom w:val="single" w:color="000000" w:sz="4" w:space="0"/>
              <w:right w:val="single" w:color="000000" w:sz="4" w:space="0"/>
            </w:tcBorders>
            <w:tcW w:w="1100"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4 823 082</w:t>
            </w:r>
            <w:r>
              <w:rPr>
                <w:sz w:val="20"/>
                <w:szCs w:val="20"/>
              </w:rPr>
            </w:r>
            <w:r>
              <w:rPr>
                <w:sz w:val="20"/>
                <w:szCs w:val="20"/>
              </w:rPr>
            </w:r>
          </w:p>
        </w:tc>
        <w:tc>
          <w:tcPr>
            <w:tcBorders>
              <w:bottom w:val="single" w:color="000000" w:sz="4" w:space="0"/>
              <w:right w:val="single" w:color="000000" w:sz="4" w:space="0"/>
            </w:tcBorders>
            <w:tcW w:w="1121"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79,4</w:t>
            </w:r>
            <w:r>
              <w:rPr>
                <w:sz w:val="20"/>
                <w:szCs w:val="20"/>
              </w:rPr>
            </w:r>
            <w:r>
              <w:rPr>
                <w:sz w:val="20"/>
                <w:szCs w:val="20"/>
              </w:rPr>
            </w:r>
          </w:p>
        </w:tc>
      </w:tr>
    </w:tbl>
    <w:p>
      <w:pPr>
        <w:pStyle w:val="1063"/>
        <w:ind w:firstLine="709"/>
        <w:jc w:val="both"/>
        <w:rPr>
          <w:rFonts w:ascii="Arial Narrow" w:hAnsi="Arial Narrow" w:cs="Calibri"/>
          <w:lang w:eastAsia="ru-RU"/>
        </w:rPr>
      </w:pPr>
      <w:r>
        <w:rPr>
          <w:rFonts w:ascii="Arial Narrow" w:hAnsi="Arial Narrow" w:cs="Calibri"/>
          <w:lang w:eastAsia="ru-RU"/>
        </w:rPr>
      </w:r>
      <w:r>
        <w:rPr>
          <w:rFonts w:ascii="Arial Narrow" w:hAnsi="Arial Narrow" w:cs="Calibri"/>
          <w:lang w:eastAsia="ru-RU"/>
        </w:rPr>
      </w:r>
      <w:r>
        <w:rPr>
          <w:rFonts w:ascii="Arial Narrow" w:hAnsi="Arial Narrow" w:cs="Calibri"/>
          <w:lang w:eastAsia="ru-RU"/>
        </w:rPr>
      </w:r>
    </w:p>
    <w:p>
      <w:pPr>
        <w:pStyle w:val="1063"/>
        <w:ind w:firstLine="567"/>
        <w:jc w:val="both"/>
      </w:pPr>
      <w:r>
        <w:rPr>
          <w:rFonts w:ascii="Arial Narrow" w:hAnsi="Arial Narrow" w:cs="Calibri"/>
          <w:lang w:eastAsia="ru-RU"/>
        </w:rPr>
        <w:t xml:space="preserve">По состоянию на 31.12.2024 долгосрочная дебиторская задолженность (свыше 12 месяцев) составила 13 908 тыс. рублей, краткосрочная дебиторская задолженность (до 12 месяцев) составила </w:t>
      </w:r>
      <w:r>
        <w:rPr>
          <w:rFonts w:ascii="Arial Narrow" w:hAnsi="Arial Narrow" w:cs="Calibri"/>
          <w:lang w:eastAsia="ru-RU"/>
        </w:rPr>
        <w:br/>
        <w:t xml:space="preserve">9 690 441 тыс. рублей.</w:t>
      </w:r>
      <w:r/>
    </w:p>
    <w:p>
      <w:pPr>
        <w:pStyle w:val="1063"/>
        <w:ind w:firstLine="567"/>
        <w:jc w:val="both"/>
      </w:pPr>
      <w:r>
        <w:rPr>
          <w:rFonts w:ascii="Arial Narrow" w:hAnsi="Arial Narrow" w:cs="Calibri"/>
          <w:lang w:eastAsia="ru-RU"/>
        </w:rPr>
        <w:t xml:space="preserve">По сравнению с 2023 годом долгосрочная задолженность в целом снизилась на 69,3 % </w:t>
      </w:r>
      <w:r>
        <w:rPr>
          <w:rFonts w:ascii="Arial Narrow" w:hAnsi="Arial Narrow" w:cs="Calibri"/>
          <w:lang w:eastAsia="ru-RU"/>
        </w:rPr>
        <w:br/>
        <w:t xml:space="preserve">(или на 31 451 тыс. рублей) в основном за счет снижения обязательств покупателей и заказчиков </w:t>
      </w:r>
      <w:r>
        <w:rPr>
          <w:rFonts w:ascii="Arial Narrow" w:hAnsi="Arial Narrow" w:cs="Calibri"/>
          <w:lang w:eastAsia="ru-RU"/>
        </w:rPr>
        <w:br/>
        <w:t xml:space="preserve">на 34 224 тыс. рублей.</w:t>
      </w:r>
      <w:r/>
    </w:p>
    <w:p>
      <w:pPr>
        <w:pStyle w:val="1063"/>
        <w:ind w:firstLine="567"/>
        <w:jc w:val="both"/>
      </w:pPr>
      <w:r>
        <w:rPr>
          <w:rFonts w:ascii="Arial Narrow" w:hAnsi="Arial Narrow" w:cs="Calibri"/>
          <w:lang w:eastAsia="ru-RU"/>
        </w:rPr>
        <w:t xml:space="preserve">Краткосрочная дебиторская задолженность по сравнению с 2023 годом снизилась на 3,2 % </w:t>
      </w:r>
      <w:r>
        <w:rPr>
          <w:rFonts w:ascii="Arial Narrow" w:hAnsi="Arial Narrow" w:cs="Calibri"/>
          <w:lang w:eastAsia="ru-RU"/>
        </w:rPr>
        <w:br/>
        <w:t xml:space="preserve">(или на 315 676 тыс. рублей) за счет снижения прочих дебиторов на 20,6 % (или на 1 249 025 тыс. рублей), в </w:t>
      </w:r>
      <w:r>
        <w:rPr>
          <w:rFonts w:ascii="Arial Narrow" w:hAnsi="Arial Narrow" w:cs="Calibri"/>
          <w:lang w:eastAsia="ru-RU"/>
        </w:rPr>
        <w:t xml:space="preserve">том числе: снижение переплаты по налогам на 362 827 тыс. рублей, снижение субсидии на возмещение недополученных доходов за отпуще</w:t>
      </w:r>
      <w:r>
        <w:rPr>
          <w:rFonts w:ascii="Arial Narrow" w:hAnsi="Arial Narrow" w:cs="Calibri"/>
          <w:lang w:eastAsia="ru-RU"/>
        </w:rPr>
        <w:t xml:space="preserve">нные энергоресурсы по сниженным тарифам на 951 796 тыс. рублей при одновременном росте авансов выданных на 14,6 % (или на 265 804 тыс. рублей) в том числе: авансы выданные поставщикам топлива (+) 381 304 тыс. рублей, авансы выданные поставщикам материалов </w:t>
      </w:r>
      <w:r>
        <w:rPr>
          <w:rFonts w:ascii="Arial Narrow" w:hAnsi="Arial Narrow" w:cs="Calibri"/>
          <w:lang w:eastAsia="ru-RU"/>
        </w:rPr>
        <w:br/>
        <w:t xml:space="preserve">(+) 29 086 тыс. рублей, авансы выданные подрядчикам по ремонтам (+) 18 011 </w:t>
      </w:r>
      <w:r>
        <w:rPr>
          <w:rFonts w:ascii="Arial Narrow" w:hAnsi="Arial Narrow" w:cs="Calibri"/>
          <w:lang w:eastAsia="ru-RU"/>
        </w:rPr>
        <w:t xml:space="preserve">тыс. рублей, авансы выданные прочим поставщикам и подрядчикам (-) 162 597 тыс. рублей; задолженности покупателей и заказчиков на 31,6 % (или на 667 545 тыс. рублей) в основном за счет роста задолженности потребителей энергоресурсов (+) 617 379 тыс. рублей.</w:t>
      </w:r>
      <w:r/>
    </w:p>
    <w:p>
      <w:pPr>
        <w:pStyle w:val="1063"/>
        <w:ind w:firstLine="709"/>
        <w:jc w:val="both"/>
        <w:rPr>
          <w:rFonts w:ascii="Arial Narrow" w:hAnsi="Arial Narrow" w:cs="Calibri"/>
          <w:lang w:eastAsia="ru-RU"/>
        </w:rPr>
      </w:pPr>
      <w:r>
        <w:rPr>
          <w:rFonts w:ascii="Arial Narrow" w:hAnsi="Arial Narrow" w:cs="Calibri"/>
          <w:lang w:eastAsia="ru-RU"/>
        </w:rPr>
      </w:r>
      <w:r>
        <w:rPr>
          <w:rFonts w:ascii="Arial Narrow" w:hAnsi="Arial Narrow" w:cs="Calibri"/>
          <w:lang w:eastAsia="ru-RU"/>
        </w:rPr>
      </w:r>
      <w:r>
        <w:rPr>
          <w:rFonts w:ascii="Arial Narrow" w:hAnsi="Arial Narrow" w:cs="Calibri"/>
          <w:lang w:eastAsia="ru-RU"/>
        </w:rPr>
      </w:r>
    </w:p>
    <w:p>
      <w:pPr>
        <w:pStyle w:val="763"/>
        <w:jc w:val="both"/>
        <w:keepLines/>
        <w:spacing w:after="0" w:line="276" w:lineRule="auto"/>
        <w:rPr>
          <w:rFonts w:ascii="Arial Narrow" w:hAnsi="Arial Narrow" w:eastAsiaTheme="majorEastAsia" w:cstheme="minorHAnsi"/>
          <w:color w:val="314e87"/>
          <w:lang w:eastAsia="en-US" w:bidi="ru-RU"/>
        </w:rPr>
      </w:pPr>
      <w:r/>
      <w:bookmarkStart w:id="112" w:name="_Toc193883492"/>
      <w:r/>
      <w:bookmarkStart w:id="113" w:name="_Toc196126992"/>
      <w:r>
        <w:rPr>
          <w:rFonts w:ascii="Arial Narrow" w:hAnsi="Arial Narrow" w:eastAsiaTheme="majorEastAsia" w:cstheme="minorHAnsi"/>
          <w:b/>
          <w:color w:val="314e87"/>
          <w:sz w:val="24"/>
          <w:szCs w:val="24"/>
          <w:lang w:eastAsia="en-US" w:bidi="ru-RU"/>
        </w:rPr>
        <w:t xml:space="preserve">4.5. Анализ кредиторской задолженности и краткосрочных займов и кредитов</w:t>
      </w:r>
      <w:bookmarkEnd w:id="112"/>
      <w:r/>
      <w:bookmarkEnd w:id="113"/>
      <w:r>
        <w:rPr>
          <w:rFonts w:ascii="Arial Narrow" w:hAnsi="Arial Narrow" w:eastAsiaTheme="majorEastAsia" w:cstheme="minorHAnsi"/>
          <w:color w:val="314e87"/>
          <w:lang w:eastAsia="en-US" w:bidi="ru-RU"/>
        </w:rPr>
      </w:r>
      <w:r>
        <w:rPr>
          <w:rFonts w:ascii="Arial Narrow" w:hAnsi="Arial Narrow" w:eastAsiaTheme="majorEastAsia" w:cstheme="minorHAnsi"/>
          <w:color w:val="314e87"/>
          <w:lang w:eastAsia="en-US" w:bidi="ru-RU"/>
        </w:rPr>
      </w:r>
    </w:p>
    <w:p>
      <w:pPr>
        <w:pStyle w:val="1063"/>
        <w:jc w:val="right"/>
      </w:pPr>
      <w:r>
        <w:rPr>
          <w:rFonts w:ascii="Arial Narrow" w:hAnsi="Arial Narrow" w:eastAsia="Calibri" w:cs="Calibri"/>
          <w:i/>
          <w:lang w:eastAsia="ja-JP"/>
        </w:rPr>
        <w:t xml:space="preserve">Таблица №</w:t>
      </w:r>
      <w:r>
        <w:rPr>
          <w:rFonts w:ascii="Arial Narrow" w:hAnsi="Arial Narrow" w:eastAsia="Calibri" w:cs="Calibri"/>
          <w:i/>
          <w:lang w:val="en-US" w:eastAsia="ja-JP"/>
        </w:rPr>
        <w:t xml:space="preserve"> 2</w:t>
      </w:r>
      <w:r>
        <w:rPr>
          <w:rFonts w:ascii="Arial Narrow" w:hAnsi="Arial Narrow" w:eastAsia="Calibri" w:cs="Calibri"/>
          <w:i/>
          <w:lang w:eastAsia="ja-JP"/>
        </w:rPr>
        <w:t xml:space="preserve">3, тыс. рублей</w:t>
      </w:r>
      <w:r/>
    </w:p>
    <w:tbl>
      <w:tblPr>
        <w:tblW w:w="10117" w:type="dxa"/>
        <w:tblInd w:w="113" w:type="dxa"/>
        <w:tblLayout w:type="fixed"/>
        <w:tblLook w:val="04A0" w:firstRow="1" w:lastRow="0" w:firstColumn="1" w:lastColumn="0" w:noHBand="0" w:noVBand="1"/>
      </w:tblPr>
      <w:tblGrid>
        <w:gridCol w:w="562"/>
        <w:gridCol w:w="5393"/>
        <w:gridCol w:w="997"/>
        <w:gridCol w:w="986"/>
        <w:gridCol w:w="1193"/>
        <w:gridCol w:w="986"/>
      </w:tblGrid>
      <w:tr>
        <w:trPr>
          <w:trHeight w:val="339"/>
          <w:tblHeader/>
        </w:trPr>
        <w:tc>
          <w:tcPr>
            <w:tcBorders>
              <w:top w:val="single" w:color="000000" w:sz="4" w:space="0"/>
              <w:left w:val="single" w:color="000000" w:sz="4" w:space="0"/>
              <w:bottom w:val="single" w:color="000000" w:sz="4" w:space="0"/>
              <w:right w:val="single" w:color="000000" w:sz="4" w:space="0"/>
            </w:tcBorders>
            <w:tcW w:w="562" w:type="dxa"/>
            <w:vAlign w:val="center"/>
            <w:textDirection w:val="lrTb"/>
            <w:noWrap w:val="false"/>
          </w:tcPr>
          <w:p>
            <w:pPr>
              <w:pStyle w:val="1063"/>
              <w:jc w:val="center"/>
              <w:widowControl w:val="off"/>
              <w:rPr>
                <w:sz w:val="20"/>
                <w:szCs w:val="20"/>
              </w:rPr>
            </w:pPr>
            <w:r>
              <w:rPr>
                <w:rFonts w:ascii="Arial Narrow" w:hAnsi="Arial Narrow" w:cs="Calibri"/>
                <w:bCs/>
                <w:color w:val="000000"/>
                <w:sz w:val="20"/>
                <w:szCs w:val="20"/>
              </w:rPr>
              <w:t xml:space="preserve">№ п/п</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392" w:type="dxa"/>
            <w:vAlign w:val="center"/>
            <w:textDirection w:val="lrTb"/>
            <w:noWrap w:val="false"/>
          </w:tcPr>
          <w:p>
            <w:pPr>
              <w:pStyle w:val="1063"/>
              <w:jc w:val="center"/>
              <w:widowControl w:val="off"/>
              <w:rPr>
                <w:sz w:val="20"/>
                <w:szCs w:val="20"/>
              </w:rPr>
            </w:pPr>
            <w:r>
              <w:rPr>
                <w:rFonts w:ascii="Arial Narrow" w:hAnsi="Arial Narrow" w:cs="Calibri"/>
                <w:bCs/>
                <w:color w:val="000000"/>
                <w:sz w:val="20"/>
                <w:szCs w:val="20"/>
              </w:rPr>
              <w:t xml:space="preserve">Наименование показателя</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97" w:type="dxa"/>
            <w:vAlign w:val="center"/>
            <w:textDirection w:val="lrTb"/>
            <w:noWrap w:val="false"/>
          </w:tcPr>
          <w:p>
            <w:pPr>
              <w:pStyle w:val="1063"/>
              <w:jc w:val="center"/>
              <w:widowControl w:val="off"/>
              <w:rPr>
                <w:sz w:val="20"/>
                <w:szCs w:val="20"/>
              </w:rPr>
            </w:pPr>
            <w:r>
              <w:rPr>
                <w:rFonts w:ascii="Arial Narrow" w:hAnsi="Arial Narrow" w:cs="Calibri"/>
                <w:bCs/>
                <w:color w:val="000000"/>
                <w:sz w:val="20"/>
                <w:szCs w:val="20"/>
              </w:rPr>
              <w:t xml:space="preserve"> 2022 г.</w:t>
            </w:r>
            <w:r>
              <w:rPr>
                <w:sz w:val="20"/>
                <w:szCs w:val="20"/>
              </w:rPr>
            </w:r>
            <w:r>
              <w:rPr>
                <w:sz w:val="20"/>
                <w:szCs w:val="20"/>
              </w:rPr>
            </w:r>
          </w:p>
          <w:p>
            <w:pPr>
              <w:pStyle w:val="1063"/>
              <w:jc w:val="center"/>
              <w:widowControl w:val="off"/>
              <w:rPr>
                <w:sz w:val="20"/>
                <w:szCs w:val="20"/>
              </w:rPr>
            </w:pPr>
            <w:r>
              <w:rPr>
                <w:rFonts w:ascii="Arial Narrow" w:hAnsi="Arial Narrow" w:cs="Calibri"/>
                <w:bCs/>
                <w:color w:val="000000"/>
                <w:sz w:val="20"/>
                <w:szCs w:val="20"/>
              </w:rPr>
              <w:t xml:space="preserve"> Факт</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86" w:type="dxa"/>
            <w:vAlign w:val="center"/>
            <w:textDirection w:val="lrTb"/>
            <w:noWrap w:val="false"/>
          </w:tcPr>
          <w:p>
            <w:pPr>
              <w:pStyle w:val="1063"/>
              <w:jc w:val="center"/>
              <w:widowControl w:val="off"/>
              <w:rPr>
                <w:sz w:val="20"/>
                <w:szCs w:val="20"/>
              </w:rPr>
            </w:pPr>
            <w:r>
              <w:rPr>
                <w:rFonts w:ascii="Arial Narrow" w:hAnsi="Arial Narrow" w:cs="Calibri"/>
                <w:bCs/>
                <w:color w:val="000000"/>
                <w:sz w:val="20"/>
                <w:szCs w:val="20"/>
              </w:rPr>
              <w:t xml:space="preserve"> 2023 г.</w:t>
            </w:r>
            <w:r>
              <w:rPr>
                <w:sz w:val="20"/>
                <w:szCs w:val="20"/>
              </w:rPr>
            </w:r>
            <w:r>
              <w:rPr>
                <w:sz w:val="20"/>
                <w:szCs w:val="20"/>
              </w:rPr>
            </w:r>
          </w:p>
          <w:p>
            <w:pPr>
              <w:pStyle w:val="1063"/>
              <w:jc w:val="center"/>
              <w:widowControl w:val="off"/>
              <w:rPr>
                <w:sz w:val="20"/>
                <w:szCs w:val="20"/>
              </w:rPr>
            </w:pPr>
            <w:r>
              <w:rPr>
                <w:rFonts w:ascii="Arial Narrow" w:hAnsi="Arial Narrow" w:cs="Calibri"/>
                <w:bCs/>
                <w:color w:val="000000"/>
                <w:sz w:val="20"/>
                <w:szCs w:val="20"/>
              </w:rPr>
              <w:t xml:space="preserve"> Факт</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93" w:type="dxa"/>
            <w:vAlign w:val="center"/>
            <w:textDirection w:val="lrTb"/>
            <w:noWrap w:val="false"/>
          </w:tcPr>
          <w:p>
            <w:pPr>
              <w:pStyle w:val="1063"/>
              <w:jc w:val="center"/>
              <w:widowControl w:val="off"/>
              <w:rPr>
                <w:sz w:val="20"/>
                <w:szCs w:val="20"/>
              </w:rPr>
            </w:pPr>
            <w:r>
              <w:rPr>
                <w:rFonts w:ascii="Arial Narrow" w:hAnsi="Arial Narrow" w:cs="Calibri"/>
                <w:bCs/>
                <w:color w:val="000000"/>
                <w:sz w:val="20"/>
                <w:szCs w:val="20"/>
              </w:rPr>
              <w:t xml:space="preserve"> 2024 г.</w:t>
            </w:r>
            <w:r>
              <w:rPr>
                <w:sz w:val="20"/>
                <w:szCs w:val="20"/>
              </w:rPr>
            </w:r>
            <w:r>
              <w:rPr>
                <w:sz w:val="20"/>
                <w:szCs w:val="20"/>
              </w:rPr>
            </w:r>
          </w:p>
          <w:p>
            <w:pPr>
              <w:pStyle w:val="1063"/>
              <w:jc w:val="center"/>
              <w:widowControl w:val="off"/>
              <w:rPr>
                <w:sz w:val="20"/>
                <w:szCs w:val="20"/>
              </w:rPr>
            </w:pPr>
            <w:r>
              <w:rPr>
                <w:rFonts w:ascii="Arial Narrow" w:hAnsi="Arial Narrow" w:cs="Calibri"/>
                <w:bCs/>
                <w:color w:val="000000"/>
                <w:sz w:val="20"/>
                <w:szCs w:val="20"/>
              </w:rPr>
              <w:t xml:space="preserve"> Факт</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86" w:type="dxa"/>
            <w:vAlign w:val="center"/>
            <w:textDirection w:val="lrTb"/>
            <w:noWrap w:val="false"/>
          </w:tcPr>
          <w:p>
            <w:pPr>
              <w:pStyle w:val="1063"/>
              <w:jc w:val="center"/>
              <w:widowControl w:val="off"/>
              <w:rPr>
                <w:sz w:val="20"/>
                <w:szCs w:val="20"/>
              </w:rPr>
            </w:pPr>
            <w:r>
              <w:rPr>
                <w:rFonts w:ascii="Arial Narrow" w:hAnsi="Arial Narrow" w:cs="Calibri"/>
                <w:bCs/>
                <w:color w:val="000000"/>
                <w:sz w:val="20"/>
                <w:szCs w:val="20"/>
              </w:rPr>
              <w:t xml:space="preserve">Темп роста (5/4), %</w:t>
            </w:r>
            <w:r>
              <w:rPr>
                <w:sz w:val="20"/>
                <w:szCs w:val="20"/>
              </w:rPr>
            </w:r>
            <w:r>
              <w:rPr>
                <w:sz w:val="20"/>
                <w:szCs w:val="20"/>
              </w:rPr>
            </w:r>
          </w:p>
        </w:tc>
      </w:tr>
      <w:tr>
        <w:trPr>
          <w:trHeight w:val="264"/>
        </w:trPr>
        <w:tc>
          <w:tcPr>
            <w:shd w:val="clear" w:color="auto" w:fill="ffffff"/>
            <w:tcBorders>
              <w:top w:val="single" w:color="000000" w:sz="4" w:space="0"/>
              <w:left w:val="single" w:color="000000" w:sz="4" w:space="0"/>
              <w:bottom w:val="single" w:color="000000" w:sz="4" w:space="0"/>
              <w:right w:val="single" w:color="000000" w:sz="4" w:space="0"/>
            </w:tcBorders>
            <w:tcW w:w="562"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1</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5392"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2</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997"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3</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986"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4</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193"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5</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986"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6</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562"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1.</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392" w:type="dxa"/>
            <w:vAlign w:val="center"/>
            <w:textDirection w:val="lrTb"/>
            <w:noWrap w:val="false"/>
          </w:tcPr>
          <w:p>
            <w:pPr>
              <w:pStyle w:val="1063"/>
              <w:jc w:val="both"/>
              <w:widowControl w:val="off"/>
              <w:rPr>
                <w:sz w:val="20"/>
                <w:szCs w:val="20"/>
              </w:rPr>
            </w:pPr>
            <w:r>
              <w:rPr>
                <w:rFonts w:ascii="Arial Narrow" w:hAnsi="Arial Narrow" w:cs="Calibri"/>
                <w:color w:val="000000"/>
                <w:sz w:val="20"/>
                <w:szCs w:val="20"/>
              </w:rPr>
              <w:t xml:space="preserve">Займы и кредиты</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97"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5 655 767</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86"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2 386 121</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93"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11 999 074</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86"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502,9</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562"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2.</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392" w:type="dxa"/>
            <w:vAlign w:val="center"/>
            <w:textDirection w:val="lrTb"/>
            <w:noWrap w:val="false"/>
          </w:tcPr>
          <w:p>
            <w:pPr>
              <w:pStyle w:val="1063"/>
              <w:jc w:val="both"/>
              <w:widowControl w:val="off"/>
              <w:rPr>
                <w:sz w:val="20"/>
                <w:szCs w:val="20"/>
              </w:rPr>
            </w:pPr>
            <w:r>
              <w:rPr>
                <w:rFonts w:ascii="Arial Narrow" w:hAnsi="Arial Narrow" w:cs="Calibri"/>
                <w:color w:val="000000"/>
                <w:sz w:val="20"/>
                <w:szCs w:val="20"/>
              </w:rPr>
              <w:t xml:space="preserve">Кредиторская задолженность</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97"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3 273 194</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86"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3 355 320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93"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10 016 683</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86"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298,5</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562"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2.1.</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392" w:type="dxa"/>
            <w:vAlign w:val="center"/>
            <w:textDirection w:val="lrTb"/>
            <w:noWrap w:val="false"/>
          </w:tcPr>
          <w:p>
            <w:pPr>
              <w:pStyle w:val="1063"/>
              <w:jc w:val="both"/>
              <w:widowControl w:val="off"/>
              <w:rPr>
                <w:sz w:val="20"/>
                <w:szCs w:val="20"/>
              </w:rPr>
            </w:pPr>
            <w:r>
              <w:rPr>
                <w:rFonts w:ascii="Arial Narrow" w:hAnsi="Arial Narrow" w:cs="Calibri"/>
                <w:color w:val="000000"/>
                <w:sz w:val="20"/>
                <w:szCs w:val="20"/>
              </w:rPr>
              <w:t xml:space="preserve">поставщики и подрядчики</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97"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1 505 701</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86"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1 589 178</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93"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2 547 664</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86"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160,3</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562"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2.2.</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392" w:type="dxa"/>
            <w:vAlign w:val="center"/>
            <w:textDirection w:val="lrTb"/>
            <w:noWrap w:val="false"/>
          </w:tcPr>
          <w:p>
            <w:pPr>
              <w:pStyle w:val="1063"/>
              <w:jc w:val="both"/>
              <w:widowControl w:val="off"/>
              <w:rPr>
                <w:sz w:val="20"/>
                <w:szCs w:val="20"/>
              </w:rPr>
            </w:pPr>
            <w:r>
              <w:rPr>
                <w:rFonts w:ascii="Arial Narrow" w:hAnsi="Arial Narrow" w:cs="Calibri"/>
                <w:color w:val="000000"/>
                <w:sz w:val="20"/>
                <w:szCs w:val="20"/>
              </w:rPr>
              <w:t xml:space="preserve">векселя к уплате</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97"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c>
          <w:tcPr>
            <w:tcBorders>
              <w:top w:val="single" w:color="000000" w:sz="4" w:space="0"/>
              <w:left w:val="single" w:color="000000" w:sz="4" w:space="0"/>
              <w:bottom w:val="single" w:color="000000" w:sz="4" w:space="0"/>
              <w:right w:val="single" w:color="000000" w:sz="4" w:space="0"/>
            </w:tcBorders>
            <w:tcW w:w="986"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c>
          <w:tcPr>
            <w:tcBorders>
              <w:top w:val="single" w:color="000000" w:sz="4" w:space="0"/>
              <w:left w:val="single" w:color="000000" w:sz="4" w:space="0"/>
              <w:bottom w:val="single" w:color="000000" w:sz="4" w:space="0"/>
              <w:right w:val="single" w:color="000000" w:sz="4" w:space="0"/>
            </w:tcBorders>
            <w:tcW w:w="1193"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c>
          <w:tcPr>
            <w:tcBorders>
              <w:top w:val="single" w:color="000000" w:sz="4" w:space="0"/>
              <w:left w:val="single" w:color="000000" w:sz="4" w:space="0"/>
              <w:bottom w:val="single" w:color="000000" w:sz="4" w:space="0"/>
              <w:right w:val="single" w:color="000000" w:sz="4" w:space="0"/>
            </w:tcBorders>
            <w:tcW w:w="986"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562"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2.3.</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392" w:type="dxa"/>
            <w:vAlign w:val="center"/>
            <w:textDirection w:val="lrTb"/>
            <w:noWrap w:val="false"/>
          </w:tcPr>
          <w:p>
            <w:pPr>
              <w:pStyle w:val="1063"/>
              <w:jc w:val="both"/>
              <w:widowControl w:val="off"/>
              <w:rPr>
                <w:sz w:val="20"/>
                <w:szCs w:val="20"/>
              </w:rPr>
            </w:pPr>
            <w:r>
              <w:rPr>
                <w:rFonts w:ascii="Arial Narrow" w:hAnsi="Arial Narrow" w:cs="Calibri"/>
                <w:color w:val="000000"/>
                <w:sz w:val="20"/>
                <w:szCs w:val="20"/>
              </w:rPr>
              <w:t xml:space="preserve">Задолженность перед дочерними обществами</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97"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c>
          <w:tcPr>
            <w:tcBorders>
              <w:top w:val="single" w:color="000000" w:sz="4" w:space="0"/>
              <w:left w:val="single" w:color="000000" w:sz="4" w:space="0"/>
              <w:bottom w:val="single" w:color="000000" w:sz="4" w:space="0"/>
              <w:right w:val="single" w:color="000000" w:sz="4" w:space="0"/>
            </w:tcBorders>
            <w:tcW w:w="986"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c>
          <w:tcPr>
            <w:tcBorders>
              <w:top w:val="single" w:color="000000" w:sz="4" w:space="0"/>
              <w:left w:val="single" w:color="000000" w:sz="4" w:space="0"/>
              <w:bottom w:val="single" w:color="000000" w:sz="4" w:space="0"/>
              <w:right w:val="single" w:color="000000" w:sz="4" w:space="0"/>
            </w:tcBorders>
            <w:tcW w:w="1193"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c>
          <w:tcPr>
            <w:tcBorders>
              <w:top w:val="single" w:color="000000" w:sz="4" w:space="0"/>
              <w:left w:val="single" w:color="000000" w:sz="4" w:space="0"/>
              <w:bottom w:val="single" w:color="000000" w:sz="4" w:space="0"/>
              <w:right w:val="single" w:color="000000" w:sz="4" w:space="0"/>
            </w:tcBorders>
            <w:tcW w:w="986"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562"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2.4.</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392" w:type="dxa"/>
            <w:vAlign w:val="center"/>
            <w:textDirection w:val="lrTb"/>
            <w:noWrap w:val="false"/>
          </w:tcPr>
          <w:p>
            <w:pPr>
              <w:pStyle w:val="1063"/>
              <w:jc w:val="both"/>
              <w:widowControl w:val="off"/>
              <w:rPr>
                <w:sz w:val="20"/>
                <w:szCs w:val="20"/>
              </w:rPr>
            </w:pPr>
            <w:r>
              <w:rPr>
                <w:rFonts w:ascii="Arial Narrow" w:hAnsi="Arial Narrow" w:cs="Calibri"/>
                <w:color w:val="000000"/>
                <w:sz w:val="20"/>
                <w:szCs w:val="20"/>
              </w:rPr>
              <w:t xml:space="preserve">Задолженность по оплате труда перед персоналом</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97"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221 876</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86"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233 411</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93"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263 239</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86"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112,8</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562"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2.5.</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392" w:type="dxa"/>
            <w:vAlign w:val="center"/>
            <w:textDirection w:val="lrTb"/>
            <w:noWrap w:val="false"/>
          </w:tcPr>
          <w:p>
            <w:pPr>
              <w:pStyle w:val="1063"/>
              <w:jc w:val="both"/>
              <w:widowControl w:val="off"/>
              <w:rPr>
                <w:sz w:val="20"/>
                <w:szCs w:val="20"/>
              </w:rPr>
            </w:pPr>
            <w:r>
              <w:rPr>
                <w:rFonts w:ascii="Arial Narrow" w:hAnsi="Arial Narrow" w:cs="Calibri"/>
                <w:color w:val="000000"/>
                <w:sz w:val="20"/>
                <w:szCs w:val="20"/>
              </w:rPr>
              <w:t xml:space="preserve">Задолженность перед гос. внебюджетными фондами</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97"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c>
          <w:tcPr>
            <w:tcBorders>
              <w:top w:val="single" w:color="000000" w:sz="4" w:space="0"/>
              <w:left w:val="single" w:color="000000" w:sz="4" w:space="0"/>
              <w:bottom w:val="single" w:color="000000" w:sz="4" w:space="0"/>
              <w:right w:val="single" w:color="000000" w:sz="4" w:space="0"/>
            </w:tcBorders>
            <w:tcW w:w="986"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c>
          <w:tcPr>
            <w:tcBorders>
              <w:top w:val="single" w:color="000000" w:sz="4" w:space="0"/>
              <w:left w:val="single" w:color="000000" w:sz="4" w:space="0"/>
              <w:bottom w:val="single" w:color="000000" w:sz="4" w:space="0"/>
              <w:right w:val="single" w:color="000000" w:sz="4" w:space="0"/>
            </w:tcBorders>
            <w:tcW w:w="1193"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c>
          <w:tcPr>
            <w:tcBorders>
              <w:top w:val="single" w:color="000000" w:sz="4" w:space="0"/>
              <w:left w:val="single" w:color="000000" w:sz="4" w:space="0"/>
              <w:bottom w:val="single" w:color="000000" w:sz="4" w:space="0"/>
              <w:right w:val="single" w:color="000000" w:sz="4" w:space="0"/>
            </w:tcBorders>
            <w:tcW w:w="986"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562"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2.6.</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392" w:type="dxa"/>
            <w:vAlign w:val="center"/>
            <w:textDirection w:val="lrTb"/>
            <w:noWrap w:val="false"/>
          </w:tcPr>
          <w:p>
            <w:pPr>
              <w:pStyle w:val="1063"/>
              <w:jc w:val="both"/>
              <w:widowControl w:val="off"/>
              <w:rPr>
                <w:sz w:val="20"/>
                <w:szCs w:val="20"/>
              </w:rPr>
            </w:pPr>
            <w:r>
              <w:rPr>
                <w:rFonts w:ascii="Arial Narrow" w:hAnsi="Arial Narrow" w:cs="Calibri"/>
                <w:color w:val="000000"/>
                <w:sz w:val="20"/>
                <w:szCs w:val="20"/>
              </w:rPr>
              <w:t xml:space="preserve">По налогам и сборам</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97"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265 934</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86"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205 987</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93"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1 216</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86"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0,6</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562"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2.7.</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392" w:type="dxa"/>
            <w:vAlign w:val="center"/>
            <w:textDirection w:val="lrTb"/>
            <w:noWrap w:val="false"/>
          </w:tcPr>
          <w:p>
            <w:pPr>
              <w:pStyle w:val="1063"/>
              <w:jc w:val="both"/>
              <w:widowControl w:val="off"/>
              <w:rPr>
                <w:sz w:val="20"/>
                <w:szCs w:val="20"/>
              </w:rPr>
            </w:pPr>
            <w:r>
              <w:rPr>
                <w:rFonts w:ascii="Arial Narrow" w:hAnsi="Arial Narrow" w:cs="Calibri"/>
                <w:color w:val="000000"/>
                <w:sz w:val="20"/>
                <w:szCs w:val="20"/>
              </w:rPr>
              <w:t xml:space="preserve">Авансы полученные</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97"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907 825</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86"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629 474</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93"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5 813 189</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86"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923,5</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562"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2.8.</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392" w:type="dxa"/>
            <w:vAlign w:val="center"/>
            <w:textDirection w:val="lrTb"/>
            <w:noWrap w:val="false"/>
          </w:tcPr>
          <w:p>
            <w:pPr>
              <w:pStyle w:val="1063"/>
              <w:jc w:val="both"/>
              <w:widowControl w:val="off"/>
              <w:rPr>
                <w:sz w:val="20"/>
                <w:szCs w:val="20"/>
              </w:rPr>
            </w:pPr>
            <w:r>
              <w:rPr>
                <w:rFonts w:ascii="Arial Narrow" w:hAnsi="Arial Narrow" w:cs="Calibri"/>
                <w:color w:val="000000"/>
                <w:sz w:val="20"/>
                <w:szCs w:val="20"/>
              </w:rPr>
              <w:t xml:space="preserve">Прочие кредиторы</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97"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371 858</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86"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697 270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93"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1 391 375</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86"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199,5</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562"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3.</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392" w:type="dxa"/>
            <w:vAlign w:val="center"/>
            <w:textDirection w:val="lrTb"/>
            <w:noWrap w:val="false"/>
          </w:tcPr>
          <w:p>
            <w:pPr>
              <w:pStyle w:val="1063"/>
              <w:jc w:val="both"/>
              <w:widowControl w:val="off"/>
              <w:rPr>
                <w:sz w:val="20"/>
                <w:szCs w:val="20"/>
              </w:rPr>
            </w:pPr>
            <w:r>
              <w:rPr>
                <w:rFonts w:ascii="Arial Narrow" w:hAnsi="Arial Narrow" w:cs="Calibri"/>
                <w:color w:val="000000"/>
                <w:sz w:val="20"/>
                <w:szCs w:val="20"/>
              </w:rPr>
              <w:t xml:space="preserve">Задолженность участникам (учредителям) по выплате доходов</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97"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c>
          <w:tcPr>
            <w:tcBorders>
              <w:top w:val="single" w:color="000000" w:sz="4" w:space="0"/>
              <w:left w:val="single" w:color="000000" w:sz="4" w:space="0"/>
              <w:bottom w:val="single" w:color="000000" w:sz="4" w:space="0"/>
              <w:right w:val="single" w:color="000000" w:sz="4" w:space="0"/>
            </w:tcBorders>
            <w:tcW w:w="986"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c>
          <w:tcPr>
            <w:tcBorders>
              <w:top w:val="single" w:color="000000" w:sz="4" w:space="0"/>
              <w:left w:val="single" w:color="000000" w:sz="4" w:space="0"/>
              <w:bottom w:val="single" w:color="000000" w:sz="4" w:space="0"/>
              <w:right w:val="single" w:color="000000" w:sz="4" w:space="0"/>
            </w:tcBorders>
            <w:tcW w:w="1193"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c>
          <w:tcPr>
            <w:tcBorders>
              <w:top w:val="single" w:color="000000" w:sz="4" w:space="0"/>
              <w:left w:val="single" w:color="000000" w:sz="4" w:space="0"/>
              <w:bottom w:val="single" w:color="000000" w:sz="4" w:space="0"/>
              <w:right w:val="single" w:color="000000" w:sz="4" w:space="0"/>
            </w:tcBorders>
            <w:tcW w:w="986"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562"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4.</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392" w:type="dxa"/>
            <w:vAlign w:val="center"/>
            <w:textDirection w:val="lrTb"/>
            <w:noWrap w:val="false"/>
          </w:tcPr>
          <w:p>
            <w:pPr>
              <w:pStyle w:val="1063"/>
              <w:jc w:val="both"/>
              <w:widowControl w:val="off"/>
              <w:rPr>
                <w:sz w:val="20"/>
                <w:szCs w:val="20"/>
              </w:rPr>
            </w:pPr>
            <w:r>
              <w:rPr>
                <w:rFonts w:ascii="Arial Narrow" w:hAnsi="Arial Narrow" w:cs="Calibri"/>
                <w:color w:val="000000"/>
                <w:sz w:val="20"/>
                <w:szCs w:val="20"/>
              </w:rPr>
              <w:t xml:space="preserve">Доходы будущих периодов</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97"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c>
          <w:tcPr>
            <w:tcBorders>
              <w:top w:val="single" w:color="000000" w:sz="4" w:space="0"/>
              <w:left w:val="single" w:color="000000" w:sz="4" w:space="0"/>
              <w:bottom w:val="single" w:color="000000" w:sz="4" w:space="0"/>
              <w:right w:val="single" w:color="000000" w:sz="4" w:space="0"/>
            </w:tcBorders>
            <w:tcW w:w="986"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c>
          <w:tcPr>
            <w:tcBorders>
              <w:top w:val="single" w:color="000000" w:sz="4" w:space="0"/>
              <w:left w:val="single" w:color="000000" w:sz="4" w:space="0"/>
              <w:bottom w:val="single" w:color="000000" w:sz="4" w:space="0"/>
              <w:right w:val="single" w:color="000000" w:sz="4" w:space="0"/>
            </w:tcBorders>
            <w:tcW w:w="1193"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c>
          <w:tcPr>
            <w:tcBorders>
              <w:top w:val="single" w:color="000000" w:sz="4" w:space="0"/>
              <w:left w:val="single" w:color="000000" w:sz="4" w:space="0"/>
              <w:bottom w:val="single" w:color="000000" w:sz="4" w:space="0"/>
              <w:right w:val="single" w:color="000000" w:sz="4" w:space="0"/>
            </w:tcBorders>
            <w:tcW w:w="986"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562"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5.</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392" w:type="dxa"/>
            <w:vAlign w:val="center"/>
            <w:textDirection w:val="lrTb"/>
            <w:noWrap w:val="false"/>
          </w:tcPr>
          <w:p>
            <w:pPr>
              <w:pStyle w:val="1063"/>
              <w:jc w:val="both"/>
              <w:widowControl w:val="off"/>
              <w:rPr>
                <w:sz w:val="20"/>
                <w:szCs w:val="20"/>
              </w:rPr>
            </w:pPr>
            <w:r>
              <w:rPr>
                <w:rFonts w:ascii="Arial Narrow" w:hAnsi="Arial Narrow" w:cs="Calibri"/>
                <w:color w:val="000000"/>
                <w:sz w:val="20"/>
                <w:szCs w:val="20"/>
              </w:rPr>
              <w:t xml:space="preserve">Резервы предстоящих расходов</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97"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c>
          <w:tcPr>
            <w:tcBorders>
              <w:top w:val="single" w:color="000000" w:sz="4" w:space="0"/>
              <w:left w:val="single" w:color="000000" w:sz="4" w:space="0"/>
              <w:bottom w:val="single" w:color="000000" w:sz="4" w:space="0"/>
              <w:right w:val="single" w:color="000000" w:sz="4" w:space="0"/>
            </w:tcBorders>
            <w:tcW w:w="986"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c>
          <w:tcPr>
            <w:tcBorders>
              <w:top w:val="single" w:color="000000" w:sz="4" w:space="0"/>
              <w:left w:val="single" w:color="000000" w:sz="4" w:space="0"/>
              <w:bottom w:val="single" w:color="000000" w:sz="4" w:space="0"/>
              <w:right w:val="single" w:color="000000" w:sz="4" w:space="0"/>
            </w:tcBorders>
            <w:tcW w:w="1193"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c>
          <w:tcPr>
            <w:tcBorders>
              <w:top w:val="single" w:color="000000" w:sz="4" w:space="0"/>
              <w:left w:val="single" w:color="000000" w:sz="4" w:space="0"/>
              <w:bottom w:val="single" w:color="000000" w:sz="4" w:space="0"/>
              <w:right w:val="single" w:color="000000" w:sz="4" w:space="0"/>
            </w:tcBorders>
            <w:tcW w:w="986" w:type="dxa"/>
            <w:vAlign w:val="center"/>
            <w:textDirection w:val="lrTb"/>
            <w:noWrap w:val="false"/>
          </w:tcPr>
          <w:p>
            <w:pPr>
              <w:pStyle w:val="1063"/>
              <w:jc w:val="center"/>
              <w:widowControl w:val="off"/>
              <w:rPr>
                <w:rFonts w:ascii="Arial Narrow" w:hAnsi="Arial Narrow" w:cs="Calibri"/>
                <w:color w:val="000000"/>
                <w:sz w:val="20"/>
                <w:szCs w:val="20"/>
              </w:rPr>
            </w:pPr>
            <w:r>
              <w:rPr>
                <w:rFonts w:ascii="Arial Narrow" w:hAnsi="Arial Narrow" w:cs="Calibri"/>
                <w:color w:val="000000"/>
                <w:sz w:val="20"/>
                <w:szCs w:val="20"/>
              </w:rPr>
            </w:r>
            <w:r>
              <w:rPr>
                <w:rFonts w:ascii="Arial Narrow" w:hAnsi="Arial Narrow" w:cs="Calibri"/>
                <w:color w:val="000000"/>
                <w:sz w:val="20"/>
                <w:szCs w:val="20"/>
              </w:rPr>
            </w:r>
            <w:r>
              <w:rPr>
                <w:rFonts w:ascii="Arial Narrow" w:hAnsi="Arial Narrow" w:cs="Calibri"/>
                <w:color w:val="000000"/>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562"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6.</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392" w:type="dxa"/>
            <w:vAlign w:val="center"/>
            <w:textDirection w:val="lrTb"/>
            <w:noWrap w:val="false"/>
          </w:tcPr>
          <w:p>
            <w:pPr>
              <w:pStyle w:val="1063"/>
              <w:jc w:val="both"/>
              <w:widowControl w:val="off"/>
              <w:rPr>
                <w:sz w:val="20"/>
                <w:szCs w:val="20"/>
              </w:rPr>
            </w:pPr>
            <w:r>
              <w:rPr>
                <w:rFonts w:ascii="Arial Narrow" w:hAnsi="Arial Narrow" w:cs="Calibri"/>
                <w:color w:val="000000"/>
                <w:sz w:val="20"/>
                <w:szCs w:val="20"/>
              </w:rPr>
              <w:t xml:space="preserve">Прочие краткосрочные обязательства</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97"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2 004 031</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86"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1 858 343</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193"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2 092 451</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86" w:type="dxa"/>
            <w:vAlign w:val="center"/>
            <w:textDirection w:val="lrTb"/>
            <w:noWrap w:val="false"/>
          </w:tcPr>
          <w:p>
            <w:pPr>
              <w:pStyle w:val="1063"/>
              <w:jc w:val="center"/>
              <w:widowControl w:val="off"/>
              <w:rPr>
                <w:sz w:val="20"/>
                <w:szCs w:val="20"/>
              </w:rPr>
            </w:pPr>
            <w:r>
              <w:rPr>
                <w:rFonts w:ascii="Arial Narrow" w:hAnsi="Arial Narrow" w:cs="Calibri"/>
                <w:color w:val="000000"/>
                <w:sz w:val="20"/>
                <w:szCs w:val="20"/>
              </w:rPr>
              <w:t xml:space="preserve">112,6</w:t>
            </w:r>
            <w:r>
              <w:rPr>
                <w:sz w:val="20"/>
                <w:szCs w:val="20"/>
              </w:rPr>
            </w:r>
            <w:r>
              <w:rPr>
                <w:sz w:val="20"/>
                <w:szCs w:val="20"/>
              </w:rPr>
            </w:r>
          </w:p>
        </w:tc>
      </w:tr>
    </w:tbl>
    <w:p>
      <w:pPr>
        <w:pStyle w:val="1063"/>
        <w:ind w:firstLine="567"/>
        <w:jc w:val="both"/>
        <w:rPr>
          <w:rFonts w:ascii="Arial Narrow" w:hAnsi="Arial Narrow" w:cs="Calibri"/>
          <w:lang w:eastAsia="ru-RU"/>
        </w:rPr>
      </w:pPr>
      <w:r>
        <w:rPr>
          <w:rFonts w:ascii="Arial Narrow" w:hAnsi="Arial Narrow" w:cs="Calibri"/>
          <w:lang w:eastAsia="ru-RU"/>
        </w:rPr>
      </w:r>
      <w:r>
        <w:rPr>
          <w:rFonts w:ascii="Arial Narrow" w:hAnsi="Arial Narrow" w:cs="Calibri"/>
          <w:lang w:eastAsia="ru-RU"/>
        </w:rPr>
      </w:r>
      <w:r>
        <w:rPr>
          <w:rFonts w:ascii="Arial Narrow" w:hAnsi="Arial Narrow" w:cs="Calibri"/>
          <w:lang w:eastAsia="ru-RU"/>
        </w:rPr>
      </w:r>
    </w:p>
    <w:p>
      <w:pPr>
        <w:pStyle w:val="1063"/>
        <w:ind w:firstLine="567"/>
        <w:jc w:val="both"/>
        <w:rPr>
          <w:rFonts w:ascii="Arial Narrow" w:hAnsi="Arial Narrow" w:cs="Calibri"/>
          <w:lang w:eastAsia="ru-RU"/>
        </w:rPr>
      </w:pPr>
      <w:r>
        <w:rPr>
          <w:rFonts w:ascii="Arial Narrow" w:hAnsi="Arial Narrow" w:cs="Calibri"/>
          <w:lang w:eastAsia="ru-RU"/>
        </w:rPr>
        <w:t xml:space="preserve">По состоянию на 31.12.2024 кредиторская задолженность составила 24 108 208 тыс. рублей.</w:t>
      </w:r>
      <w:r>
        <w:rPr>
          <w:rFonts w:ascii="Arial Narrow" w:hAnsi="Arial Narrow" w:cs="Calibri"/>
          <w:lang w:eastAsia="ru-RU"/>
        </w:rPr>
      </w:r>
      <w:r>
        <w:rPr>
          <w:rFonts w:ascii="Arial Narrow" w:hAnsi="Arial Narrow" w:cs="Calibri"/>
          <w:lang w:eastAsia="ru-RU"/>
        </w:rPr>
      </w:r>
    </w:p>
    <w:p>
      <w:pPr>
        <w:pStyle w:val="1063"/>
        <w:ind w:firstLine="567"/>
        <w:jc w:val="both"/>
        <w:rPr>
          <w:rFonts w:ascii="Arial Narrow" w:hAnsi="Arial Narrow" w:cs="Calibri"/>
          <w:lang w:eastAsia="ru-RU"/>
        </w:rPr>
      </w:pPr>
      <w:r>
        <w:rPr>
          <w:rFonts w:ascii="Arial Narrow" w:hAnsi="Arial Narrow" w:cs="Calibri"/>
          <w:lang w:eastAsia="ru-RU"/>
        </w:rPr>
        <w:t xml:space="preserve">По сравнению с 2023 годом краткосрочная задолженность в целом увеличилась в 3,2 раза (или на 16 508 424 тыс. рублей), в том числе за счет: </w:t>
      </w:r>
      <w:r>
        <w:rPr>
          <w:rFonts w:ascii="Arial Narrow" w:hAnsi="Arial Narrow" w:cs="Calibri"/>
          <w:lang w:eastAsia="ru-RU"/>
        </w:rPr>
      </w:r>
      <w:r>
        <w:rPr>
          <w:rFonts w:ascii="Arial Narrow" w:hAnsi="Arial Narrow" w:cs="Calibri"/>
          <w:lang w:eastAsia="ru-RU"/>
        </w:rPr>
      </w:r>
    </w:p>
    <w:p>
      <w:pPr>
        <w:pStyle w:val="1063"/>
        <w:ind w:firstLine="567"/>
        <w:jc w:val="both"/>
        <w:rPr>
          <w:rFonts w:ascii="Arial Narrow" w:hAnsi="Arial Narrow" w:cs="Calibri"/>
          <w:lang w:eastAsia="ru-RU"/>
        </w:rPr>
      </w:pPr>
      <w:r>
        <w:rPr>
          <w:rFonts w:ascii="Arial Narrow" w:hAnsi="Arial Narrow" w:cs="Calibri"/>
          <w:lang w:eastAsia="ru-RU"/>
        </w:rPr>
        <w:t xml:space="preserve">роста краткосрочных займов и кредитов в 5 раз (или на 9 612 953 тыс. рублей); </w:t>
      </w:r>
      <w:r>
        <w:rPr>
          <w:rFonts w:ascii="Arial Narrow" w:hAnsi="Arial Narrow" w:cs="Calibri"/>
          <w:lang w:eastAsia="ru-RU"/>
        </w:rPr>
      </w:r>
      <w:r>
        <w:rPr>
          <w:rFonts w:ascii="Arial Narrow" w:hAnsi="Arial Narrow" w:cs="Calibri"/>
          <w:lang w:eastAsia="ru-RU"/>
        </w:rPr>
      </w:r>
    </w:p>
    <w:p>
      <w:pPr>
        <w:pStyle w:val="1063"/>
        <w:ind w:firstLine="567"/>
        <w:jc w:val="both"/>
        <w:rPr>
          <w:rFonts w:ascii="Arial Narrow" w:hAnsi="Arial Narrow" w:cs="Calibri"/>
          <w:lang w:eastAsia="ru-RU"/>
        </w:rPr>
      </w:pPr>
      <w:r>
        <w:rPr>
          <w:rFonts w:ascii="Arial Narrow" w:hAnsi="Arial Narrow" w:cs="Calibri"/>
          <w:lang w:eastAsia="ru-RU"/>
        </w:rPr>
        <w:t xml:space="preserve">роста задолженности по авансам полученным в 9,2 раза (или на 5 183 715 тыс. рублей) за счет переноса задолженности по договорам технологического присоединения из долгосрочной в краткосрочную в соответствии с условиями договоров; </w:t>
      </w:r>
      <w:r>
        <w:rPr>
          <w:rFonts w:ascii="Arial Narrow" w:hAnsi="Arial Narrow" w:cs="Calibri"/>
          <w:lang w:eastAsia="ru-RU"/>
        </w:rPr>
      </w:r>
      <w:r>
        <w:rPr>
          <w:rFonts w:ascii="Arial Narrow" w:hAnsi="Arial Narrow" w:cs="Calibri"/>
          <w:lang w:eastAsia="ru-RU"/>
        </w:rPr>
      </w:r>
    </w:p>
    <w:p>
      <w:pPr>
        <w:pStyle w:val="1063"/>
        <w:ind w:firstLine="567"/>
        <w:jc w:val="both"/>
        <w:rPr>
          <w:rFonts w:ascii="Arial Narrow" w:hAnsi="Arial Narrow" w:cs="Calibri"/>
          <w:lang w:eastAsia="ru-RU"/>
        </w:rPr>
      </w:pPr>
      <w:r>
        <w:rPr>
          <w:rFonts w:ascii="Arial Narrow" w:hAnsi="Arial Narrow" w:cs="Calibri"/>
          <w:lang w:eastAsia="ru-RU"/>
        </w:rPr>
        <w:t xml:space="preserve">роста задолженности перед поставщиками и подрядчиками на 60,3 % (или на 958 486 тыс. рублей) из нее: перед подрядчиками по договорам кап. строите</w:t>
      </w:r>
      <w:r>
        <w:rPr>
          <w:rFonts w:ascii="Arial Narrow" w:hAnsi="Arial Narrow" w:cs="Calibri"/>
          <w:lang w:eastAsia="ru-RU"/>
        </w:rPr>
        <w:t xml:space="preserve">льства (+) 516 569 тыс. рублей, перед поставщиками электроэнергии (+) 68 557 тыс. рублей, перед поставщиками топлива (+) 63 642 тыс. рублей, перед поставщиками материалов (+) 57 565 тыс. рублей, перед подрядчиками по ремонтам (+) 37 570 тыс. рублей и др.; </w:t>
      </w:r>
      <w:r>
        <w:rPr>
          <w:rFonts w:ascii="Arial Narrow" w:hAnsi="Arial Narrow" w:cs="Calibri"/>
          <w:lang w:eastAsia="ru-RU"/>
        </w:rPr>
      </w:r>
      <w:r>
        <w:rPr>
          <w:rFonts w:ascii="Arial Narrow" w:hAnsi="Arial Narrow" w:cs="Calibri"/>
          <w:lang w:eastAsia="ru-RU"/>
        </w:rPr>
      </w:r>
    </w:p>
    <w:p>
      <w:pPr>
        <w:pStyle w:val="1063"/>
        <w:ind w:firstLine="567"/>
        <w:jc w:val="both"/>
        <w:rPr>
          <w:rFonts w:ascii="Arial Narrow" w:hAnsi="Arial Narrow" w:cs="Calibri"/>
          <w:lang w:eastAsia="ru-RU"/>
        </w:rPr>
      </w:pPr>
      <w:r>
        <w:rPr>
          <w:rFonts w:ascii="Arial Narrow" w:hAnsi="Arial Narrow" w:cs="Calibri"/>
          <w:lang w:eastAsia="ru-RU"/>
        </w:rPr>
        <w:t xml:space="preserve">роста задолженности перед прочими кредиторами на 99,5 % (или 694 105 тыс. рублей) за счет заимствования топлива Росрезерва по ДФО в декабре 2024 года (+) 507 950 тыс. рублей; </w:t>
      </w:r>
      <w:r>
        <w:rPr>
          <w:rFonts w:ascii="Arial Narrow" w:hAnsi="Arial Narrow" w:cs="Calibri"/>
          <w:lang w:eastAsia="ru-RU"/>
        </w:rPr>
      </w:r>
      <w:r>
        <w:rPr>
          <w:rFonts w:ascii="Arial Narrow" w:hAnsi="Arial Narrow" w:cs="Calibri"/>
          <w:lang w:eastAsia="ru-RU"/>
        </w:rPr>
      </w:r>
    </w:p>
    <w:p>
      <w:pPr>
        <w:pStyle w:val="1063"/>
        <w:ind w:firstLine="567"/>
        <w:jc w:val="both"/>
      </w:pPr>
      <w:r>
        <w:rPr>
          <w:rFonts w:ascii="Arial Narrow" w:hAnsi="Arial Narrow" w:cs="Calibri"/>
          <w:lang w:eastAsia="ru-RU"/>
        </w:rPr>
        <w:t xml:space="preserve">роста прочих краткосрочных обязательств на 12,6 % (или 234 108 тыс. рублей) в основном за счет роста НДС по авансам выданным на 269 311 тыс. рублей.</w:t>
      </w:r>
      <w:r/>
    </w:p>
    <w:p>
      <w:pPr>
        <w:pStyle w:val="1063"/>
        <w:ind w:firstLine="567"/>
        <w:jc w:val="both"/>
      </w:pPr>
      <w:r>
        <w:rPr>
          <w:rFonts w:ascii="Arial Narrow" w:hAnsi="Arial Narrow" w:cs="Calibri"/>
          <w:lang w:eastAsia="ru-RU"/>
        </w:rPr>
        <w:t xml:space="preserve">Одновременно произошло снижение задолженности по налогам и сборам на 99,4 % </w:t>
      </w:r>
      <w:r>
        <w:rPr>
          <w:rFonts w:ascii="Arial Narrow" w:hAnsi="Arial Narrow" w:cs="Calibri"/>
          <w:lang w:eastAsia="ru-RU"/>
        </w:rPr>
        <w:br/>
        <w:t xml:space="preserve">(или 204 771 тыс. рублей).</w:t>
      </w:r>
      <w:r/>
    </w:p>
    <w:p>
      <w:pPr>
        <w:rPr>
          <w:rFonts w:ascii="Arial Narrow" w:hAnsi="Arial Narrow" w:eastAsia="Arial" w:cs="Calibri"/>
          <w:color w:val="0070c0"/>
          <w:lang w:eastAsia="en-US"/>
        </w:rPr>
      </w:pPr>
      <w:r>
        <w:br w:type="page" w:clear="all"/>
      </w:r>
      <w:r>
        <w:rPr>
          <w:rFonts w:ascii="Arial Narrow" w:hAnsi="Arial Narrow" w:eastAsia="Arial" w:cs="Calibri"/>
          <w:color w:val="0070c0"/>
          <w:lang w:eastAsia="en-US"/>
        </w:rPr>
      </w:r>
      <w:r>
        <w:rPr>
          <w:rFonts w:ascii="Arial Narrow" w:hAnsi="Arial Narrow" w:eastAsia="Arial" w:cs="Calibri"/>
          <w:color w:val="0070c0"/>
          <w:lang w:eastAsia="en-US"/>
        </w:rPr>
      </w:r>
    </w:p>
    <w:p>
      <w:pPr>
        <w:pStyle w:val="762"/>
        <w:jc w:val="center"/>
        <w:keepLines w:val="0"/>
        <w:spacing w:before="0" w:after="0" w:line="276" w:lineRule="auto"/>
        <w:rPr>
          <w:rFonts w:ascii="Arial Narrow" w:hAnsi="Arial Narrow" w:eastAsiaTheme="majorEastAsia" w:cstheme="minorHAnsi"/>
          <w:color w:val="314e87"/>
          <w:lang w:eastAsia="en-US"/>
        </w:rPr>
      </w:pPr>
      <w:r/>
      <w:bookmarkStart w:id="114" w:name="_Toc193883493"/>
      <w:r/>
      <w:bookmarkStart w:id="115" w:name="_Toc196126993"/>
      <w:r>
        <w:rPr>
          <w:rFonts w:ascii="Arial Narrow" w:hAnsi="Arial Narrow" w:eastAsiaTheme="majorEastAsia" w:cstheme="minorHAnsi"/>
          <w:b/>
          <w:color w:val="314e87"/>
          <w:sz w:val="28"/>
          <w:szCs w:val="28"/>
          <w:lang w:eastAsia="en-US"/>
        </w:rPr>
        <w:t xml:space="preserve">Раздел 5. ИНВЕСТИЦИИ</w:t>
      </w:r>
      <w:bookmarkEnd w:id="114"/>
      <w:r/>
      <w:bookmarkEnd w:id="115"/>
      <w:r>
        <w:rPr>
          <w:rFonts w:ascii="Arial Narrow" w:hAnsi="Arial Narrow" w:eastAsiaTheme="majorEastAsia" w:cstheme="minorHAnsi"/>
          <w:color w:val="314e87"/>
          <w:lang w:eastAsia="en-US"/>
        </w:rPr>
      </w:r>
      <w:r>
        <w:rPr>
          <w:rFonts w:ascii="Arial Narrow" w:hAnsi="Arial Narrow" w:eastAsiaTheme="majorEastAsia" w:cstheme="minorHAnsi"/>
          <w:color w:val="314e87"/>
          <w:lang w:eastAsia="en-US"/>
        </w:rPr>
      </w:r>
    </w:p>
    <w:p>
      <w:pPr>
        <w:pStyle w:val="763"/>
        <w:jc w:val="both"/>
        <w:keepLines/>
        <w:spacing w:after="0" w:line="276" w:lineRule="auto"/>
        <w:rPr>
          <w:rFonts w:ascii="Arial Narrow" w:hAnsi="Arial Narrow" w:eastAsiaTheme="majorEastAsia" w:cstheme="minorHAnsi"/>
          <w:color w:val="314e87"/>
          <w:lang w:eastAsia="en-US" w:bidi="ru-RU"/>
        </w:rPr>
      </w:pPr>
      <w:r/>
      <w:bookmarkStart w:id="116" w:name="_Toc193883494"/>
      <w:r/>
      <w:bookmarkStart w:id="117" w:name="_Toc196126994"/>
      <w:r>
        <w:rPr>
          <w:rFonts w:ascii="Arial Narrow" w:hAnsi="Arial Narrow" w:eastAsiaTheme="majorEastAsia" w:cstheme="minorHAnsi"/>
          <w:b/>
          <w:color w:val="314e87"/>
          <w:sz w:val="24"/>
          <w:szCs w:val="24"/>
          <w:lang w:eastAsia="en-US" w:bidi="ru-RU"/>
        </w:rPr>
        <w:t xml:space="preserve">5.1. Инвестиционная деятельность в форме капитальных вложений</w:t>
      </w:r>
      <w:bookmarkEnd w:id="116"/>
      <w:r/>
      <w:bookmarkEnd w:id="117"/>
      <w:r>
        <w:rPr>
          <w:rFonts w:ascii="Arial Narrow" w:hAnsi="Arial Narrow" w:eastAsiaTheme="majorEastAsia" w:cstheme="minorHAnsi"/>
          <w:color w:val="314e87"/>
          <w:lang w:eastAsia="en-US" w:bidi="ru-RU"/>
        </w:rPr>
      </w:r>
      <w:r>
        <w:rPr>
          <w:rFonts w:ascii="Arial Narrow" w:hAnsi="Arial Narrow" w:eastAsiaTheme="majorEastAsia" w:cstheme="minorHAnsi"/>
          <w:color w:val="314e87"/>
          <w:lang w:eastAsia="en-US" w:bidi="ru-RU"/>
        </w:rPr>
      </w:r>
    </w:p>
    <w:p>
      <w:pPr>
        <w:pStyle w:val="1063"/>
        <w:ind w:firstLine="567"/>
        <w:jc w:val="both"/>
      </w:pPr>
      <w:r>
        <w:rPr>
          <w:rFonts w:ascii="Arial Narrow" w:hAnsi="Arial Narrow" w:cs="Calibri"/>
          <w:lang w:eastAsia="ru-RU"/>
        </w:rPr>
        <w:t xml:space="preserve">Плановые показатели инвестиционной программы ПАО «Камчатскэнерго» на 2024 год утверждены Советом директоров ПАО «Камчатскэнерго» в составе бизнес-плана Общества на период 2024-2028 годов (протокол от 19.12.2023 № 7).</w:t>
      </w:r>
      <w:r/>
    </w:p>
    <w:p>
      <w:pPr>
        <w:pStyle w:val="1096"/>
        <w:ind w:left="0" w:right="-5"/>
        <w:jc w:val="both"/>
        <w:spacing w:after="0" w:line="276" w:lineRule="auto"/>
        <w:rPr>
          <w:rFonts w:ascii="Arial Narrow" w:hAnsi="Arial Narrow" w:cs="Calibri"/>
          <w:b/>
          <w:bCs/>
          <w:color w:val="314e87"/>
          <w:sz w:val="12"/>
          <w:szCs w:val="12"/>
        </w:rPr>
      </w:pPr>
      <w:r>
        <w:rPr>
          <w:rFonts w:ascii="Arial Narrow" w:hAnsi="Arial Narrow" w:cs="Calibri"/>
          <w:b/>
          <w:bCs/>
          <w:color w:val="314e87"/>
          <w:sz w:val="12"/>
          <w:szCs w:val="12"/>
        </w:rPr>
      </w:r>
      <w:r>
        <w:rPr>
          <w:rFonts w:ascii="Arial Narrow" w:hAnsi="Arial Narrow" w:cs="Calibri"/>
          <w:b/>
          <w:bCs/>
          <w:color w:val="314e87"/>
          <w:sz w:val="12"/>
          <w:szCs w:val="12"/>
        </w:rPr>
      </w:r>
      <w:r>
        <w:rPr>
          <w:rFonts w:ascii="Arial Narrow" w:hAnsi="Arial Narrow" w:cs="Calibri"/>
          <w:b/>
          <w:bCs/>
          <w:color w:val="314e87"/>
          <w:sz w:val="12"/>
          <w:szCs w:val="12"/>
        </w:rPr>
      </w:r>
    </w:p>
    <w:p>
      <w:pPr>
        <w:pStyle w:val="1096"/>
        <w:ind w:left="0" w:right="-5"/>
        <w:jc w:val="both"/>
        <w:spacing w:after="0" w:line="276" w:lineRule="auto"/>
      </w:pPr>
      <w:r>
        <w:rPr>
          <w:rFonts w:ascii="Arial Narrow" w:hAnsi="Arial Narrow" w:cs="Calibri"/>
          <w:b/>
          <w:bCs/>
          <w:color w:val="314e87"/>
          <w:sz w:val="24"/>
          <w:szCs w:val="24"/>
        </w:rPr>
        <w:t xml:space="preserve">Структура инвестиций по направлениям</w:t>
      </w:r>
      <w:r/>
    </w:p>
    <w:p>
      <w:pPr>
        <w:pStyle w:val="1096"/>
        <w:ind w:left="0" w:right="-5"/>
        <w:jc w:val="both"/>
        <w:spacing w:after="0" w:line="276" w:lineRule="auto"/>
        <w:rPr>
          <w:rFonts w:ascii="Arial Narrow" w:hAnsi="Arial Narrow" w:cs="Calibri"/>
          <w:b/>
          <w:bCs/>
          <w:color w:val="314e87"/>
          <w:sz w:val="12"/>
          <w:szCs w:val="12"/>
        </w:rPr>
      </w:pPr>
      <w:r>
        <w:rPr>
          <w:rFonts w:ascii="Arial Narrow" w:hAnsi="Arial Narrow" w:cs="Calibri"/>
          <w:b/>
          <w:bCs/>
          <w:color w:val="314e87"/>
          <w:sz w:val="12"/>
          <w:szCs w:val="12"/>
        </w:rPr>
      </w:r>
      <w:r>
        <w:rPr>
          <w:rFonts w:ascii="Arial Narrow" w:hAnsi="Arial Narrow" w:cs="Calibri"/>
          <w:b/>
          <w:bCs/>
          <w:color w:val="314e87"/>
          <w:sz w:val="12"/>
          <w:szCs w:val="12"/>
        </w:rPr>
      </w:r>
      <w:r>
        <w:rPr>
          <w:rFonts w:ascii="Arial Narrow" w:hAnsi="Arial Narrow" w:cs="Calibri"/>
          <w:b/>
          <w:bCs/>
          <w:color w:val="314e87"/>
          <w:sz w:val="12"/>
          <w:szCs w:val="12"/>
        </w:rPr>
      </w:r>
    </w:p>
    <w:p>
      <w:pPr>
        <w:pStyle w:val="1063"/>
        <w:ind w:left="7200" w:firstLine="720"/>
        <w:jc w:val="right"/>
      </w:pPr>
      <w:r>
        <w:rPr>
          <w:rFonts w:ascii="Arial Narrow" w:hAnsi="Arial Narrow" w:eastAsia="Calibri" w:cs="Calibri"/>
          <w:i/>
          <w:lang w:eastAsia="ja-JP"/>
        </w:rPr>
        <w:t xml:space="preserve">              Таблица № 24</w:t>
      </w:r>
      <w:r/>
    </w:p>
    <w:tbl>
      <w:tblPr>
        <w:tblW w:w="4891" w:type="pct"/>
        <w:tblInd w:w="118" w:type="dxa"/>
        <w:tblLayout w:type="fixed"/>
        <w:tblLook w:val="04A0" w:firstRow="1" w:lastRow="0" w:firstColumn="1" w:lastColumn="0" w:noHBand="0" w:noVBand="1"/>
      </w:tblPr>
      <w:tblGrid>
        <w:gridCol w:w="4595"/>
        <w:gridCol w:w="1545"/>
        <w:gridCol w:w="1390"/>
        <w:gridCol w:w="1627"/>
        <w:gridCol w:w="898"/>
      </w:tblGrid>
      <w:tr>
        <w:trPr>
          <w:trHeight w:val="23"/>
        </w:trPr>
        <w:tc>
          <w:tcPr>
            <w:shd w:val="clear" w:color="auto" w:fill="ffffff"/>
            <w:tcBorders>
              <w:top w:val="single" w:color="000000" w:sz="4" w:space="0"/>
              <w:left w:val="single" w:color="000000" w:sz="4" w:space="0"/>
              <w:bottom w:val="single" w:color="000000" w:sz="4" w:space="0"/>
              <w:right w:val="single" w:color="000000" w:sz="4" w:space="0"/>
            </w:tcBorders>
            <w:tcW w:w="4595" w:type="dxa"/>
            <w:vAlign w:val="center"/>
            <w:vMerge w:val="restart"/>
            <w:textDirection w:val="lrTb"/>
            <w:noWrap w:val="false"/>
          </w:tcPr>
          <w:p>
            <w:pPr>
              <w:pStyle w:val="1063"/>
              <w:jc w:val="center"/>
              <w:shd w:val="clear" w:color="auto" w:fill="ffffff"/>
              <w:widowControl w:val="off"/>
              <w:rPr>
                <w:sz w:val="20"/>
                <w:szCs w:val="20"/>
              </w:rPr>
            </w:pPr>
            <w:r>
              <w:rPr>
                <w:rFonts w:ascii="Arial Narrow" w:hAnsi="Arial Narrow" w:eastAsia="Calibri" w:cs="Arial Narrow"/>
                <w:bCs/>
                <w:color w:val="000000"/>
                <w:sz w:val="20"/>
                <w:szCs w:val="20"/>
                <w:shd w:val="clear" w:color="auto" w:fill="ffffff"/>
              </w:rPr>
              <w:t xml:space="preserve">Показатель</w:t>
            </w:r>
            <w:r>
              <w:rPr>
                <w:sz w:val="20"/>
                <w:szCs w:val="20"/>
              </w:rPr>
            </w:r>
            <w:r>
              <w:rPr>
                <w:sz w:val="20"/>
                <w:szCs w:val="20"/>
              </w:rPr>
            </w:r>
          </w:p>
        </w:tc>
        <w:tc>
          <w:tcPr>
            <w:gridSpan w:val="2"/>
            <w:shd w:val="clear" w:color="auto" w:fill="ffffff"/>
            <w:tcBorders>
              <w:top w:val="single" w:color="000000" w:sz="4" w:space="0"/>
              <w:bottom w:val="single" w:color="000000" w:sz="4" w:space="0"/>
              <w:right w:val="single" w:color="000000" w:sz="4" w:space="0"/>
            </w:tcBorders>
            <w:tcW w:w="2935" w:type="dxa"/>
            <w:vAlign w:val="center"/>
            <w:textDirection w:val="lrTb"/>
            <w:noWrap w:val="false"/>
          </w:tcPr>
          <w:p>
            <w:pPr>
              <w:pStyle w:val="1063"/>
              <w:jc w:val="center"/>
              <w:shd w:val="clear" w:color="auto" w:fill="ffffff"/>
              <w:widowControl w:val="off"/>
              <w:rPr>
                <w:sz w:val="20"/>
                <w:szCs w:val="20"/>
              </w:rPr>
            </w:pPr>
            <w:r>
              <w:rPr>
                <w:rFonts w:ascii="Arial Narrow" w:hAnsi="Arial Narrow" w:eastAsia="Calibri" w:cs="Arial Narrow"/>
                <w:bCs/>
                <w:color w:val="000000"/>
                <w:sz w:val="20"/>
                <w:szCs w:val="20"/>
                <w:shd w:val="clear" w:color="auto" w:fill="ffffff"/>
              </w:rPr>
              <w:t xml:space="preserve">2024 год, млн. рублей</w:t>
            </w:r>
            <w:r>
              <w:rPr>
                <w:sz w:val="20"/>
                <w:szCs w:val="20"/>
              </w:rPr>
            </w:r>
            <w:r>
              <w:rPr>
                <w:sz w:val="20"/>
                <w:szCs w:val="20"/>
              </w:rPr>
            </w:r>
          </w:p>
        </w:tc>
        <w:tc>
          <w:tcPr>
            <w:gridSpan w:val="2"/>
            <w:shd w:val="clear" w:color="auto" w:fill="ffffff"/>
            <w:tcBorders>
              <w:top w:val="single" w:color="000000" w:sz="4" w:space="0"/>
              <w:bottom w:val="single" w:color="000000" w:sz="4" w:space="0"/>
              <w:right w:val="single" w:color="000000" w:sz="4" w:space="0"/>
            </w:tcBorders>
            <w:tcW w:w="2525" w:type="dxa"/>
            <w:vAlign w:val="center"/>
            <w:textDirection w:val="lrTb"/>
            <w:noWrap w:val="false"/>
          </w:tcPr>
          <w:p>
            <w:pPr>
              <w:pStyle w:val="1063"/>
              <w:jc w:val="center"/>
              <w:shd w:val="clear" w:color="auto" w:fill="ffffff"/>
              <w:widowControl w:val="off"/>
              <w:rPr>
                <w:sz w:val="20"/>
                <w:szCs w:val="20"/>
              </w:rPr>
            </w:pPr>
            <w:r>
              <w:rPr>
                <w:rFonts w:ascii="Arial Narrow" w:hAnsi="Arial Narrow" w:eastAsia="Calibri" w:cs="Arial Narrow"/>
                <w:bCs/>
                <w:color w:val="000000"/>
                <w:sz w:val="20"/>
                <w:szCs w:val="20"/>
                <w:shd w:val="clear" w:color="auto" w:fill="ffffff"/>
              </w:rPr>
              <w:t xml:space="preserve">Отклонение</w:t>
            </w:r>
            <w:r>
              <w:rPr>
                <w:sz w:val="20"/>
                <w:szCs w:val="20"/>
              </w:rPr>
            </w:r>
            <w:r>
              <w:rPr>
                <w:sz w:val="20"/>
                <w:szCs w:val="20"/>
              </w:rPr>
            </w:r>
          </w:p>
        </w:tc>
      </w:tr>
      <w:tr>
        <w:trPr>
          <w:trHeight w:val="23"/>
        </w:trPr>
        <w:tc>
          <w:tcPr>
            <w:shd w:val="clear" w:color="auto" w:fill="ffffff"/>
            <w:tcBorders>
              <w:top w:val="single" w:color="000000" w:sz="4" w:space="0"/>
              <w:left w:val="single" w:color="000000" w:sz="4" w:space="0"/>
              <w:bottom w:val="single" w:color="000000" w:sz="4" w:space="0"/>
              <w:right w:val="single" w:color="000000" w:sz="4" w:space="0"/>
            </w:tcBorders>
            <w:tcW w:w="4595"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shd w:val="clear" w:color="auto" w:fill="ffffff"/>
            <w:tcBorders>
              <w:bottom w:val="single" w:color="000000" w:sz="4" w:space="0"/>
              <w:right w:val="single" w:color="000000" w:sz="4" w:space="0"/>
            </w:tcBorders>
            <w:tcW w:w="1545" w:type="dxa"/>
            <w:vAlign w:val="center"/>
            <w:textDirection w:val="lrTb"/>
            <w:noWrap w:val="false"/>
          </w:tcPr>
          <w:p>
            <w:pPr>
              <w:pStyle w:val="1063"/>
              <w:jc w:val="center"/>
              <w:shd w:val="clear" w:color="auto" w:fill="ffffff"/>
              <w:widowControl w:val="off"/>
              <w:rPr>
                <w:sz w:val="20"/>
                <w:szCs w:val="20"/>
              </w:rPr>
            </w:pPr>
            <w:r>
              <w:rPr>
                <w:rFonts w:ascii="Arial Narrow" w:hAnsi="Arial Narrow" w:eastAsia="Calibri" w:cs="Arial Narrow"/>
                <w:bCs/>
                <w:color w:val="000000"/>
                <w:sz w:val="20"/>
                <w:szCs w:val="20"/>
                <w:shd w:val="clear" w:color="auto" w:fill="ffffff"/>
              </w:rPr>
              <w:t xml:space="preserve">План</w:t>
            </w:r>
            <w:r>
              <w:rPr>
                <w:sz w:val="20"/>
                <w:szCs w:val="20"/>
              </w:rPr>
            </w:r>
            <w:r>
              <w:rPr>
                <w:sz w:val="20"/>
                <w:szCs w:val="20"/>
              </w:rPr>
            </w:r>
          </w:p>
        </w:tc>
        <w:tc>
          <w:tcPr>
            <w:shd w:val="clear" w:color="auto" w:fill="ffffff"/>
            <w:tcBorders>
              <w:bottom w:val="single" w:color="000000" w:sz="4" w:space="0"/>
              <w:right w:val="single" w:color="000000" w:sz="4" w:space="0"/>
            </w:tcBorders>
            <w:tcW w:w="1390" w:type="dxa"/>
            <w:vAlign w:val="center"/>
            <w:textDirection w:val="lrTb"/>
            <w:noWrap w:val="false"/>
          </w:tcPr>
          <w:p>
            <w:pPr>
              <w:pStyle w:val="1063"/>
              <w:jc w:val="center"/>
              <w:shd w:val="clear" w:color="auto" w:fill="ffffff"/>
              <w:widowControl w:val="off"/>
              <w:rPr>
                <w:sz w:val="20"/>
                <w:szCs w:val="20"/>
              </w:rPr>
            </w:pPr>
            <w:r>
              <w:rPr>
                <w:rFonts w:ascii="Arial Narrow" w:hAnsi="Arial Narrow" w:eastAsia="Calibri" w:cs="Arial Narrow"/>
                <w:bCs/>
                <w:color w:val="000000"/>
                <w:sz w:val="20"/>
                <w:szCs w:val="20"/>
                <w:shd w:val="clear" w:color="auto" w:fill="ffffff"/>
              </w:rPr>
              <w:t xml:space="preserve">Факт</w:t>
            </w:r>
            <w:r>
              <w:rPr>
                <w:sz w:val="20"/>
                <w:szCs w:val="20"/>
              </w:rPr>
            </w:r>
            <w:r>
              <w:rPr>
                <w:sz w:val="20"/>
                <w:szCs w:val="20"/>
              </w:rPr>
            </w:r>
          </w:p>
        </w:tc>
        <w:tc>
          <w:tcPr>
            <w:shd w:val="clear" w:color="auto" w:fill="ffffff"/>
            <w:tcBorders>
              <w:bottom w:val="single" w:color="000000" w:sz="4" w:space="0"/>
              <w:right w:val="single" w:color="000000" w:sz="4" w:space="0"/>
            </w:tcBorders>
            <w:tcW w:w="1627" w:type="dxa"/>
            <w:vAlign w:val="center"/>
            <w:textDirection w:val="lrTb"/>
            <w:noWrap w:val="false"/>
          </w:tcPr>
          <w:p>
            <w:pPr>
              <w:pStyle w:val="1063"/>
              <w:jc w:val="center"/>
              <w:shd w:val="clear" w:color="auto" w:fill="ffffff"/>
              <w:widowControl w:val="off"/>
              <w:rPr>
                <w:sz w:val="20"/>
                <w:szCs w:val="20"/>
              </w:rPr>
            </w:pPr>
            <w:r>
              <w:rPr>
                <w:rFonts w:ascii="Arial Narrow" w:hAnsi="Arial Narrow" w:eastAsia="Calibri" w:cs="Arial Narrow"/>
                <w:bCs/>
                <w:color w:val="000000"/>
                <w:sz w:val="20"/>
                <w:szCs w:val="20"/>
                <w:shd w:val="clear" w:color="auto" w:fill="ffffff"/>
              </w:rPr>
              <w:t xml:space="preserve">млн. рублей</w:t>
            </w:r>
            <w:r>
              <w:rPr>
                <w:sz w:val="20"/>
                <w:szCs w:val="20"/>
              </w:rPr>
            </w:r>
            <w:r>
              <w:rPr>
                <w:sz w:val="20"/>
                <w:szCs w:val="20"/>
              </w:rPr>
            </w:r>
          </w:p>
        </w:tc>
        <w:tc>
          <w:tcPr>
            <w:shd w:val="clear" w:color="auto" w:fill="ffffff"/>
            <w:tcBorders>
              <w:bottom w:val="single" w:color="000000" w:sz="4" w:space="0"/>
              <w:right w:val="single" w:color="000000" w:sz="4" w:space="0"/>
            </w:tcBorders>
            <w:tcW w:w="898" w:type="dxa"/>
            <w:vAlign w:val="center"/>
            <w:textDirection w:val="lrTb"/>
            <w:noWrap w:val="false"/>
          </w:tcPr>
          <w:p>
            <w:pPr>
              <w:pStyle w:val="1063"/>
              <w:jc w:val="center"/>
              <w:shd w:val="clear" w:color="auto" w:fill="ffffff"/>
              <w:widowControl w:val="off"/>
              <w:rPr>
                <w:sz w:val="20"/>
                <w:szCs w:val="20"/>
              </w:rPr>
            </w:pPr>
            <w:r>
              <w:rPr>
                <w:rFonts w:ascii="Arial Narrow" w:hAnsi="Arial Narrow" w:cs="Arial Narrow"/>
                <w:bCs/>
                <w:color w:val="000000"/>
                <w:sz w:val="20"/>
                <w:szCs w:val="20"/>
                <w:shd w:val="clear" w:color="auto" w:fill="ffffff"/>
              </w:rPr>
              <w:t xml:space="preserve">%</w:t>
            </w:r>
            <w:r>
              <w:rPr>
                <w:sz w:val="20"/>
                <w:szCs w:val="20"/>
              </w:rPr>
            </w:r>
            <w:r>
              <w:rPr>
                <w:sz w:val="20"/>
                <w:szCs w:val="20"/>
              </w:rPr>
            </w:r>
          </w:p>
        </w:tc>
      </w:tr>
      <w:tr>
        <w:trPr>
          <w:trHeight w:val="23"/>
        </w:trPr>
        <w:tc>
          <w:tcPr>
            <w:gridSpan w:val="5"/>
            <w:shd w:val="clear" w:color="auto" w:fill="ffffff"/>
            <w:tcBorders>
              <w:left w:val="single" w:color="000000" w:sz="4" w:space="0"/>
              <w:bottom w:val="single" w:color="000000" w:sz="4" w:space="0"/>
              <w:right w:val="single" w:color="000000" w:sz="4" w:space="0"/>
            </w:tcBorders>
            <w:tcW w:w="10055" w:type="dxa"/>
            <w:vAlign w:val="center"/>
            <w:textDirection w:val="lrTb"/>
            <w:noWrap w:val="false"/>
          </w:tcPr>
          <w:p>
            <w:pPr>
              <w:pStyle w:val="1063"/>
              <w:jc w:val="center"/>
              <w:shd w:val="clear" w:color="auto" w:fill="ffffff"/>
              <w:widowControl w:val="off"/>
              <w:rPr>
                <w:sz w:val="20"/>
                <w:szCs w:val="20"/>
              </w:rPr>
            </w:pPr>
            <w:r>
              <w:rPr>
                <w:rFonts w:ascii="Arial Narrow" w:hAnsi="Arial Narrow"/>
                <w:bCs/>
                <w:color w:val="000000"/>
                <w:sz w:val="20"/>
                <w:szCs w:val="20"/>
                <w:shd w:val="clear" w:color="auto" w:fill="ffffff"/>
              </w:rPr>
              <w:t xml:space="preserve">Финансирование, с НДС</w:t>
            </w:r>
            <w:r>
              <w:rPr>
                <w:sz w:val="20"/>
                <w:szCs w:val="20"/>
              </w:rPr>
            </w:r>
            <w:r>
              <w:rPr>
                <w:sz w:val="20"/>
                <w:szCs w:val="20"/>
              </w:rPr>
            </w:r>
          </w:p>
        </w:tc>
      </w:tr>
      <w:tr>
        <w:trPr>
          <w:trHeight w:val="23"/>
        </w:trPr>
        <w:tc>
          <w:tcPr>
            <w:shd w:val="clear" w:color="auto" w:fill="ffffff"/>
            <w:tcBorders>
              <w:left w:val="single" w:color="000000" w:sz="4" w:space="0"/>
              <w:bottom w:val="single" w:color="000000" w:sz="4" w:space="0"/>
              <w:right w:val="single" w:color="000000" w:sz="4" w:space="0"/>
            </w:tcBorders>
            <w:tcW w:w="4595" w:type="dxa"/>
            <w:vAlign w:val="center"/>
            <w:textDirection w:val="lrTb"/>
            <w:noWrap w:val="false"/>
          </w:tcPr>
          <w:p>
            <w:pPr>
              <w:pStyle w:val="1063"/>
              <w:shd w:val="clear" w:color="auto" w:fill="ffffff"/>
              <w:widowControl w:val="off"/>
              <w:rPr>
                <w:sz w:val="20"/>
                <w:szCs w:val="20"/>
              </w:rPr>
            </w:pPr>
            <w:r>
              <w:rPr>
                <w:rFonts w:ascii="Arial Narrow" w:hAnsi="Arial Narrow"/>
                <w:bCs/>
                <w:color w:val="000000"/>
                <w:sz w:val="20"/>
                <w:szCs w:val="20"/>
                <w:shd w:val="clear" w:color="auto" w:fill="ffffff"/>
              </w:rPr>
              <w:t xml:space="preserve">Всего по ПАО «Камчатскэнерго», в том числе:</w:t>
            </w:r>
            <w:r>
              <w:rPr>
                <w:sz w:val="20"/>
                <w:szCs w:val="20"/>
              </w:rPr>
            </w:r>
            <w:r>
              <w:rPr>
                <w:sz w:val="20"/>
                <w:szCs w:val="20"/>
              </w:rPr>
            </w:r>
          </w:p>
        </w:tc>
        <w:tc>
          <w:tcPr>
            <w:shd w:val="clear" w:color="auto" w:fill="ffffff"/>
            <w:tcBorders>
              <w:bottom w:val="single" w:color="000000" w:sz="4" w:space="0"/>
              <w:right w:val="single" w:color="000000" w:sz="4" w:space="0"/>
            </w:tcBorders>
            <w:tcW w:w="1545" w:type="dxa"/>
            <w:vAlign w:val="center"/>
            <w:textDirection w:val="lrTb"/>
            <w:noWrap w:val="false"/>
          </w:tcPr>
          <w:p>
            <w:pPr>
              <w:pStyle w:val="1063"/>
              <w:jc w:val="center"/>
              <w:shd w:val="clear" w:color="auto" w:fill="ffffff"/>
              <w:widowControl w:val="off"/>
              <w:rPr>
                <w:sz w:val="20"/>
                <w:szCs w:val="20"/>
              </w:rPr>
            </w:pPr>
            <w:r>
              <w:rPr>
                <w:rFonts w:ascii="Arial Narrow" w:hAnsi="Arial Narrow"/>
                <w:bCs/>
                <w:color w:val="000000"/>
                <w:sz w:val="20"/>
                <w:szCs w:val="20"/>
                <w:shd w:val="clear" w:color="auto" w:fill="ffffff"/>
              </w:rPr>
              <w:t xml:space="preserve">7 506,629</w:t>
            </w:r>
            <w:r>
              <w:rPr>
                <w:sz w:val="20"/>
                <w:szCs w:val="20"/>
              </w:rPr>
            </w:r>
            <w:r>
              <w:rPr>
                <w:sz w:val="20"/>
                <w:szCs w:val="20"/>
              </w:rPr>
            </w:r>
          </w:p>
        </w:tc>
        <w:tc>
          <w:tcPr>
            <w:shd w:val="clear" w:color="auto" w:fill="ffffff"/>
            <w:tcBorders>
              <w:bottom w:val="single" w:color="000000" w:sz="4" w:space="0"/>
              <w:right w:val="single" w:color="000000" w:sz="4" w:space="0"/>
            </w:tcBorders>
            <w:tcW w:w="1390" w:type="dxa"/>
            <w:vAlign w:val="center"/>
            <w:textDirection w:val="lrTb"/>
            <w:noWrap w:val="false"/>
          </w:tcPr>
          <w:p>
            <w:pPr>
              <w:pStyle w:val="1063"/>
              <w:jc w:val="center"/>
              <w:shd w:val="clear" w:color="auto" w:fill="ffffff"/>
              <w:widowControl w:val="off"/>
              <w:rPr>
                <w:sz w:val="20"/>
                <w:szCs w:val="20"/>
              </w:rPr>
            </w:pPr>
            <w:r>
              <w:rPr>
                <w:rFonts w:ascii="Arial Narrow" w:hAnsi="Arial Narrow"/>
                <w:bCs/>
                <w:color w:val="000000"/>
                <w:sz w:val="20"/>
                <w:szCs w:val="20"/>
                <w:shd w:val="clear" w:color="auto" w:fill="ffffff"/>
              </w:rPr>
              <w:t xml:space="preserve">5 438,75</w:t>
            </w:r>
            <w:r>
              <w:rPr>
                <w:rFonts w:ascii="Arial Narrow" w:hAnsi="Arial Narrow"/>
                <w:bCs/>
                <w:color w:val="000000"/>
                <w:sz w:val="20"/>
                <w:szCs w:val="20"/>
                <w:shd w:val="clear" w:color="auto" w:fill="ffffff"/>
                <w:lang w:val="en-US"/>
              </w:rPr>
              <w:t xml:space="preserve">3</w:t>
            </w:r>
            <w:r>
              <w:rPr>
                <w:sz w:val="20"/>
                <w:szCs w:val="20"/>
              </w:rPr>
            </w:r>
            <w:r>
              <w:rPr>
                <w:sz w:val="20"/>
                <w:szCs w:val="20"/>
              </w:rPr>
            </w:r>
          </w:p>
        </w:tc>
        <w:tc>
          <w:tcPr>
            <w:shd w:val="clear" w:color="auto" w:fill="ffffff"/>
            <w:tcBorders>
              <w:bottom w:val="single" w:color="000000" w:sz="4" w:space="0"/>
              <w:right w:val="single" w:color="000000" w:sz="4" w:space="0"/>
            </w:tcBorders>
            <w:tcW w:w="1627" w:type="dxa"/>
            <w:vAlign w:val="center"/>
            <w:textDirection w:val="lrTb"/>
            <w:noWrap w:val="false"/>
          </w:tcPr>
          <w:p>
            <w:pPr>
              <w:pStyle w:val="1063"/>
              <w:jc w:val="center"/>
              <w:shd w:val="clear" w:color="auto" w:fill="ffffff"/>
              <w:widowControl w:val="off"/>
              <w:rPr>
                <w:sz w:val="20"/>
                <w:szCs w:val="20"/>
              </w:rPr>
            </w:pPr>
            <w:r>
              <w:rPr>
                <w:rFonts w:ascii="Arial Narrow" w:hAnsi="Arial Narrow"/>
                <w:bCs/>
                <w:color w:val="000000"/>
                <w:sz w:val="20"/>
                <w:szCs w:val="20"/>
                <w:shd w:val="clear" w:color="auto" w:fill="ffffff"/>
              </w:rPr>
              <w:t xml:space="preserve">- 2 067,876</w:t>
            </w:r>
            <w:r>
              <w:rPr>
                <w:sz w:val="20"/>
                <w:szCs w:val="20"/>
              </w:rPr>
            </w:r>
            <w:r>
              <w:rPr>
                <w:sz w:val="20"/>
                <w:szCs w:val="20"/>
              </w:rPr>
            </w:r>
          </w:p>
        </w:tc>
        <w:tc>
          <w:tcPr>
            <w:shd w:val="clear" w:color="auto" w:fill="ffffff"/>
            <w:tcBorders>
              <w:bottom w:val="single" w:color="000000" w:sz="4" w:space="0"/>
              <w:right w:val="single" w:color="000000" w:sz="4" w:space="0"/>
            </w:tcBorders>
            <w:tcW w:w="898" w:type="dxa"/>
            <w:vAlign w:val="bottom"/>
            <w:textDirection w:val="lrTb"/>
            <w:noWrap w:val="false"/>
          </w:tcPr>
          <w:p>
            <w:pPr>
              <w:pStyle w:val="1063"/>
              <w:jc w:val="center"/>
              <w:shd w:val="clear" w:color="auto" w:fill="ffffff"/>
              <w:widowControl w:val="off"/>
              <w:rPr>
                <w:sz w:val="20"/>
                <w:szCs w:val="20"/>
              </w:rPr>
            </w:pPr>
            <w:r>
              <w:rPr>
                <w:rFonts w:ascii="Arial Narrow" w:hAnsi="Arial Narrow"/>
                <w:bCs/>
                <w:color w:val="000000"/>
                <w:sz w:val="20"/>
                <w:szCs w:val="20"/>
                <w:shd w:val="clear" w:color="auto" w:fill="ffffff"/>
                <w:lang w:val="en-US"/>
              </w:rPr>
              <w:t xml:space="preserve">-28</w:t>
            </w:r>
            <w:r>
              <w:rPr>
                <w:sz w:val="20"/>
                <w:szCs w:val="20"/>
              </w:rPr>
            </w:r>
            <w:r>
              <w:rPr>
                <w:sz w:val="20"/>
                <w:szCs w:val="20"/>
              </w:rPr>
            </w:r>
          </w:p>
        </w:tc>
      </w:tr>
      <w:tr>
        <w:trPr>
          <w:trHeight w:val="23"/>
        </w:trPr>
        <w:tc>
          <w:tcPr>
            <w:shd w:val="clear" w:color="auto" w:fill="ffffff"/>
            <w:tcBorders>
              <w:left w:val="single" w:color="000000" w:sz="4" w:space="0"/>
              <w:bottom w:val="single" w:color="000000" w:sz="4" w:space="0"/>
              <w:right w:val="single" w:color="000000" w:sz="4" w:space="0"/>
            </w:tcBorders>
            <w:tcW w:w="4595" w:type="dxa"/>
            <w:vAlign w:val="center"/>
            <w:textDirection w:val="lrTb"/>
            <w:noWrap w:val="false"/>
          </w:tcPr>
          <w:p>
            <w:pPr>
              <w:pStyle w:val="1063"/>
              <w:shd w:val="clear" w:color="auto" w:fill="ffffff"/>
              <w:widowControl w:val="off"/>
              <w:rPr>
                <w:sz w:val="20"/>
                <w:szCs w:val="20"/>
              </w:rPr>
            </w:pPr>
            <w:r>
              <w:rPr>
                <w:rFonts w:ascii="Arial Narrow" w:hAnsi="Arial Narrow"/>
                <w:color w:val="000000"/>
                <w:sz w:val="20"/>
                <w:szCs w:val="20"/>
                <w:shd w:val="clear" w:color="auto" w:fill="ffffff"/>
              </w:rPr>
              <w:t xml:space="preserve">1.    Техническое перевооружение</w:t>
            </w:r>
            <w:r>
              <w:rPr>
                <w:sz w:val="20"/>
                <w:szCs w:val="20"/>
              </w:rPr>
            </w:r>
            <w:r>
              <w:rPr>
                <w:sz w:val="20"/>
                <w:szCs w:val="20"/>
              </w:rPr>
            </w:r>
          </w:p>
        </w:tc>
        <w:tc>
          <w:tcPr>
            <w:shd w:val="clear" w:color="auto" w:fill="ffffff"/>
            <w:tcBorders>
              <w:bottom w:val="single" w:color="000000" w:sz="4" w:space="0"/>
              <w:right w:val="single" w:color="000000" w:sz="4" w:space="0"/>
            </w:tcBorders>
            <w:tcW w:w="1545" w:type="dxa"/>
            <w:vAlign w:val="center"/>
            <w:textDirection w:val="lrTb"/>
            <w:noWrap w:val="false"/>
          </w:tcPr>
          <w:p>
            <w:pPr>
              <w:pStyle w:val="1063"/>
              <w:jc w:val="center"/>
              <w:shd w:val="clear" w:color="auto" w:fill="ffffff"/>
              <w:widowControl w:val="off"/>
              <w:rPr>
                <w:rFonts w:ascii="Arial Narrow" w:hAnsi="Arial Narrow"/>
                <w:color w:val="000000"/>
                <w:sz w:val="20"/>
                <w:szCs w:val="20"/>
                <w:shd w:val="clear" w:color="auto" w:fill="ffffff"/>
              </w:rPr>
            </w:pPr>
            <w:r>
              <w:rPr>
                <w:rFonts w:ascii="Arial Narrow" w:hAnsi="Arial Narrow"/>
                <w:color w:val="000000"/>
                <w:sz w:val="20"/>
                <w:szCs w:val="20"/>
                <w:shd w:val="clear" w:color="auto" w:fill="ffffff"/>
                <w:lang w:val="en-US"/>
              </w:rPr>
              <w:t xml:space="preserve">1 644,787</w:t>
            </w:r>
            <w:r>
              <w:rPr>
                <w:rFonts w:ascii="Arial Narrow" w:hAnsi="Arial Narrow"/>
                <w:color w:val="000000"/>
                <w:sz w:val="20"/>
                <w:szCs w:val="20"/>
                <w:shd w:val="clear" w:color="auto" w:fill="ffffff"/>
              </w:rPr>
            </w:r>
            <w:r>
              <w:rPr>
                <w:rFonts w:ascii="Arial Narrow" w:hAnsi="Arial Narrow"/>
                <w:color w:val="000000"/>
                <w:sz w:val="20"/>
                <w:szCs w:val="20"/>
                <w:shd w:val="clear" w:color="auto" w:fill="ffffff"/>
              </w:rPr>
            </w:r>
          </w:p>
        </w:tc>
        <w:tc>
          <w:tcPr>
            <w:shd w:val="clear" w:color="auto" w:fill="ffffff"/>
            <w:tcBorders>
              <w:bottom w:val="single" w:color="000000" w:sz="4" w:space="0"/>
              <w:right w:val="single" w:color="000000" w:sz="4" w:space="0"/>
            </w:tcBorders>
            <w:tcW w:w="1390" w:type="dxa"/>
            <w:vAlign w:val="center"/>
            <w:textDirection w:val="lrTb"/>
            <w:noWrap w:val="false"/>
          </w:tcPr>
          <w:p>
            <w:pPr>
              <w:pStyle w:val="1063"/>
              <w:jc w:val="center"/>
              <w:shd w:val="clear" w:color="auto" w:fill="ffffff"/>
              <w:widowControl w:val="off"/>
              <w:rPr>
                <w:sz w:val="20"/>
                <w:szCs w:val="20"/>
              </w:rPr>
            </w:pPr>
            <w:r>
              <w:rPr>
                <w:rFonts w:ascii="Arial Narrow" w:hAnsi="Arial Narrow"/>
                <w:color w:val="000000"/>
                <w:sz w:val="20"/>
                <w:szCs w:val="20"/>
                <w:shd w:val="clear" w:color="auto" w:fill="ffffff"/>
              </w:rPr>
              <w:t xml:space="preserve">1 </w:t>
            </w:r>
            <w:r>
              <w:rPr>
                <w:rFonts w:ascii="Arial Narrow" w:hAnsi="Arial Narrow"/>
                <w:color w:val="000000"/>
                <w:sz w:val="20"/>
                <w:szCs w:val="20"/>
                <w:shd w:val="clear" w:color="auto" w:fill="ffffff"/>
                <w:lang w:val="en-US"/>
              </w:rPr>
              <w:t xml:space="preserve">519,230</w:t>
            </w:r>
            <w:r>
              <w:rPr>
                <w:sz w:val="20"/>
                <w:szCs w:val="20"/>
              </w:rPr>
            </w:r>
            <w:r>
              <w:rPr>
                <w:sz w:val="20"/>
                <w:szCs w:val="20"/>
              </w:rPr>
            </w:r>
          </w:p>
        </w:tc>
        <w:tc>
          <w:tcPr>
            <w:shd w:val="clear" w:color="auto" w:fill="ffffff"/>
            <w:tcBorders>
              <w:bottom w:val="single" w:color="000000" w:sz="4" w:space="0"/>
              <w:right w:val="single" w:color="000000" w:sz="4" w:space="0"/>
            </w:tcBorders>
            <w:tcW w:w="1627" w:type="dxa"/>
            <w:vAlign w:val="center"/>
            <w:textDirection w:val="lrTb"/>
            <w:noWrap w:val="false"/>
          </w:tcPr>
          <w:p>
            <w:pPr>
              <w:pStyle w:val="1063"/>
              <w:jc w:val="center"/>
              <w:shd w:val="clear" w:color="auto" w:fill="ffffff"/>
              <w:widowControl w:val="off"/>
              <w:rPr>
                <w:sz w:val="20"/>
                <w:szCs w:val="20"/>
              </w:rPr>
            </w:pPr>
            <w:r>
              <w:rPr>
                <w:rFonts w:ascii="Arial Narrow" w:hAnsi="Arial Narrow"/>
                <w:color w:val="000000"/>
                <w:sz w:val="20"/>
                <w:szCs w:val="20"/>
                <w:shd w:val="clear" w:color="auto" w:fill="ffffff"/>
              </w:rPr>
              <w:t xml:space="preserve">- </w:t>
            </w:r>
            <w:r>
              <w:rPr>
                <w:rFonts w:ascii="Arial Narrow" w:hAnsi="Arial Narrow"/>
                <w:color w:val="000000"/>
                <w:sz w:val="20"/>
                <w:szCs w:val="20"/>
                <w:shd w:val="clear" w:color="auto" w:fill="ffffff"/>
                <w:lang w:val="en-US"/>
              </w:rPr>
              <w:t xml:space="preserve">125,557</w:t>
            </w:r>
            <w:r>
              <w:rPr>
                <w:sz w:val="20"/>
                <w:szCs w:val="20"/>
              </w:rPr>
            </w:r>
            <w:r>
              <w:rPr>
                <w:sz w:val="20"/>
                <w:szCs w:val="20"/>
              </w:rPr>
            </w:r>
          </w:p>
        </w:tc>
        <w:tc>
          <w:tcPr>
            <w:shd w:val="clear" w:color="auto" w:fill="ffffff"/>
            <w:tcBorders>
              <w:bottom w:val="single" w:color="000000" w:sz="4" w:space="0"/>
              <w:right w:val="single" w:color="000000" w:sz="4" w:space="0"/>
            </w:tcBorders>
            <w:tcW w:w="898" w:type="dxa"/>
            <w:vAlign w:val="bottom"/>
            <w:textDirection w:val="lrTb"/>
            <w:noWrap w:val="false"/>
          </w:tcPr>
          <w:p>
            <w:pPr>
              <w:pStyle w:val="1063"/>
              <w:jc w:val="center"/>
              <w:shd w:val="clear" w:color="auto" w:fill="ffffff"/>
              <w:widowControl w:val="off"/>
              <w:rPr>
                <w:sz w:val="20"/>
                <w:szCs w:val="20"/>
              </w:rPr>
            </w:pPr>
            <w:r>
              <w:rPr>
                <w:rFonts w:ascii="Arial Narrow" w:hAnsi="Arial Narrow"/>
                <w:color w:val="000000"/>
                <w:sz w:val="20"/>
                <w:szCs w:val="20"/>
                <w:shd w:val="clear" w:color="auto" w:fill="ffffff"/>
                <w:lang w:val="en-US"/>
              </w:rPr>
              <w:t xml:space="preserve">-8</w:t>
            </w:r>
            <w:r>
              <w:rPr>
                <w:sz w:val="20"/>
                <w:szCs w:val="20"/>
              </w:rPr>
            </w:r>
            <w:r>
              <w:rPr>
                <w:sz w:val="20"/>
                <w:szCs w:val="20"/>
              </w:rPr>
            </w:r>
          </w:p>
        </w:tc>
      </w:tr>
      <w:tr>
        <w:trPr>
          <w:trHeight w:val="23"/>
        </w:trPr>
        <w:tc>
          <w:tcPr>
            <w:shd w:val="clear" w:color="auto" w:fill="ffffff"/>
            <w:tcBorders>
              <w:left w:val="single" w:color="000000" w:sz="4" w:space="0"/>
              <w:bottom w:val="single" w:color="000000" w:sz="4" w:space="0"/>
              <w:right w:val="single" w:color="000000" w:sz="4" w:space="0"/>
            </w:tcBorders>
            <w:tcW w:w="4595" w:type="dxa"/>
            <w:vAlign w:val="center"/>
            <w:textDirection w:val="lrTb"/>
            <w:noWrap w:val="false"/>
          </w:tcPr>
          <w:p>
            <w:pPr>
              <w:pStyle w:val="1063"/>
              <w:shd w:val="clear" w:color="auto" w:fill="ffffff"/>
              <w:widowControl w:val="off"/>
              <w:rPr>
                <w:sz w:val="20"/>
                <w:szCs w:val="20"/>
              </w:rPr>
            </w:pPr>
            <w:r>
              <w:rPr>
                <w:rFonts w:ascii="Arial Narrow" w:hAnsi="Arial Narrow"/>
                <w:color w:val="000000"/>
                <w:sz w:val="20"/>
                <w:szCs w:val="20"/>
                <w:shd w:val="clear" w:color="auto" w:fill="ffffff"/>
              </w:rPr>
              <w:t xml:space="preserve">2.    Новое строительство</w:t>
            </w:r>
            <w:r>
              <w:rPr>
                <w:sz w:val="20"/>
                <w:szCs w:val="20"/>
              </w:rPr>
            </w:r>
            <w:r>
              <w:rPr>
                <w:sz w:val="20"/>
                <w:szCs w:val="20"/>
              </w:rPr>
            </w:r>
          </w:p>
        </w:tc>
        <w:tc>
          <w:tcPr>
            <w:shd w:val="clear" w:color="auto" w:fill="ffffff"/>
            <w:tcBorders>
              <w:bottom w:val="single" w:color="000000" w:sz="4" w:space="0"/>
              <w:right w:val="single" w:color="000000" w:sz="4" w:space="0"/>
            </w:tcBorders>
            <w:tcW w:w="1545" w:type="dxa"/>
            <w:vAlign w:val="center"/>
            <w:textDirection w:val="lrTb"/>
            <w:noWrap w:val="false"/>
          </w:tcPr>
          <w:p>
            <w:pPr>
              <w:pStyle w:val="1063"/>
              <w:jc w:val="center"/>
              <w:shd w:val="clear" w:color="auto" w:fill="ffffff"/>
              <w:widowControl w:val="off"/>
              <w:rPr>
                <w:sz w:val="20"/>
                <w:szCs w:val="20"/>
              </w:rPr>
            </w:pPr>
            <w:r>
              <w:rPr>
                <w:rFonts w:ascii="Arial Narrow" w:hAnsi="Arial Narrow"/>
                <w:color w:val="000000"/>
                <w:sz w:val="20"/>
                <w:szCs w:val="20"/>
                <w:shd w:val="clear" w:color="auto" w:fill="ffffff"/>
                <w:lang w:val="en-US"/>
              </w:rPr>
              <w:t xml:space="preserve">97,796</w:t>
            </w:r>
            <w:r>
              <w:rPr>
                <w:sz w:val="20"/>
                <w:szCs w:val="20"/>
              </w:rPr>
            </w:r>
            <w:r>
              <w:rPr>
                <w:sz w:val="20"/>
                <w:szCs w:val="20"/>
              </w:rPr>
            </w:r>
          </w:p>
        </w:tc>
        <w:tc>
          <w:tcPr>
            <w:shd w:val="clear" w:color="auto" w:fill="ffffff"/>
            <w:tcBorders>
              <w:bottom w:val="single" w:color="000000" w:sz="4" w:space="0"/>
              <w:right w:val="single" w:color="000000" w:sz="4" w:space="0"/>
            </w:tcBorders>
            <w:tcW w:w="1390" w:type="dxa"/>
            <w:vAlign w:val="center"/>
            <w:textDirection w:val="lrTb"/>
            <w:noWrap w:val="false"/>
          </w:tcPr>
          <w:p>
            <w:pPr>
              <w:pStyle w:val="1063"/>
              <w:jc w:val="center"/>
              <w:shd w:val="clear" w:color="auto" w:fill="ffffff"/>
              <w:widowControl w:val="off"/>
              <w:rPr>
                <w:sz w:val="20"/>
                <w:szCs w:val="20"/>
              </w:rPr>
            </w:pPr>
            <w:r>
              <w:rPr>
                <w:rFonts w:ascii="Arial Narrow" w:hAnsi="Arial Narrow"/>
                <w:color w:val="000000"/>
                <w:sz w:val="20"/>
                <w:szCs w:val="20"/>
                <w:shd w:val="clear" w:color="auto" w:fill="ffffff"/>
                <w:lang w:val="en-US"/>
              </w:rPr>
              <w:t xml:space="preserve">164,899</w:t>
            </w:r>
            <w:r>
              <w:rPr>
                <w:sz w:val="20"/>
                <w:szCs w:val="20"/>
              </w:rPr>
            </w:r>
            <w:r>
              <w:rPr>
                <w:sz w:val="20"/>
                <w:szCs w:val="20"/>
              </w:rPr>
            </w:r>
          </w:p>
        </w:tc>
        <w:tc>
          <w:tcPr>
            <w:shd w:val="clear" w:color="auto" w:fill="ffffff"/>
            <w:tcBorders>
              <w:bottom w:val="single" w:color="000000" w:sz="4" w:space="0"/>
              <w:right w:val="single" w:color="000000" w:sz="4" w:space="0"/>
            </w:tcBorders>
            <w:tcW w:w="1627" w:type="dxa"/>
            <w:vAlign w:val="center"/>
            <w:textDirection w:val="lrTb"/>
            <w:noWrap w:val="false"/>
          </w:tcPr>
          <w:p>
            <w:pPr>
              <w:pStyle w:val="1063"/>
              <w:jc w:val="center"/>
              <w:shd w:val="clear" w:color="auto" w:fill="ffffff"/>
              <w:widowControl w:val="off"/>
              <w:rPr>
                <w:sz w:val="20"/>
                <w:szCs w:val="20"/>
              </w:rPr>
            </w:pPr>
            <w:r>
              <w:rPr>
                <w:rFonts w:ascii="Arial Narrow" w:hAnsi="Arial Narrow"/>
                <w:color w:val="000000"/>
                <w:sz w:val="20"/>
                <w:szCs w:val="20"/>
                <w:shd w:val="clear" w:color="auto" w:fill="ffffff"/>
              </w:rPr>
              <w:t xml:space="preserve">67,</w:t>
            </w:r>
            <w:r>
              <w:rPr>
                <w:rFonts w:ascii="Arial Narrow" w:hAnsi="Arial Narrow"/>
                <w:color w:val="000000"/>
                <w:sz w:val="20"/>
                <w:szCs w:val="20"/>
                <w:shd w:val="clear" w:color="auto" w:fill="ffffff"/>
                <w:lang w:val="en-US"/>
              </w:rPr>
              <w:t xml:space="preserve">103</w:t>
            </w:r>
            <w:r>
              <w:rPr>
                <w:sz w:val="20"/>
                <w:szCs w:val="20"/>
              </w:rPr>
            </w:r>
            <w:r>
              <w:rPr>
                <w:sz w:val="20"/>
                <w:szCs w:val="20"/>
              </w:rPr>
            </w:r>
          </w:p>
        </w:tc>
        <w:tc>
          <w:tcPr>
            <w:shd w:val="clear" w:color="auto" w:fill="ffffff"/>
            <w:tcBorders>
              <w:bottom w:val="single" w:color="000000" w:sz="4" w:space="0"/>
              <w:right w:val="single" w:color="000000" w:sz="4" w:space="0"/>
            </w:tcBorders>
            <w:tcW w:w="898" w:type="dxa"/>
            <w:vAlign w:val="bottom"/>
            <w:textDirection w:val="lrTb"/>
            <w:noWrap w:val="false"/>
          </w:tcPr>
          <w:p>
            <w:pPr>
              <w:pStyle w:val="1063"/>
              <w:jc w:val="center"/>
              <w:shd w:val="clear" w:color="auto" w:fill="ffffff"/>
              <w:widowControl w:val="off"/>
              <w:rPr>
                <w:sz w:val="20"/>
                <w:szCs w:val="20"/>
              </w:rPr>
            </w:pPr>
            <w:r>
              <w:rPr>
                <w:rFonts w:ascii="Arial Narrow" w:hAnsi="Arial Narrow"/>
                <w:color w:val="000000"/>
                <w:sz w:val="20"/>
                <w:szCs w:val="20"/>
                <w:shd w:val="clear" w:color="auto" w:fill="ffffff"/>
              </w:rPr>
              <w:t xml:space="preserve">69</w:t>
            </w:r>
            <w:r>
              <w:rPr>
                <w:sz w:val="20"/>
                <w:szCs w:val="20"/>
              </w:rPr>
            </w:r>
            <w:r>
              <w:rPr>
                <w:sz w:val="20"/>
                <w:szCs w:val="20"/>
              </w:rPr>
            </w:r>
          </w:p>
        </w:tc>
      </w:tr>
      <w:tr>
        <w:trPr>
          <w:trHeight w:val="23"/>
        </w:trPr>
        <w:tc>
          <w:tcPr>
            <w:shd w:val="clear" w:color="auto" w:fill="ffffff"/>
            <w:tcBorders>
              <w:left w:val="single" w:color="000000" w:sz="4" w:space="0"/>
              <w:bottom w:val="single" w:color="000000" w:sz="4" w:space="0"/>
              <w:right w:val="single" w:color="000000" w:sz="4" w:space="0"/>
            </w:tcBorders>
            <w:tcW w:w="4595" w:type="dxa"/>
            <w:vAlign w:val="center"/>
            <w:textDirection w:val="lrTb"/>
            <w:noWrap w:val="false"/>
          </w:tcPr>
          <w:p>
            <w:pPr>
              <w:pStyle w:val="1063"/>
              <w:shd w:val="clear" w:color="auto" w:fill="ffffff"/>
              <w:widowControl w:val="off"/>
              <w:rPr>
                <w:sz w:val="20"/>
                <w:szCs w:val="20"/>
              </w:rPr>
            </w:pPr>
            <w:r>
              <w:rPr>
                <w:rFonts w:ascii="Arial Narrow" w:hAnsi="Arial Narrow"/>
                <w:color w:val="000000"/>
                <w:sz w:val="20"/>
                <w:szCs w:val="20"/>
                <w:shd w:val="clear" w:color="auto" w:fill="ffffff"/>
              </w:rPr>
              <w:t xml:space="preserve">3.    Технологическое присоединение</w:t>
            </w:r>
            <w:r>
              <w:rPr>
                <w:sz w:val="20"/>
                <w:szCs w:val="20"/>
              </w:rPr>
            </w:r>
            <w:r>
              <w:rPr>
                <w:sz w:val="20"/>
                <w:szCs w:val="20"/>
              </w:rPr>
            </w:r>
          </w:p>
        </w:tc>
        <w:tc>
          <w:tcPr>
            <w:shd w:val="clear" w:color="auto" w:fill="ffffff"/>
            <w:tcBorders>
              <w:bottom w:val="single" w:color="000000" w:sz="4" w:space="0"/>
              <w:right w:val="single" w:color="000000" w:sz="4" w:space="0"/>
            </w:tcBorders>
            <w:tcW w:w="1545" w:type="dxa"/>
            <w:vAlign w:val="center"/>
            <w:textDirection w:val="lrTb"/>
            <w:noWrap w:val="false"/>
          </w:tcPr>
          <w:p>
            <w:pPr>
              <w:pStyle w:val="1063"/>
              <w:jc w:val="center"/>
              <w:shd w:val="clear" w:color="auto" w:fill="ffffff"/>
              <w:widowControl w:val="off"/>
              <w:rPr>
                <w:sz w:val="20"/>
                <w:szCs w:val="20"/>
              </w:rPr>
            </w:pPr>
            <w:r>
              <w:rPr>
                <w:rFonts w:ascii="Arial Narrow" w:hAnsi="Arial Narrow"/>
                <w:color w:val="000000"/>
                <w:sz w:val="20"/>
                <w:szCs w:val="20"/>
                <w:shd w:val="clear" w:color="auto" w:fill="ffffff"/>
              </w:rPr>
              <w:t xml:space="preserve">4 887,95</w:t>
            </w:r>
            <w:r>
              <w:rPr>
                <w:rFonts w:ascii="Arial Narrow" w:hAnsi="Arial Narrow"/>
                <w:color w:val="000000"/>
                <w:sz w:val="20"/>
                <w:szCs w:val="20"/>
                <w:shd w:val="clear" w:color="auto" w:fill="ffffff"/>
                <w:lang w:val="en-US"/>
              </w:rPr>
              <w:t xml:space="preserve">9</w:t>
            </w:r>
            <w:r>
              <w:rPr>
                <w:sz w:val="20"/>
                <w:szCs w:val="20"/>
              </w:rPr>
            </w:r>
            <w:r>
              <w:rPr>
                <w:sz w:val="20"/>
                <w:szCs w:val="20"/>
              </w:rPr>
            </w:r>
          </w:p>
        </w:tc>
        <w:tc>
          <w:tcPr>
            <w:shd w:val="clear" w:color="auto" w:fill="ffffff"/>
            <w:tcBorders>
              <w:bottom w:val="single" w:color="000000" w:sz="4" w:space="0"/>
              <w:right w:val="single" w:color="000000" w:sz="4" w:space="0"/>
            </w:tcBorders>
            <w:tcW w:w="1390" w:type="dxa"/>
            <w:vAlign w:val="center"/>
            <w:textDirection w:val="lrTb"/>
            <w:noWrap w:val="false"/>
          </w:tcPr>
          <w:p>
            <w:pPr>
              <w:pStyle w:val="1063"/>
              <w:jc w:val="center"/>
              <w:shd w:val="clear" w:color="auto" w:fill="ffffff"/>
              <w:widowControl w:val="off"/>
              <w:rPr>
                <w:sz w:val="20"/>
                <w:szCs w:val="20"/>
              </w:rPr>
            </w:pPr>
            <w:r>
              <w:rPr>
                <w:rFonts w:ascii="Arial Narrow" w:hAnsi="Arial Narrow"/>
                <w:color w:val="000000"/>
                <w:sz w:val="20"/>
                <w:szCs w:val="20"/>
                <w:shd w:val="clear" w:color="auto" w:fill="ffffff"/>
              </w:rPr>
              <w:t xml:space="preserve">3 146,</w:t>
            </w:r>
            <w:r>
              <w:rPr>
                <w:rFonts w:ascii="Arial Narrow" w:hAnsi="Arial Narrow"/>
                <w:color w:val="000000"/>
                <w:sz w:val="20"/>
                <w:szCs w:val="20"/>
                <w:shd w:val="clear" w:color="auto" w:fill="ffffff"/>
                <w:lang w:val="en-US"/>
              </w:rPr>
              <w:t xml:space="preserve">523</w:t>
            </w:r>
            <w:r>
              <w:rPr>
                <w:sz w:val="20"/>
                <w:szCs w:val="20"/>
              </w:rPr>
            </w:r>
            <w:r>
              <w:rPr>
                <w:sz w:val="20"/>
                <w:szCs w:val="20"/>
              </w:rPr>
            </w:r>
          </w:p>
        </w:tc>
        <w:tc>
          <w:tcPr>
            <w:shd w:val="clear" w:color="auto" w:fill="ffffff"/>
            <w:tcBorders>
              <w:bottom w:val="single" w:color="000000" w:sz="4" w:space="0"/>
              <w:right w:val="single" w:color="000000" w:sz="4" w:space="0"/>
            </w:tcBorders>
            <w:tcW w:w="1627" w:type="dxa"/>
            <w:vAlign w:val="center"/>
            <w:textDirection w:val="lrTb"/>
            <w:noWrap w:val="false"/>
          </w:tcPr>
          <w:p>
            <w:pPr>
              <w:pStyle w:val="1063"/>
              <w:jc w:val="center"/>
              <w:shd w:val="clear" w:color="auto" w:fill="ffffff"/>
              <w:widowControl w:val="off"/>
              <w:rPr>
                <w:sz w:val="20"/>
                <w:szCs w:val="20"/>
              </w:rPr>
            </w:pPr>
            <w:r>
              <w:rPr>
                <w:rFonts w:ascii="Arial Narrow" w:hAnsi="Arial Narrow"/>
                <w:color w:val="000000"/>
                <w:sz w:val="20"/>
                <w:szCs w:val="20"/>
                <w:shd w:val="clear" w:color="auto" w:fill="ffffff"/>
              </w:rPr>
              <w:t xml:space="preserve">- 1 7</w:t>
            </w:r>
            <w:r>
              <w:rPr>
                <w:rFonts w:ascii="Arial Narrow" w:hAnsi="Arial Narrow"/>
                <w:color w:val="000000"/>
                <w:sz w:val="20"/>
                <w:szCs w:val="20"/>
                <w:shd w:val="clear" w:color="auto" w:fill="ffffff"/>
                <w:lang w:val="en-US"/>
              </w:rPr>
              <w:t xml:space="preserve">41,436</w:t>
            </w:r>
            <w:r>
              <w:rPr>
                <w:sz w:val="20"/>
                <w:szCs w:val="20"/>
              </w:rPr>
            </w:r>
            <w:r>
              <w:rPr>
                <w:sz w:val="20"/>
                <w:szCs w:val="20"/>
              </w:rPr>
            </w:r>
          </w:p>
        </w:tc>
        <w:tc>
          <w:tcPr>
            <w:shd w:val="clear" w:color="auto" w:fill="ffffff"/>
            <w:tcBorders>
              <w:bottom w:val="single" w:color="000000" w:sz="4" w:space="0"/>
              <w:right w:val="single" w:color="000000" w:sz="4" w:space="0"/>
            </w:tcBorders>
            <w:tcW w:w="898" w:type="dxa"/>
            <w:vAlign w:val="bottom"/>
            <w:textDirection w:val="lrTb"/>
            <w:noWrap w:val="false"/>
          </w:tcPr>
          <w:p>
            <w:pPr>
              <w:pStyle w:val="1063"/>
              <w:jc w:val="center"/>
              <w:shd w:val="clear" w:color="auto" w:fill="ffffff"/>
              <w:widowControl w:val="off"/>
              <w:rPr>
                <w:rFonts w:ascii="Arial Narrow" w:hAnsi="Arial Narrow"/>
                <w:color w:val="000000"/>
                <w:sz w:val="20"/>
                <w:szCs w:val="20"/>
                <w:shd w:val="clear" w:color="auto" w:fill="ffffff"/>
              </w:rPr>
            </w:pPr>
            <w:r>
              <w:rPr>
                <w:rFonts w:ascii="Arial Narrow" w:hAnsi="Arial Narrow"/>
                <w:color w:val="000000"/>
                <w:sz w:val="20"/>
                <w:szCs w:val="20"/>
                <w:shd w:val="clear" w:color="auto" w:fill="ffffff"/>
              </w:rPr>
              <w:t xml:space="preserve">-36</w:t>
            </w:r>
            <w:r>
              <w:rPr>
                <w:rFonts w:ascii="Arial Narrow" w:hAnsi="Arial Narrow"/>
                <w:color w:val="000000"/>
                <w:sz w:val="20"/>
                <w:szCs w:val="20"/>
                <w:shd w:val="clear" w:color="auto" w:fill="ffffff"/>
              </w:rPr>
            </w:r>
            <w:r>
              <w:rPr>
                <w:rFonts w:ascii="Arial Narrow" w:hAnsi="Arial Narrow"/>
                <w:color w:val="000000"/>
                <w:sz w:val="20"/>
                <w:szCs w:val="20"/>
                <w:shd w:val="clear" w:color="auto" w:fill="ffffff"/>
              </w:rPr>
            </w:r>
          </w:p>
        </w:tc>
      </w:tr>
      <w:tr>
        <w:trPr>
          <w:trHeight w:val="23"/>
        </w:trPr>
        <w:tc>
          <w:tcPr>
            <w:shd w:val="clear" w:color="auto" w:fill="ffffff"/>
            <w:tcBorders>
              <w:left w:val="single" w:color="000000" w:sz="4" w:space="0"/>
              <w:bottom w:val="single" w:color="000000" w:sz="4" w:space="0"/>
              <w:right w:val="single" w:color="000000" w:sz="4" w:space="0"/>
            </w:tcBorders>
            <w:tcW w:w="4595" w:type="dxa"/>
            <w:vAlign w:val="center"/>
            <w:textDirection w:val="lrTb"/>
            <w:noWrap w:val="false"/>
          </w:tcPr>
          <w:p>
            <w:pPr>
              <w:pStyle w:val="1063"/>
              <w:shd w:val="clear" w:color="auto" w:fill="ffffff"/>
              <w:widowControl w:val="off"/>
              <w:rPr>
                <w:sz w:val="20"/>
                <w:szCs w:val="20"/>
              </w:rPr>
            </w:pPr>
            <w:r>
              <w:rPr>
                <w:rFonts w:ascii="Arial Narrow" w:hAnsi="Arial Narrow"/>
                <w:color w:val="000000"/>
                <w:sz w:val="20"/>
                <w:szCs w:val="20"/>
                <w:shd w:val="clear" w:color="auto" w:fill="ffffff"/>
              </w:rPr>
              <w:t xml:space="preserve">4.    Прочие инвестиции</w:t>
            </w:r>
            <w:r>
              <w:rPr>
                <w:sz w:val="20"/>
                <w:szCs w:val="20"/>
              </w:rPr>
            </w:r>
            <w:r>
              <w:rPr>
                <w:sz w:val="20"/>
                <w:szCs w:val="20"/>
              </w:rPr>
            </w:r>
          </w:p>
        </w:tc>
        <w:tc>
          <w:tcPr>
            <w:shd w:val="clear" w:color="auto" w:fill="ffffff"/>
            <w:tcBorders>
              <w:bottom w:val="single" w:color="000000" w:sz="4" w:space="0"/>
              <w:right w:val="single" w:color="000000" w:sz="4" w:space="0"/>
            </w:tcBorders>
            <w:tcW w:w="1545" w:type="dxa"/>
            <w:vAlign w:val="center"/>
            <w:textDirection w:val="lrTb"/>
            <w:noWrap w:val="false"/>
          </w:tcPr>
          <w:p>
            <w:pPr>
              <w:pStyle w:val="1063"/>
              <w:jc w:val="center"/>
              <w:shd w:val="clear" w:color="auto" w:fill="ffffff"/>
              <w:widowControl w:val="off"/>
              <w:rPr>
                <w:sz w:val="20"/>
                <w:szCs w:val="20"/>
              </w:rPr>
            </w:pPr>
            <w:r>
              <w:rPr>
                <w:rFonts w:ascii="Arial Narrow" w:hAnsi="Arial Narrow"/>
                <w:color w:val="000000"/>
                <w:sz w:val="20"/>
                <w:szCs w:val="20"/>
                <w:shd w:val="clear" w:color="auto" w:fill="ffffff"/>
              </w:rPr>
              <w:t xml:space="preserve">634,679</w:t>
            </w:r>
            <w:r>
              <w:rPr>
                <w:sz w:val="20"/>
                <w:szCs w:val="20"/>
              </w:rPr>
            </w:r>
            <w:r>
              <w:rPr>
                <w:sz w:val="20"/>
                <w:szCs w:val="20"/>
              </w:rPr>
            </w:r>
          </w:p>
        </w:tc>
        <w:tc>
          <w:tcPr>
            <w:shd w:val="clear" w:color="auto" w:fill="ffffff"/>
            <w:tcBorders>
              <w:bottom w:val="single" w:color="000000" w:sz="4" w:space="0"/>
              <w:right w:val="single" w:color="000000" w:sz="4" w:space="0"/>
            </w:tcBorders>
            <w:tcW w:w="1390" w:type="dxa"/>
            <w:vAlign w:val="center"/>
            <w:textDirection w:val="lrTb"/>
            <w:noWrap w:val="false"/>
          </w:tcPr>
          <w:p>
            <w:pPr>
              <w:pStyle w:val="1063"/>
              <w:jc w:val="center"/>
              <w:shd w:val="clear" w:color="auto" w:fill="ffffff"/>
              <w:widowControl w:val="off"/>
              <w:rPr>
                <w:sz w:val="20"/>
                <w:szCs w:val="20"/>
              </w:rPr>
            </w:pPr>
            <w:r>
              <w:rPr>
                <w:rFonts w:ascii="Arial Narrow" w:hAnsi="Arial Narrow"/>
                <w:color w:val="000000"/>
                <w:sz w:val="20"/>
                <w:szCs w:val="20"/>
                <w:shd w:val="clear" w:color="auto" w:fill="ffffff"/>
              </w:rPr>
              <w:t xml:space="preserve">472,488</w:t>
            </w:r>
            <w:r>
              <w:rPr>
                <w:sz w:val="20"/>
                <w:szCs w:val="20"/>
              </w:rPr>
            </w:r>
            <w:r>
              <w:rPr>
                <w:sz w:val="20"/>
                <w:szCs w:val="20"/>
              </w:rPr>
            </w:r>
          </w:p>
        </w:tc>
        <w:tc>
          <w:tcPr>
            <w:shd w:val="clear" w:color="auto" w:fill="ffffff"/>
            <w:tcBorders>
              <w:bottom w:val="single" w:color="000000" w:sz="4" w:space="0"/>
              <w:right w:val="single" w:color="000000" w:sz="4" w:space="0"/>
            </w:tcBorders>
            <w:tcW w:w="1627" w:type="dxa"/>
            <w:vAlign w:val="center"/>
            <w:textDirection w:val="lrTb"/>
            <w:noWrap w:val="false"/>
          </w:tcPr>
          <w:p>
            <w:pPr>
              <w:pStyle w:val="1063"/>
              <w:jc w:val="center"/>
              <w:shd w:val="clear" w:color="auto" w:fill="ffffff"/>
              <w:widowControl w:val="off"/>
              <w:rPr>
                <w:sz w:val="20"/>
                <w:szCs w:val="20"/>
              </w:rPr>
            </w:pPr>
            <w:r>
              <w:rPr>
                <w:rFonts w:ascii="Arial Narrow" w:hAnsi="Arial Narrow"/>
                <w:color w:val="000000"/>
                <w:sz w:val="20"/>
                <w:szCs w:val="20"/>
                <w:shd w:val="clear" w:color="auto" w:fill="ffffff"/>
              </w:rPr>
              <w:t xml:space="preserve">-162,191</w:t>
            </w:r>
            <w:r>
              <w:rPr>
                <w:sz w:val="20"/>
                <w:szCs w:val="20"/>
              </w:rPr>
            </w:r>
            <w:r>
              <w:rPr>
                <w:sz w:val="20"/>
                <w:szCs w:val="20"/>
              </w:rPr>
            </w:r>
          </w:p>
        </w:tc>
        <w:tc>
          <w:tcPr>
            <w:shd w:val="clear" w:color="auto" w:fill="ffffff"/>
            <w:tcBorders>
              <w:bottom w:val="single" w:color="000000" w:sz="4" w:space="0"/>
              <w:right w:val="single" w:color="000000" w:sz="4" w:space="0"/>
            </w:tcBorders>
            <w:tcW w:w="898" w:type="dxa"/>
            <w:vAlign w:val="bottom"/>
            <w:textDirection w:val="lrTb"/>
            <w:noWrap w:val="false"/>
          </w:tcPr>
          <w:p>
            <w:pPr>
              <w:pStyle w:val="1063"/>
              <w:jc w:val="center"/>
              <w:shd w:val="clear" w:color="auto" w:fill="ffffff"/>
              <w:widowControl w:val="off"/>
              <w:rPr>
                <w:rFonts w:ascii="Arial Narrow" w:hAnsi="Arial Narrow"/>
                <w:color w:val="000000"/>
                <w:sz w:val="20"/>
                <w:szCs w:val="20"/>
                <w:shd w:val="clear" w:color="auto" w:fill="ffffff"/>
              </w:rPr>
            </w:pPr>
            <w:r>
              <w:rPr>
                <w:rFonts w:ascii="Arial Narrow" w:hAnsi="Arial Narrow"/>
                <w:color w:val="000000"/>
                <w:sz w:val="20"/>
                <w:szCs w:val="20"/>
                <w:shd w:val="clear" w:color="auto" w:fill="ffffff"/>
                <w:lang w:val="en-US"/>
              </w:rPr>
              <w:t xml:space="preserve">-26</w:t>
            </w:r>
            <w:r>
              <w:rPr>
                <w:rFonts w:ascii="Arial Narrow" w:hAnsi="Arial Narrow"/>
                <w:color w:val="000000"/>
                <w:sz w:val="20"/>
                <w:szCs w:val="20"/>
                <w:shd w:val="clear" w:color="auto" w:fill="ffffff"/>
              </w:rPr>
            </w:r>
            <w:r>
              <w:rPr>
                <w:rFonts w:ascii="Arial Narrow" w:hAnsi="Arial Narrow"/>
                <w:color w:val="000000"/>
                <w:sz w:val="20"/>
                <w:szCs w:val="20"/>
                <w:shd w:val="clear" w:color="auto" w:fill="ffffff"/>
              </w:rPr>
            </w:r>
          </w:p>
        </w:tc>
      </w:tr>
      <w:tr>
        <w:trPr>
          <w:trHeight w:val="23"/>
        </w:trPr>
        <w:tc>
          <w:tcPr>
            <w:shd w:val="clear" w:color="auto" w:fill="ffffff"/>
            <w:tcBorders>
              <w:left w:val="single" w:color="000000" w:sz="4" w:space="0"/>
              <w:bottom w:val="single" w:color="000000" w:sz="4" w:space="0"/>
              <w:right w:val="single" w:color="000000" w:sz="4" w:space="0"/>
            </w:tcBorders>
            <w:tcW w:w="4595" w:type="dxa"/>
            <w:vAlign w:val="center"/>
            <w:textDirection w:val="lrTb"/>
            <w:noWrap w:val="false"/>
          </w:tcPr>
          <w:p>
            <w:pPr>
              <w:pStyle w:val="1063"/>
              <w:shd w:val="clear" w:color="auto" w:fill="ffffff"/>
              <w:widowControl w:val="off"/>
              <w:rPr>
                <w:sz w:val="20"/>
                <w:szCs w:val="20"/>
              </w:rPr>
            </w:pPr>
            <w:r>
              <w:rPr>
                <w:rFonts w:ascii="Arial Narrow" w:hAnsi="Arial Narrow"/>
                <w:color w:val="000000"/>
                <w:sz w:val="20"/>
                <w:szCs w:val="20"/>
                <w:shd w:val="clear" w:color="auto" w:fill="ffffff"/>
              </w:rPr>
              <w:t xml:space="preserve">5.    Капитализируемые ремонты</w:t>
            </w:r>
            <w:r>
              <w:rPr>
                <w:sz w:val="20"/>
                <w:szCs w:val="20"/>
              </w:rPr>
            </w:r>
            <w:r>
              <w:rPr>
                <w:sz w:val="20"/>
                <w:szCs w:val="20"/>
              </w:rPr>
            </w:r>
          </w:p>
        </w:tc>
        <w:tc>
          <w:tcPr>
            <w:shd w:val="clear" w:color="auto" w:fill="ffffff"/>
            <w:tcBorders>
              <w:bottom w:val="single" w:color="000000" w:sz="4" w:space="0"/>
              <w:right w:val="single" w:color="000000" w:sz="4" w:space="0"/>
            </w:tcBorders>
            <w:tcW w:w="1545" w:type="dxa"/>
            <w:vAlign w:val="center"/>
            <w:textDirection w:val="lrTb"/>
            <w:noWrap w:val="false"/>
          </w:tcPr>
          <w:p>
            <w:pPr>
              <w:pStyle w:val="1063"/>
              <w:jc w:val="center"/>
              <w:shd w:val="clear" w:color="auto" w:fill="ffffff"/>
              <w:widowControl w:val="off"/>
              <w:rPr>
                <w:sz w:val="20"/>
                <w:szCs w:val="20"/>
              </w:rPr>
            </w:pPr>
            <w:r>
              <w:rPr>
                <w:rFonts w:ascii="Arial Narrow" w:hAnsi="Arial Narrow"/>
                <w:color w:val="000000"/>
                <w:sz w:val="20"/>
                <w:szCs w:val="20"/>
                <w:shd w:val="clear" w:color="auto" w:fill="ffffff"/>
              </w:rPr>
              <w:t xml:space="preserve">241,408</w:t>
            </w:r>
            <w:r>
              <w:rPr>
                <w:sz w:val="20"/>
                <w:szCs w:val="20"/>
              </w:rPr>
            </w:r>
            <w:r>
              <w:rPr>
                <w:sz w:val="20"/>
                <w:szCs w:val="20"/>
              </w:rPr>
            </w:r>
          </w:p>
        </w:tc>
        <w:tc>
          <w:tcPr>
            <w:shd w:val="clear" w:color="auto" w:fill="ffffff"/>
            <w:tcBorders>
              <w:bottom w:val="single" w:color="000000" w:sz="4" w:space="0"/>
              <w:right w:val="single" w:color="000000" w:sz="4" w:space="0"/>
            </w:tcBorders>
            <w:tcW w:w="1390" w:type="dxa"/>
            <w:vAlign w:val="center"/>
            <w:textDirection w:val="lrTb"/>
            <w:noWrap w:val="false"/>
          </w:tcPr>
          <w:p>
            <w:pPr>
              <w:pStyle w:val="1063"/>
              <w:jc w:val="center"/>
              <w:shd w:val="clear" w:color="auto" w:fill="ffffff"/>
              <w:widowControl w:val="off"/>
              <w:rPr>
                <w:sz w:val="20"/>
                <w:szCs w:val="20"/>
              </w:rPr>
            </w:pPr>
            <w:r>
              <w:rPr>
                <w:rFonts w:ascii="Arial Narrow" w:hAnsi="Arial Narrow"/>
                <w:color w:val="000000"/>
                <w:sz w:val="20"/>
                <w:szCs w:val="20"/>
                <w:shd w:val="clear" w:color="auto" w:fill="ffffff"/>
              </w:rPr>
              <w:t xml:space="preserve">135,613</w:t>
            </w:r>
            <w:r>
              <w:rPr>
                <w:sz w:val="20"/>
                <w:szCs w:val="20"/>
              </w:rPr>
            </w:r>
            <w:r>
              <w:rPr>
                <w:sz w:val="20"/>
                <w:szCs w:val="20"/>
              </w:rPr>
            </w:r>
          </w:p>
        </w:tc>
        <w:tc>
          <w:tcPr>
            <w:shd w:val="clear" w:color="auto" w:fill="ffffff"/>
            <w:tcBorders>
              <w:bottom w:val="single" w:color="000000" w:sz="4" w:space="0"/>
              <w:right w:val="single" w:color="000000" w:sz="4" w:space="0"/>
            </w:tcBorders>
            <w:tcW w:w="1627" w:type="dxa"/>
            <w:vAlign w:val="center"/>
            <w:textDirection w:val="lrTb"/>
            <w:noWrap w:val="false"/>
          </w:tcPr>
          <w:p>
            <w:pPr>
              <w:pStyle w:val="1063"/>
              <w:jc w:val="center"/>
              <w:shd w:val="clear" w:color="auto" w:fill="ffffff"/>
              <w:widowControl w:val="off"/>
              <w:rPr>
                <w:sz w:val="20"/>
                <w:szCs w:val="20"/>
              </w:rPr>
            </w:pPr>
            <w:r>
              <w:rPr>
                <w:rFonts w:ascii="Arial Narrow" w:hAnsi="Arial Narrow"/>
                <w:color w:val="000000"/>
                <w:sz w:val="20"/>
                <w:szCs w:val="20"/>
                <w:shd w:val="clear" w:color="auto" w:fill="ffffff"/>
              </w:rPr>
              <w:t xml:space="preserve">- 105,795</w:t>
            </w:r>
            <w:r>
              <w:rPr>
                <w:sz w:val="20"/>
                <w:szCs w:val="20"/>
              </w:rPr>
            </w:r>
            <w:r>
              <w:rPr>
                <w:sz w:val="20"/>
                <w:szCs w:val="20"/>
              </w:rPr>
            </w:r>
          </w:p>
        </w:tc>
        <w:tc>
          <w:tcPr>
            <w:shd w:val="clear" w:color="auto" w:fill="ffffff"/>
            <w:tcBorders>
              <w:bottom w:val="single" w:color="000000" w:sz="4" w:space="0"/>
              <w:right w:val="single" w:color="000000" w:sz="4" w:space="0"/>
            </w:tcBorders>
            <w:tcW w:w="898" w:type="dxa"/>
            <w:vAlign w:val="bottom"/>
            <w:textDirection w:val="lrTb"/>
            <w:noWrap w:val="false"/>
          </w:tcPr>
          <w:p>
            <w:pPr>
              <w:pStyle w:val="1063"/>
              <w:jc w:val="center"/>
              <w:shd w:val="clear" w:color="auto" w:fill="ffffff"/>
              <w:widowControl w:val="off"/>
              <w:rPr>
                <w:sz w:val="20"/>
                <w:szCs w:val="20"/>
              </w:rPr>
            </w:pPr>
            <w:r>
              <w:rPr>
                <w:rFonts w:ascii="Arial Narrow" w:hAnsi="Arial Narrow"/>
                <w:color w:val="000000"/>
                <w:sz w:val="20"/>
                <w:szCs w:val="20"/>
                <w:shd w:val="clear" w:color="auto" w:fill="ffffff"/>
                <w:lang w:val="en-US"/>
              </w:rPr>
              <w:t xml:space="preserve">-44</w:t>
            </w:r>
            <w:r>
              <w:rPr>
                <w:sz w:val="20"/>
                <w:szCs w:val="20"/>
              </w:rPr>
            </w:r>
            <w:r>
              <w:rPr>
                <w:sz w:val="20"/>
                <w:szCs w:val="20"/>
              </w:rPr>
            </w:r>
          </w:p>
        </w:tc>
      </w:tr>
      <w:tr>
        <w:trPr>
          <w:trHeight w:val="23"/>
        </w:trPr>
        <w:tc>
          <w:tcPr>
            <w:gridSpan w:val="5"/>
            <w:shd w:val="clear" w:color="auto" w:fill="ffffff"/>
            <w:tcBorders>
              <w:left w:val="single" w:color="000000" w:sz="4" w:space="0"/>
              <w:bottom w:val="single" w:color="000000" w:sz="4" w:space="0"/>
              <w:right w:val="single" w:color="000000" w:sz="4" w:space="0"/>
            </w:tcBorders>
            <w:tcW w:w="10055" w:type="dxa"/>
            <w:vAlign w:val="center"/>
            <w:textDirection w:val="lrTb"/>
            <w:noWrap w:val="false"/>
          </w:tcPr>
          <w:p>
            <w:pPr>
              <w:pStyle w:val="1063"/>
              <w:jc w:val="center"/>
              <w:shd w:val="clear" w:color="auto" w:fill="ffffff"/>
              <w:widowControl w:val="off"/>
              <w:rPr>
                <w:sz w:val="20"/>
                <w:szCs w:val="20"/>
              </w:rPr>
            </w:pPr>
            <w:r>
              <w:rPr>
                <w:rFonts w:ascii="Arial Narrow" w:hAnsi="Arial Narrow"/>
                <w:bCs/>
                <w:color w:val="000000"/>
                <w:sz w:val="20"/>
                <w:szCs w:val="20"/>
                <w:shd w:val="clear" w:color="auto" w:fill="ffffff"/>
              </w:rPr>
              <w:t xml:space="preserve">Освоение, без НДС</w:t>
            </w:r>
            <w:r>
              <w:rPr>
                <w:sz w:val="20"/>
                <w:szCs w:val="20"/>
              </w:rPr>
            </w:r>
            <w:r>
              <w:rPr>
                <w:sz w:val="20"/>
                <w:szCs w:val="20"/>
              </w:rPr>
            </w:r>
          </w:p>
        </w:tc>
      </w:tr>
      <w:tr>
        <w:trPr>
          <w:trHeight w:val="23"/>
        </w:trPr>
        <w:tc>
          <w:tcPr>
            <w:shd w:val="clear" w:color="auto" w:fill="ffffff"/>
            <w:tcBorders>
              <w:left w:val="single" w:color="000000" w:sz="4" w:space="0"/>
              <w:bottom w:val="single" w:color="000000" w:sz="4" w:space="0"/>
              <w:right w:val="single" w:color="000000" w:sz="4" w:space="0"/>
            </w:tcBorders>
            <w:tcW w:w="4595" w:type="dxa"/>
            <w:vAlign w:val="center"/>
            <w:textDirection w:val="lrTb"/>
            <w:noWrap w:val="false"/>
          </w:tcPr>
          <w:p>
            <w:pPr>
              <w:pStyle w:val="1063"/>
              <w:shd w:val="clear" w:color="auto" w:fill="ffffff"/>
              <w:widowControl w:val="off"/>
              <w:rPr>
                <w:sz w:val="20"/>
                <w:szCs w:val="20"/>
              </w:rPr>
            </w:pPr>
            <w:r>
              <w:rPr>
                <w:rFonts w:ascii="Arial Narrow" w:hAnsi="Arial Narrow"/>
                <w:bCs/>
                <w:color w:val="000000"/>
                <w:sz w:val="20"/>
                <w:szCs w:val="20"/>
                <w:shd w:val="clear" w:color="auto" w:fill="ffffff"/>
              </w:rPr>
              <w:t xml:space="preserve">Всего по ПАО «Камчатскэнерго», в том числе:</w:t>
            </w:r>
            <w:r>
              <w:rPr>
                <w:sz w:val="20"/>
                <w:szCs w:val="20"/>
              </w:rPr>
            </w:r>
            <w:r>
              <w:rPr>
                <w:sz w:val="20"/>
                <w:szCs w:val="20"/>
              </w:rPr>
            </w:r>
          </w:p>
        </w:tc>
        <w:tc>
          <w:tcPr>
            <w:shd w:val="clear" w:color="auto" w:fill="ffffff"/>
            <w:tcBorders>
              <w:bottom w:val="single" w:color="000000" w:sz="4" w:space="0"/>
              <w:right w:val="single" w:color="000000" w:sz="4" w:space="0"/>
            </w:tcBorders>
            <w:tcW w:w="1545" w:type="dxa"/>
            <w:vAlign w:val="center"/>
            <w:textDirection w:val="lrTb"/>
            <w:noWrap w:val="false"/>
          </w:tcPr>
          <w:p>
            <w:pPr>
              <w:pStyle w:val="1063"/>
              <w:jc w:val="center"/>
              <w:shd w:val="clear" w:color="auto" w:fill="ffffff"/>
              <w:widowControl w:val="off"/>
              <w:rPr>
                <w:sz w:val="20"/>
                <w:szCs w:val="20"/>
              </w:rPr>
            </w:pPr>
            <w:r>
              <w:rPr>
                <w:rFonts w:ascii="Arial Narrow" w:hAnsi="Arial Narrow"/>
                <w:bCs/>
                <w:color w:val="000000"/>
                <w:sz w:val="20"/>
                <w:szCs w:val="20"/>
                <w:shd w:val="clear" w:color="auto" w:fill="ffffff"/>
              </w:rPr>
              <w:t xml:space="preserve">7 870,56</w:t>
            </w:r>
            <w:r>
              <w:rPr>
                <w:rFonts w:ascii="Arial Narrow" w:hAnsi="Arial Narrow"/>
                <w:bCs/>
                <w:color w:val="000000"/>
                <w:sz w:val="20"/>
                <w:szCs w:val="20"/>
                <w:shd w:val="clear" w:color="auto" w:fill="ffffff"/>
                <w:lang w:val="en-US"/>
              </w:rPr>
              <w:t xml:space="preserve">9</w:t>
            </w:r>
            <w:r>
              <w:rPr>
                <w:sz w:val="20"/>
                <w:szCs w:val="20"/>
              </w:rPr>
            </w:r>
            <w:r>
              <w:rPr>
                <w:sz w:val="20"/>
                <w:szCs w:val="20"/>
              </w:rPr>
            </w:r>
          </w:p>
        </w:tc>
        <w:tc>
          <w:tcPr>
            <w:shd w:val="clear" w:color="auto" w:fill="ffffff"/>
            <w:tcBorders>
              <w:bottom w:val="single" w:color="000000" w:sz="4" w:space="0"/>
              <w:right w:val="single" w:color="000000" w:sz="4" w:space="0"/>
            </w:tcBorders>
            <w:tcW w:w="1390" w:type="dxa"/>
            <w:vAlign w:val="center"/>
            <w:textDirection w:val="lrTb"/>
            <w:noWrap w:val="false"/>
          </w:tcPr>
          <w:p>
            <w:pPr>
              <w:pStyle w:val="1063"/>
              <w:jc w:val="center"/>
              <w:shd w:val="clear" w:color="auto" w:fill="ffffff"/>
              <w:widowControl w:val="off"/>
              <w:rPr>
                <w:sz w:val="20"/>
                <w:szCs w:val="20"/>
              </w:rPr>
            </w:pPr>
            <w:r>
              <w:rPr>
                <w:rFonts w:ascii="Arial Narrow" w:hAnsi="Arial Narrow"/>
                <w:bCs/>
                <w:color w:val="000000"/>
                <w:sz w:val="20"/>
                <w:szCs w:val="20"/>
                <w:shd w:val="clear" w:color="auto" w:fill="ffffff"/>
              </w:rPr>
              <w:t xml:space="preserve">3 992,123</w:t>
            </w:r>
            <w:r>
              <w:rPr>
                <w:sz w:val="20"/>
                <w:szCs w:val="20"/>
              </w:rPr>
            </w:r>
            <w:r>
              <w:rPr>
                <w:sz w:val="20"/>
                <w:szCs w:val="20"/>
              </w:rPr>
            </w:r>
          </w:p>
        </w:tc>
        <w:tc>
          <w:tcPr>
            <w:shd w:val="clear" w:color="auto" w:fill="ffffff"/>
            <w:tcBorders>
              <w:bottom w:val="single" w:color="000000" w:sz="4" w:space="0"/>
              <w:right w:val="single" w:color="000000" w:sz="4" w:space="0"/>
            </w:tcBorders>
            <w:tcW w:w="1627" w:type="dxa"/>
            <w:vAlign w:val="center"/>
            <w:textDirection w:val="lrTb"/>
            <w:noWrap w:val="false"/>
          </w:tcPr>
          <w:p>
            <w:pPr>
              <w:pStyle w:val="1063"/>
              <w:jc w:val="center"/>
              <w:shd w:val="clear" w:color="auto" w:fill="ffffff"/>
              <w:widowControl w:val="off"/>
              <w:rPr>
                <w:sz w:val="20"/>
                <w:szCs w:val="20"/>
              </w:rPr>
            </w:pPr>
            <w:r>
              <w:rPr>
                <w:rFonts w:ascii="Arial Narrow" w:hAnsi="Arial Narrow"/>
                <w:bCs/>
                <w:color w:val="000000"/>
                <w:sz w:val="20"/>
                <w:szCs w:val="20"/>
                <w:shd w:val="clear" w:color="auto" w:fill="ffffff"/>
              </w:rPr>
              <w:t xml:space="preserve">- 3 878,44</w:t>
            </w:r>
            <w:r>
              <w:rPr>
                <w:rFonts w:ascii="Arial Narrow" w:hAnsi="Arial Narrow"/>
                <w:bCs/>
                <w:color w:val="000000"/>
                <w:sz w:val="20"/>
                <w:szCs w:val="20"/>
                <w:shd w:val="clear" w:color="auto" w:fill="ffffff"/>
                <w:lang w:val="en-US"/>
              </w:rPr>
              <w:t xml:space="preserve">6</w:t>
            </w:r>
            <w:r>
              <w:rPr>
                <w:sz w:val="20"/>
                <w:szCs w:val="20"/>
              </w:rPr>
            </w:r>
            <w:r>
              <w:rPr>
                <w:sz w:val="20"/>
                <w:szCs w:val="20"/>
              </w:rPr>
            </w:r>
          </w:p>
        </w:tc>
        <w:tc>
          <w:tcPr>
            <w:shd w:val="clear" w:color="auto" w:fill="ffffff"/>
            <w:tcBorders>
              <w:bottom w:val="single" w:color="000000" w:sz="4" w:space="0"/>
              <w:right w:val="single" w:color="000000" w:sz="4" w:space="0"/>
            </w:tcBorders>
            <w:tcW w:w="898" w:type="dxa"/>
            <w:vAlign w:val="bottom"/>
            <w:textDirection w:val="lrTb"/>
            <w:noWrap w:val="false"/>
          </w:tcPr>
          <w:p>
            <w:pPr>
              <w:pStyle w:val="1063"/>
              <w:jc w:val="center"/>
              <w:shd w:val="clear" w:color="auto" w:fill="ffffff"/>
              <w:widowControl w:val="off"/>
              <w:rPr>
                <w:sz w:val="20"/>
                <w:szCs w:val="20"/>
              </w:rPr>
            </w:pPr>
            <w:r>
              <w:rPr>
                <w:rFonts w:ascii="Arial Narrow" w:hAnsi="Arial Narrow"/>
                <w:bCs/>
                <w:color w:val="000000"/>
                <w:sz w:val="20"/>
                <w:szCs w:val="20"/>
                <w:shd w:val="clear" w:color="auto" w:fill="ffffff"/>
                <w:lang w:val="en-US"/>
              </w:rPr>
              <w:t xml:space="preserve">-49</w:t>
            </w:r>
            <w:r>
              <w:rPr>
                <w:sz w:val="20"/>
                <w:szCs w:val="20"/>
              </w:rPr>
            </w:r>
            <w:r>
              <w:rPr>
                <w:sz w:val="20"/>
                <w:szCs w:val="20"/>
              </w:rPr>
            </w:r>
          </w:p>
        </w:tc>
      </w:tr>
      <w:tr>
        <w:trPr>
          <w:trHeight w:val="23"/>
        </w:trPr>
        <w:tc>
          <w:tcPr>
            <w:shd w:val="clear" w:color="auto" w:fill="ffffff"/>
            <w:tcBorders>
              <w:left w:val="single" w:color="000000" w:sz="4" w:space="0"/>
              <w:bottom w:val="single" w:color="000000" w:sz="4" w:space="0"/>
              <w:right w:val="single" w:color="000000" w:sz="4" w:space="0"/>
            </w:tcBorders>
            <w:tcW w:w="4595" w:type="dxa"/>
            <w:vAlign w:val="center"/>
            <w:textDirection w:val="lrTb"/>
            <w:noWrap w:val="false"/>
          </w:tcPr>
          <w:p>
            <w:pPr>
              <w:pStyle w:val="1063"/>
              <w:shd w:val="clear" w:color="auto" w:fill="ffffff"/>
              <w:widowControl w:val="off"/>
              <w:rPr>
                <w:sz w:val="20"/>
                <w:szCs w:val="20"/>
              </w:rPr>
            </w:pPr>
            <w:r>
              <w:rPr>
                <w:rFonts w:ascii="Arial Narrow" w:hAnsi="Arial Narrow"/>
                <w:color w:val="000000"/>
                <w:sz w:val="20"/>
                <w:szCs w:val="20"/>
                <w:shd w:val="clear" w:color="auto" w:fill="ffffff"/>
              </w:rPr>
              <w:t xml:space="preserve">1.    Техническое перевооружение</w:t>
            </w:r>
            <w:r>
              <w:rPr>
                <w:sz w:val="20"/>
                <w:szCs w:val="20"/>
              </w:rPr>
            </w:r>
            <w:r>
              <w:rPr>
                <w:sz w:val="20"/>
                <w:szCs w:val="20"/>
              </w:rPr>
            </w:r>
          </w:p>
        </w:tc>
        <w:tc>
          <w:tcPr>
            <w:shd w:val="clear" w:color="auto" w:fill="ffffff"/>
            <w:tcBorders>
              <w:bottom w:val="single" w:color="000000" w:sz="4" w:space="0"/>
              <w:right w:val="single" w:color="000000" w:sz="4" w:space="0"/>
            </w:tcBorders>
            <w:tcW w:w="1545" w:type="dxa"/>
            <w:vAlign w:val="center"/>
            <w:textDirection w:val="lrTb"/>
            <w:noWrap w:val="false"/>
          </w:tcPr>
          <w:p>
            <w:pPr>
              <w:pStyle w:val="1063"/>
              <w:jc w:val="center"/>
              <w:shd w:val="clear" w:color="auto" w:fill="ffffff"/>
              <w:widowControl w:val="off"/>
              <w:rPr>
                <w:sz w:val="20"/>
                <w:szCs w:val="20"/>
              </w:rPr>
            </w:pPr>
            <w:r>
              <w:rPr>
                <w:rFonts w:ascii="Arial Narrow" w:hAnsi="Arial Narrow" w:eastAsia="Calibri"/>
                <w:color w:val="000000"/>
                <w:sz w:val="20"/>
                <w:szCs w:val="20"/>
                <w:shd w:val="clear" w:color="auto" w:fill="ffffff"/>
              </w:rPr>
              <w:t xml:space="preserve">1 </w:t>
            </w:r>
            <w:r>
              <w:rPr>
                <w:rFonts w:ascii="Arial Narrow" w:hAnsi="Arial Narrow" w:eastAsia="Calibri"/>
                <w:color w:val="000000"/>
                <w:sz w:val="20"/>
                <w:szCs w:val="20"/>
                <w:shd w:val="clear" w:color="auto" w:fill="ffffff"/>
                <w:lang w:val="en-US"/>
              </w:rPr>
              <w:t xml:space="preserve">578,768</w:t>
            </w:r>
            <w:r>
              <w:rPr>
                <w:sz w:val="20"/>
                <w:szCs w:val="20"/>
              </w:rPr>
            </w:r>
            <w:r>
              <w:rPr>
                <w:sz w:val="20"/>
                <w:szCs w:val="20"/>
              </w:rPr>
            </w:r>
          </w:p>
        </w:tc>
        <w:tc>
          <w:tcPr>
            <w:shd w:val="clear" w:color="auto" w:fill="ffffff"/>
            <w:tcBorders>
              <w:bottom w:val="single" w:color="000000" w:sz="4" w:space="0"/>
              <w:right w:val="single" w:color="000000" w:sz="4" w:space="0"/>
            </w:tcBorders>
            <w:tcW w:w="1390" w:type="dxa"/>
            <w:vAlign w:val="center"/>
            <w:textDirection w:val="lrTb"/>
            <w:noWrap w:val="false"/>
          </w:tcPr>
          <w:p>
            <w:pPr>
              <w:pStyle w:val="1063"/>
              <w:jc w:val="center"/>
              <w:shd w:val="clear" w:color="auto" w:fill="ffffff"/>
              <w:widowControl w:val="off"/>
              <w:rPr>
                <w:sz w:val="20"/>
                <w:szCs w:val="20"/>
              </w:rPr>
            </w:pPr>
            <w:r>
              <w:rPr>
                <w:rFonts w:ascii="Arial Narrow" w:hAnsi="Arial Narrow" w:eastAsia="Calibri"/>
                <w:color w:val="000000"/>
                <w:sz w:val="20"/>
                <w:szCs w:val="20"/>
                <w:shd w:val="clear" w:color="auto" w:fill="ffffff"/>
                <w:lang w:val="en-US"/>
              </w:rPr>
              <w:t xml:space="preserve">1 588,684</w:t>
            </w:r>
            <w:r>
              <w:rPr>
                <w:sz w:val="20"/>
                <w:szCs w:val="20"/>
              </w:rPr>
            </w:r>
            <w:r>
              <w:rPr>
                <w:sz w:val="20"/>
                <w:szCs w:val="20"/>
              </w:rPr>
            </w:r>
          </w:p>
        </w:tc>
        <w:tc>
          <w:tcPr>
            <w:shd w:val="clear" w:color="auto" w:fill="ffffff"/>
            <w:tcBorders>
              <w:bottom w:val="single" w:color="000000" w:sz="4" w:space="0"/>
              <w:right w:val="single" w:color="000000" w:sz="4" w:space="0"/>
            </w:tcBorders>
            <w:tcW w:w="1627" w:type="dxa"/>
            <w:vAlign w:val="center"/>
            <w:textDirection w:val="lrTb"/>
            <w:noWrap w:val="false"/>
          </w:tcPr>
          <w:p>
            <w:pPr>
              <w:pStyle w:val="1063"/>
              <w:jc w:val="center"/>
              <w:shd w:val="clear" w:color="auto" w:fill="ffffff"/>
              <w:widowControl w:val="off"/>
              <w:rPr>
                <w:sz w:val="20"/>
                <w:szCs w:val="20"/>
              </w:rPr>
            </w:pPr>
            <w:r>
              <w:rPr>
                <w:rFonts w:ascii="Arial Narrow" w:hAnsi="Arial Narrow" w:eastAsia="Calibri"/>
                <w:color w:val="000000"/>
                <w:sz w:val="20"/>
                <w:szCs w:val="20"/>
                <w:shd w:val="clear" w:color="auto" w:fill="ffffff"/>
                <w:lang w:val="en-US"/>
              </w:rPr>
              <w:t xml:space="preserve">9,916</w:t>
            </w:r>
            <w:r>
              <w:rPr>
                <w:sz w:val="20"/>
                <w:szCs w:val="20"/>
              </w:rPr>
            </w:r>
            <w:r>
              <w:rPr>
                <w:sz w:val="20"/>
                <w:szCs w:val="20"/>
              </w:rPr>
            </w:r>
          </w:p>
        </w:tc>
        <w:tc>
          <w:tcPr>
            <w:shd w:val="clear" w:color="auto" w:fill="ffffff"/>
            <w:tcBorders>
              <w:bottom w:val="single" w:color="000000" w:sz="4" w:space="0"/>
              <w:right w:val="single" w:color="000000" w:sz="4" w:space="0"/>
            </w:tcBorders>
            <w:tcW w:w="898" w:type="dxa"/>
            <w:vAlign w:val="bottom"/>
            <w:textDirection w:val="lrTb"/>
            <w:noWrap w:val="false"/>
          </w:tcPr>
          <w:p>
            <w:pPr>
              <w:pStyle w:val="1063"/>
              <w:jc w:val="center"/>
              <w:shd w:val="clear" w:color="auto" w:fill="ffffff"/>
              <w:widowControl w:val="off"/>
              <w:rPr>
                <w:sz w:val="20"/>
                <w:szCs w:val="20"/>
              </w:rPr>
            </w:pPr>
            <w:r>
              <w:rPr>
                <w:rFonts w:ascii="Arial Narrow" w:hAnsi="Arial Narrow"/>
                <w:color w:val="000000"/>
                <w:sz w:val="20"/>
                <w:szCs w:val="20"/>
                <w:shd w:val="clear" w:color="auto" w:fill="ffffff"/>
              </w:rPr>
              <w:t xml:space="preserve">1</w:t>
            </w:r>
            <w:r>
              <w:rPr>
                <w:sz w:val="20"/>
                <w:szCs w:val="20"/>
              </w:rPr>
            </w:r>
            <w:r>
              <w:rPr>
                <w:sz w:val="20"/>
                <w:szCs w:val="20"/>
              </w:rPr>
            </w:r>
          </w:p>
        </w:tc>
      </w:tr>
      <w:tr>
        <w:trPr>
          <w:trHeight w:val="23"/>
        </w:trPr>
        <w:tc>
          <w:tcPr>
            <w:shd w:val="clear" w:color="auto" w:fill="ffffff"/>
            <w:tcBorders>
              <w:left w:val="single" w:color="000000" w:sz="4" w:space="0"/>
              <w:bottom w:val="single" w:color="000000" w:sz="4" w:space="0"/>
              <w:right w:val="single" w:color="000000" w:sz="4" w:space="0"/>
            </w:tcBorders>
            <w:tcW w:w="4595" w:type="dxa"/>
            <w:vAlign w:val="center"/>
            <w:textDirection w:val="lrTb"/>
            <w:noWrap w:val="false"/>
          </w:tcPr>
          <w:p>
            <w:pPr>
              <w:pStyle w:val="1063"/>
              <w:shd w:val="clear" w:color="auto" w:fill="ffffff"/>
              <w:widowControl w:val="off"/>
              <w:rPr>
                <w:sz w:val="20"/>
                <w:szCs w:val="20"/>
              </w:rPr>
            </w:pPr>
            <w:r>
              <w:rPr>
                <w:rFonts w:ascii="Arial Narrow" w:hAnsi="Arial Narrow"/>
                <w:color w:val="000000"/>
                <w:sz w:val="20"/>
                <w:szCs w:val="20"/>
                <w:shd w:val="clear" w:color="auto" w:fill="ffffff"/>
              </w:rPr>
              <w:t xml:space="preserve">2.    Новое строительство</w:t>
            </w:r>
            <w:r>
              <w:rPr>
                <w:sz w:val="20"/>
                <w:szCs w:val="20"/>
              </w:rPr>
            </w:r>
            <w:r>
              <w:rPr>
                <w:sz w:val="20"/>
                <w:szCs w:val="20"/>
              </w:rPr>
            </w:r>
          </w:p>
        </w:tc>
        <w:tc>
          <w:tcPr>
            <w:shd w:val="clear" w:color="auto" w:fill="ffffff"/>
            <w:tcBorders>
              <w:bottom w:val="single" w:color="000000" w:sz="4" w:space="0"/>
              <w:right w:val="single" w:color="000000" w:sz="4" w:space="0"/>
            </w:tcBorders>
            <w:tcW w:w="1545" w:type="dxa"/>
            <w:vAlign w:val="center"/>
            <w:textDirection w:val="lrTb"/>
            <w:noWrap w:val="false"/>
          </w:tcPr>
          <w:p>
            <w:pPr>
              <w:pStyle w:val="1063"/>
              <w:jc w:val="center"/>
              <w:shd w:val="clear" w:color="auto" w:fill="ffffff"/>
              <w:widowControl w:val="off"/>
              <w:rPr>
                <w:sz w:val="20"/>
                <w:szCs w:val="20"/>
              </w:rPr>
            </w:pPr>
            <w:r>
              <w:rPr>
                <w:rFonts w:ascii="Arial Narrow" w:hAnsi="Arial Narrow" w:eastAsia="Calibri"/>
                <w:color w:val="000000"/>
                <w:sz w:val="20"/>
                <w:szCs w:val="20"/>
                <w:shd w:val="clear" w:color="auto" w:fill="ffffff"/>
                <w:lang w:val="en-US"/>
              </w:rPr>
              <w:t xml:space="preserve">43,872</w:t>
            </w:r>
            <w:r>
              <w:rPr>
                <w:sz w:val="20"/>
                <w:szCs w:val="20"/>
              </w:rPr>
            </w:r>
            <w:r>
              <w:rPr>
                <w:sz w:val="20"/>
                <w:szCs w:val="20"/>
              </w:rPr>
            </w:r>
          </w:p>
        </w:tc>
        <w:tc>
          <w:tcPr>
            <w:shd w:val="clear" w:color="auto" w:fill="ffffff"/>
            <w:tcBorders>
              <w:bottom w:val="single" w:color="000000" w:sz="4" w:space="0"/>
              <w:right w:val="single" w:color="000000" w:sz="4" w:space="0"/>
            </w:tcBorders>
            <w:tcW w:w="1390" w:type="dxa"/>
            <w:vAlign w:val="center"/>
            <w:textDirection w:val="lrTb"/>
            <w:noWrap w:val="false"/>
          </w:tcPr>
          <w:p>
            <w:pPr>
              <w:pStyle w:val="1063"/>
              <w:jc w:val="center"/>
              <w:shd w:val="clear" w:color="auto" w:fill="ffffff"/>
              <w:widowControl w:val="off"/>
              <w:rPr>
                <w:rFonts w:ascii="Arial Narrow" w:hAnsi="Arial Narrow" w:eastAsia="Calibri"/>
                <w:color w:val="000000"/>
                <w:sz w:val="20"/>
                <w:szCs w:val="20"/>
                <w:shd w:val="clear" w:color="auto" w:fill="ffffff"/>
              </w:rPr>
            </w:pPr>
            <w:r>
              <w:rPr>
                <w:rFonts w:ascii="Arial Narrow" w:hAnsi="Arial Narrow" w:eastAsia="Calibri"/>
                <w:color w:val="000000"/>
                <w:sz w:val="20"/>
                <w:szCs w:val="20"/>
                <w:shd w:val="clear" w:color="auto" w:fill="ffffff"/>
                <w:lang w:val="en-US"/>
              </w:rPr>
              <w:t xml:space="preserve">72,541</w:t>
            </w:r>
            <w:r>
              <w:rPr>
                <w:rFonts w:ascii="Arial Narrow" w:hAnsi="Arial Narrow" w:eastAsia="Calibri"/>
                <w:color w:val="000000"/>
                <w:sz w:val="20"/>
                <w:szCs w:val="20"/>
                <w:shd w:val="clear" w:color="auto" w:fill="ffffff"/>
              </w:rPr>
            </w:r>
            <w:r>
              <w:rPr>
                <w:rFonts w:ascii="Arial Narrow" w:hAnsi="Arial Narrow" w:eastAsia="Calibri"/>
                <w:color w:val="000000"/>
                <w:sz w:val="20"/>
                <w:szCs w:val="20"/>
                <w:shd w:val="clear" w:color="auto" w:fill="ffffff"/>
              </w:rPr>
            </w:r>
          </w:p>
        </w:tc>
        <w:tc>
          <w:tcPr>
            <w:shd w:val="clear" w:color="auto" w:fill="ffffff"/>
            <w:tcBorders>
              <w:bottom w:val="single" w:color="000000" w:sz="4" w:space="0"/>
              <w:right w:val="single" w:color="000000" w:sz="4" w:space="0"/>
            </w:tcBorders>
            <w:tcW w:w="1627" w:type="dxa"/>
            <w:vAlign w:val="center"/>
            <w:textDirection w:val="lrTb"/>
            <w:noWrap w:val="false"/>
          </w:tcPr>
          <w:p>
            <w:pPr>
              <w:pStyle w:val="1063"/>
              <w:jc w:val="center"/>
              <w:shd w:val="clear" w:color="auto" w:fill="ffffff"/>
              <w:widowControl w:val="off"/>
              <w:rPr>
                <w:sz w:val="20"/>
                <w:szCs w:val="20"/>
              </w:rPr>
            </w:pPr>
            <w:r>
              <w:rPr>
                <w:rFonts w:ascii="Arial Narrow" w:hAnsi="Arial Narrow" w:eastAsia="Calibri"/>
                <w:color w:val="000000"/>
                <w:sz w:val="20"/>
                <w:szCs w:val="20"/>
                <w:shd w:val="clear" w:color="auto" w:fill="ffffff"/>
                <w:lang w:val="en-US"/>
              </w:rPr>
              <w:t xml:space="preserve">28,669</w:t>
            </w:r>
            <w:r>
              <w:rPr>
                <w:sz w:val="20"/>
                <w:szCs w:val="20"/>
              </w:rPr>
            </w:r>
            <w:r>
              <w:rPr>
                <w:sz w:val="20"/>
                <w:szCs w:val="20"/>
              </w:rPr>
            </w:r>
          </w:p>
        </w:tc>
        <w:tc>
          <w:tcPr>
            <w:shd w:val="clear" w:color="auto" w:fill="ffffff"/>
            <w:tcBorders>
              <w:bottom w:val="single" w:color="000000" w:sz="4" w:space="0"/>
              <w:right w:val="single" w:color="000000" w:sz="4" w:space="0"/>
            </w:tcBorders>
            <w:tcW w:w="898" w:type="dxa"/>
            <w:vAlign w:val="bottom"/>
            <w:textDirection w:val="lrTb"/>
            <w:noWrap w:val="false"/>
          </w:tcPr>
          <w:p>
            <w:pPr>
              <w:pStyle w:val="1063"/>
              <w:jc w:val="center"/>
              <w:shd w:val="clear" w:color="auto" w:fill="ffffff"/>
              <w:widowControl w:val="off"/>
              <w:rPr>
                <w:sz w:val="20"/>
                <w:szCs w:val="20"/>
              </w:rPr>
            </w:pPr>
            <w:r>
              <w:rPr>
                <w:rFonts w:ascii="Arial Narrow" w:hAnsi="Arial Narrow"/>
                <w:color w:val="000000"/>
                <w:sz w:val="20"/>
                <w:szCs w:val="20"/>
                <w:shd w:val="clear" w:color="auto" w:fill="ffffff"/>
                <w:lang w:val="en-US"/>
              </w:rPr>
              <w:t xml:space="preserve">6</w:t>
            </w:r>
            <w:r>
              <w:rPr>
                <w:rFonts w:ascii="Arial Narrow" w:hAnsi="Arial Narrow"/>
                <w:color w:val="000000"/>
                <w:sz w:val="20"/>
                <w:szCs w:val="20"/>
                <w:shd w:val="clear" w:color="auto" w:fill="ffffff"/>
              </w:rPr>
              <w:t xml:space="preserve">5</w:t>
            </w:r>
            <w:r>
              <w:rPr>
                <w:sz w:val="20"/>
                <w:szCs w:val="20"/>
              </w:rPr>
            </w:r>
            <w:r>
              <w:rPr>
                <w:sz w:val="20"/>
                <w:szCs w:val="20"/>
              </w:rPr>
            </w:r>
          </w:p>
        </w:tc>
      </w:tr>
      <w:tr>
        <w:trPr>
          <w:trHeight w:val="23"/>
        </w:trPr>
        <w:tc>
          <w:tcPr>
            <w:shd w:val="clear" w:color="auto" w:fill="ffffff"/>
            <w:tcBorders>
              <w:left w:val="single" w:color="000000" w:sz="4" w:space="0"/>
              <w:bottom w:val="single" w:color="000000" w:sz="4" w:space="0"/>
              <w:right w:val="single" w:color="000000" w:sz="4" w:space="0"/>
            </w:tcBorders>
            <w:tcW w:w="4595" w:type="dxa"/>
            <w:vAlign w:val="center"/>
            <w:textDirection w:val="lrTb"/>
            <w:noWrap w:val="false"/>
          </w:tcPr>
          <w:p>
            <w:pPr>
              <w:pStyle w:val="1063"/>
              <w:shd w:val="clear" w:color="auto" w:fill="ffffff"/>
              <w:widowControl w:val="off"/>
              <w:rPr>
                <w:sz w:val="20"/>
                <w:szCs w:val="20"/>
              </w:rPr>
            </w:pPr>
            <w:r>
              <w:rPr>
                <w:rFonts w:ascii="Arial Narrow" w:hAnsi="Arial Narrow"/>
                <w:color w:val="000000"/>
                <w:sz w:val="20"/>
                <w:szCs w:val="20"/>
                <w:shd w:val="clear" w:color="auto" w:fill="ffffff"/>
              </w:rPr>
              <w:t xml:space="preserve">3.    Технологическое присоединение</w:t>
            </w:r>
            <w:r>
              <w:rPr>
                <w:sz w:val="20"/>
                <w:szCs w:val="20"/>
              </w:rPr>
            </w:r>
            <w:r>
              <w:rPr>
                <w:sz w:val="20"/>
                <w:szCs w:val="20"/>
              </w:rPr>
            </w:r>
          </w:p>
        </w:tc>
        <w:tc>
          <w:tcPr>
            <w:shd w:val="clear" w:color="auto" w:fill="ffffff"/>
            <w:tcBorders>
              <w:bottom w:val="single" w:color="000000" w:sz="4" w:space="0"/>
              <w:right w:val="single" w:color="000000" w:sz="4" w:space="0"/>
            </w:tcBorders>
            <w:tcW w:w="1545" w:type="dxa"/>
            <w:vAlign w:val="center"/>
            <w:textDirection w:val="lrTb"/>
            <w:noWrap w:val="false"/>
          </w:tcPr>
          <w:p>
            <w:pPr>
              <w:pStyle w:val="1063"/>
              <w:jc w:val="center"/>
              <w:shd w:val="clear" w:color="auto" w:fill="ffffff"/>
              <w:widowControl w:val="off"/>
              <w:rPr>
                <w:sz w:val="20"/>
                <w:szCs w:val="20"/>
              </w:rPr>
            </w:pPr>
            <w:r>
              <w:rPr>
                <w:rFonts w:ascii="Arial Narrow" w:hAnsi="Arial Narrow" w:eastAsia="Calibri"/>
                <w:color w:val="000000"/>
                <w:sz w:val="20"/>
                <w:szCs w:val="20"/>
                <w:shd w:val="clear" w:color="auto" w:fill="ffffff"/>
                <w:lang w:val="en-US"/>
              </w:rPr>
              <w:t xml:space="preserve">5 335,225</w:t>
            </w:r>
            <w:r>
              <w:rPr>
                <w:sz w:val="20"/>
                <w:szCs w:val="20"/>
              </w:rPr>
            </w:r>
            <w:r>
              <w:rPr>
                <w:sz w:val="20"/>
                <w:szCs w:val="20"/>
              </w:rPr>
            </w:r>
          </w:p>
        </w:tc>
        <w:tc>
          <w:tcPr>
            <w:shd w:val="clear" w:color="auto" w:fill="ffffff"/>
            <w:tcBorders>
              <w:bottom w:val="single" w:color="000000" w:sz="4" w:space="0"/>
              <w:right w:val="single" w:color="000000" w:sz="4" w:space="0"/>
            </w:tcBorders>
            <w:tcW w:w="1390" w:type="dxa"/>
            <w:vAlign w:val="center"/>
            <w:textDirection w:val="lrTb"/>
            <w:noWrap w:val="false"/>
          </w:tcPr>
          <w:p>
            <w:pPr>
              <w:pStyle w:val="1063"/>
              <w:jc w:val="center"/>
              <w:shd w:val="clear" w:color="auto" w:fill="ffffff"/>
              <w:widowControl w:val="off"/>
              <w:rPr>
                <w:rFonts w:ascii="Arial Narrow" w:hAnsi="Arial Narrow" w:eastAsia="Calibri"/>
                <w:color w:val="000000"/>
                <w:sz w:val="20"/>
                <w:szCs w:val="20"/>
                <w:shd w:val="clear" w:color="auto" w:fill="ffffff"/>
              </w:rPr>
            </w:pPr>
            <w:r>
              <w:rPr>
                <w:rFonts w:ascii="Arial Narrow" w:hAnsi="Arial Narrow" w:eastAsia="Calibri"/>
                <w:color w:val="000000"/>
                <w:sz w:val="20"/>
                <w:szCs w:val="20"/>
                <w:shd w:val="clear" w:color="auto" w:fill="ffffff"/>
                <w:lang w:val="en-US"/>
              </w:rPr>
              <w:t xml:space="preserve">1 736,419</w:t>
            </w:r>
            <w:r>
              <w:rPr>
                <w:rFonts w:ascii="Arial Narrow" w:hAnsi="Arial Narrow" w:eastAsia="Calibri"/>
                <w:color w:val="000000"/>
                <w:sz w:val="20"/>
                <w:szCs w:val="20"/>
                <w:shd w:val="clear" w:color="auto" w:fill="ffffff"/>
              </w:rPr>
            </w:r>
            <w:r>
              <w:rPr>
                <w:rFonts w:ascii="Arial Narrow" w:hAnsi="Arial Narrow" w:eastAsia="Calibri"/>
                <w:color w:val="000000"/>
                <w:sz w:val="20"/>
                <w:szCs w:val="20"/>
                <w:shd w:val="clear" w:color="auto" w:fill="ffffff"/>
              </w:rPr>
            </w:r>
          </w:p>
        </w:tc>
        <w:tc>
          <w:tcPr>
            <w:shd w:val="clear" w:color="auto" w:fill="ffffff"/>
            <w:tcBorders>
              <w:bottom w:val="single" w:color="000000" w:sz="4" w:space="0"/>
              <w:right w:val="single" w:color="000000" w:sz="4" w:space="0"/>
            </w:tcBorders>
            <w:tcW w:w="1627" w:type="dxa"/>
            <w:vAlign w:val="center"/>
            <w:textDirection w:val="lrTb"/>
            <w:noWrap w:val="false"/>
          </w:tcPr>
          <w:p>
            <w:pPr>
              <w:pStyle w:val="1063"/>
              <w:jc w:val="center"/>
              <w:shd w:val="clear" w:color="auto" w:fill="ffffff"/>
              <w:widowControl w:val="off"/>
              <w:rPr>
                <w:sz w:val="20"/>
                <w:szCs w:val="20"/>
              </w:rPr>
            </w:pPr>
            <w:r>
              <w:rPr>
                <w:rFonts w:ascii="Arial Narrow" w:hAnsi="Arial Narrow" w:eastAsia="Calibri"/>
                <w:color w:val="000000"/>
                <w:sz w:val="20"/>
                <w:szCs w:val="20"/>
                <w:shd w:val="clear" w:color="auto" w:fill="ffffff"/>
              </w:rPr>
              <w:t xml:space="preserve">- 3 </w:t>
            </w:r>
            <w:r>
              <w:rPr>
                <w:rFonts w:ascii="Arial Narrow" w:hAnsi="Arial Narrow" w:eastAsia="Calibri"/>
                <w:color w:val="000000"/>
                <w:sz w:val="20"/>
                <w:szCs w:val="20"/>
                <w:shd w:val="clear" w:color="auto" w:fill="ffffff"/>
                <w:lang w:val="en-US"/>
              </w:rPr>
              <w:t xml:space="preserve">598,806</w:t>
            </w:r>
            <w:r>
              <w:rPr>
                <w:sz w:val="20"/>
                <w:szCs w:val="20"/>
              </w:rPr>
            </w:r>
            <w:r>
              <w:rPr>
                <w:sz w:val="20"/>
                <w:szCs w:val="20"/>
              </w:rPr>
            </w:r>
          </w:p>
        </w:tc>
        <w:tc>
          <w:tcPr>
            <w:shd w:val="clear" w:color="auto" w:fill="ffffff"/>
            <w:tcBorders>
              <w:bottom w:val="single" w:color="000000" w:sz="4" w:space="0"/>
              <w:right w:val="single" w:color="000000" w:sz="4" w:space="0"/>
            </w:tcBorders>
            <w:tcW w:w="898" w:type="dxa"/>
            <w:vAlign w:val="bottom"/>
            <w:textDirection w:val="lrTb"/>
            <w:noWrap w:val="false"/>
          </w:tcPr>
          <w:p>
            <w:pPr>
              <w:pStyle w:val="1063"/>
              <w:jc w:val="center"/>
              <w:shd w:val="clear" w:color="auto" w:fill="ffffff"/>
              <w:widowControl w:val="off"/>
              <w:rPr>
                <w:sz w:val="20"/>
                <w:szCs w:val="20"/>
              </w:rPr>
            </w:pPr>
            <w:r>
              <w:rPr>
                <w:rFonts w:ascii="Arial Narrow" w:hAnsi="Arial Narrow"/>
                <w:color w:val="000000"/>
                <w:sz w:val="20"/>
                <w:szCs w:val="20"/>
                <w:shd w:val="clear" w:color="auto" w:fill="ffffff"/>
                <w:lang w:val="en-US"/>
              </w:rPr>
              <w:t xml:space="preserve">-67</w:t>
            </w:r>
            <w:r>
              <w:rPr>
                <w:sz w:val="20"/>
                <w:szCs w:val="20"/>
              </w:rPr>
            </w:r>
            <w:r>
              <w:rPr>
                <w:sz w:val="20"/>
                <w:szCs w:val="20"/>
              </w:rPr>
            </w:r>
          </w:p>
        </w:tc>
      </w:tr>
      <w:tr>
        <w:trPr>
          <w:trHeight w:val="23"/>
        </w:trPr>
        <w:tc>
          <w:tcPr>
            <w:shd w:val="clear" w:color="auto" w:fill="ffffff"/>
            <w:tcBorders>
              <w:left w:val="single" w:color="000000" w:sz="4" w:space="0"/>
              <w:bottom w:val="single" w:color="000000" w:sz="4" w:space="0"/>
              <w:right w:val="single" w:color="000000" w:sz="4" w:space="0"/>
            </w:tcBorders>
            <w:tcW w:w="4595" w:type="dxa"/>
            <w:vAlign w:val="center"/>
            <w:textDirection w:val="lrTb"/>
            <w:noWrap w:val="false"/>
          </w:tcPr>
          <w:p>
            <w:pPr>
              <w:pStyle w:val="1063"/>
              <w:shd w:val="clear" w:color="auto" w:fill="ffffff"/>
              <w:widowControl w:val="off"/>
              <w:rPr>
                <w:sz w:val="20"/>
                <w:szCs w:val="20"/>
              </w:rPr>
            </w:pPr>
            <w:r>
              <w:rPr>
                <w:rFonts w:ascii="Arial Narrow" w:hAnsi="Arial Narrow"/>
                <w:color w:val="000000"/>
                <w:sz w:val="20"/>
                <w:szCs w:val="20"/>
                <w:shd w:val="clear" w:color="auto" w:fill="ffffff"/>
              </w:rPr>
              <w:t xml:space="preserve">4.    Прочие инвестиции</w:t>
            </w:r>
            <w:r>
              <w:rPr>
                <w:sz w:val="20"/>
                <w:szCs w:val="20"/>
              </w:rPr>
            </w:r>
            <w:r>
              <w:rPr>
                <w:sz w:val="20"/>
                <w:szCs w:val="20"/>
              </w:rPr>
            </w:r>
          </w:p>
        </w:tc>
        <w:tc>
          <w:tcPr>
            <w:shd w:val="clear" w:color="auto" w:fill="ffffff"/>
            <w:tcBorders>
              <w:bottom w:val="single" w:color="000000" w:sz="4" w:space="0"/>
              <w:right w:val="single" w:color="000000" w:sz="4" w:space="0"/>
            </w:tcBorders>
            <w:tcW w:w="1545" w:type="dxa"/>
            <w:vAlign w:val="center"/>
            <w:textDirection w:val="lrTb"/>
            <w:noWrap w:val="false"/>
          </w:tcPr>
          <w:p>
            <w:pPr>
              <w:pStyle w:val="1063"/>
              <w:jc w:val="center"/>
              <w:shd w:val="clear" w:color="auto" w:fill="ffffff"/>
              <w:widowControl w:val="off"/>
              <w:rPr>
                <w:sz w:val="20"/>
                <w:szCs w:val="20"/>
              </w:rPr>
            </w:pPr>
            <w:r>
              <w:rPr>
                <w:rFonts w:ascii="Arial Narrow" w:hAnsi="Arial Narrow"/>
                <w:color w:val="000000"/>
                <w:sz w:val="20"/>
                <w:szCs w:val="20"/>
                <w:shd w:val="clear" w:color="auto" w:fill="ffffff"/>
                <w:lang w:val="en-US"/>
              </w:rPr>
              <w:t xml:space="preserve">711,531</w:t>
            </w:r>
            <w:r>
              <w:rPr>
                <w:sz w:val="20"/>
                <w:szCs w:val="20"/>
              </w:rPr>
            </w:r>
            <w:r>
              <w:rPr>
                <w:sz w:val="20"/>
                <w:szCs w:val="20"/>
              </w:rPr>
            </w:r>
          </w:p>
        </w:tc>
        <w:tc>
          <w:tcPr>
            <w:shd w:val="clear" w:color="auto" w:fill="ffffff"/>
            <w:tcBorders>
              <w:bottom w:val="single" w:color="000000" w:sz="4" w:space="0"/>
              <w:right w:val="single" w:color="000000" w:sz="4" w:space="0"/>
            </w:tcBorders>
            <w:tcW w:w="1390" w:type="dxa"/>
            <w:vAlign w:val="center"/>
            <w:textDirection w:val="lrTb"/>
            <w:noWrap w:val="false"/>
          </w:tcPr>
          <w:p>
            <w:pPr>
              <w:pStyle w:val="1063"/>
              <w:jc w:val="center"/>
              <w:shd w:val="clear" w:color="auto" w:fill="ffffff"/>
              <w:widowControl w:val="off"/>
              <w:rPr>
                <w:rFonts w:ascii="Arial Narrow" w:hAnsi="Arial Narrow" w:eastAsia="Calibri"/>
                <w:color w:val="000000"/>
                <w:sz w:val="20"/>
                <w:szCs w:val="20"/>
                <w:shd w:val="clear" w:color="auto" w:fill="ffffff"/>
              </w:rPr>
            </w:pPr>
            <w:r>
              <w:rPr>
                <w:rFonts w:ascii="Arial Narrow" w:hAnsi="Arial Narrow" w:eastAsia="Calibri"/>
                <w:color w:val="000000"/>
                <w:sz w:val="20"/>
                <w:szCs w:val="20"/>
                <w:shd w:val="clear" w:color="auto" w:fill="ffffff"/>
                <w:lang w:val="en-US"/>
              </w:rPr>
              <w:t xml:space="preserve">481,469</w:t>
            </w:r>
            <w:r>
              <w:rPr>
                <w:rFonts w:ascii="Arial Narrow" w:hAnsi="Arial Narrow" w:eastAsia="Calibri"/>
                <w:color w:val="000000"/>
                <w:sz w:val="20"/>
                <w:szCs w:val="20"/>
                <w:shd w:val="clear" w:color="auto" w:fill="ffffff"/>
              </w:rPr>
            </w:r>
            <w:r>
              <w:rPr>
                <w:rFonts w:ascii="Arial Narrow" w:hAnsi="Arial Narrow" w:eastAsia="Calibri"/>
                <w:color w:val="000000"/>
                <w:sz w:val="20"/>
                <w:szCs w:val="20"/>
                <w:shd w:val="clear" w:color="auto" w:fill="ffffff"/>
              </w:rPr>
            </w:r>
          </w:p>
        </w:tc>
        <w:tc>
          <w:tcPr>
            <w:shd w:val="clear" w:color="auto" w:fill="ffffff"/>
            <w:tcBorders>
              <w:bottom w:val="single" w:color="000000" w:sz="4" w:space="0"/>
              <w:right w:val="single" w:color="000000" w:sz="4" w:space="0"/>
            </w:tcBorders>
            <w:tcW w:w="1627" w:type="dxa"/>
            <w:vAlign w:val="center"/>
            <w:textDirection w:val="lrTb"/>
            <w:noWrap w:val="false"/>
          </w:tcPr>
          <w:p>
            <w:pPr>
              <w:pStyle w:val="1063"/>
              <w:jc w:val="center"/>
              <w:shd w:val="clear" w:color="auto" w:fill="ffffff"/>
              <w:widowControl w:val="off"/>
              <w:rPr>
                <w:sz w:val="20"/>
                <w:szCs w:val="20"/>
              </w:rPr>
            </w:pPr>
            <w:r>
              <w:rPr>
                <w:rFonts w:ascii="Arial Narrow" w:hAnsi="Arial Narrow"/>
                <w:color w:val="000000"/>
                <w:sz w:val="20"/>
                <w:szCs w:val="20"/>
                <w:shd w:val="clear" w:color="auto" w:fill="ffffff"/>
                <w:lang w:val="en-US"/>
              </w:rPr>
              <w:t xml:space="preserve">-230,062</w:t>
            </w:r>
            <w:r>
              <w:rPr>
                <w:sz w:val="20"/>
                <w:szCs w:val="20"/>
              </w:rPr>
            </w:r>
            <w:r>
              <w:rPr>
                <w:sz w:val="20"/>
                <w:szCs w:val="20"/>
              </w:rPr>
            </w:r>
          </w:p>
        </w:tc>
        <w:tc>
          <w:tcPr>
            <w:shd w:val="clear" w:color="auto" w:fill="ffffff"/>
            <w:tcBorders>
              <w:bottom w:val="single" w:color="000000" w:sz="4" w:space="0"/>
              <w:right w:val="single" w:color="000000" w:sz="4" w:space="0"/>
            </w:tcBorders>
            <w:tcW w:w="898" w:type="dxa"/>
            <w:vAlign w:val="bottom"/>
            <w:textDirection w:val="lrTb"/>
            <w:noWrap w:val="false"/>
          </w:tcPr>
          <w:p>
            <w:pPr>
              <w:pStyle w:val="1063"/>
              <w:jc w:val="center"/>
              <w:shd w:val="clear" w:color="auto" w:fill="ffffff"/>
              <w:widowControl w:val="off"/>
              <w:rPr>
                <w:sz w:val="20"/>
                <w:szCs w:val="20"/>
              </w:rPr>
            </w:pPr>
            <w:r>
              <w:rPr>
                <w:rFonts w:ascii="Arial Narrow" w:hAnsi="Arial Narrow"/>
                <w:color w:val="000000"/>
                <w:sz w:val="20"/>
                <w:szCs w:val="20"/>
                <w:shd w:val="clear" w:color="auto" w:fill="ffffff"/>
                <w:lang w:val="en-US"/>
              </w:rPr>
              <w:t xml:space="preserve">-32</w:t>
            </w:r>
            <w:r>
              <w:rPr>
                <w:sz w:val="20"/>
                <w:szCs w:val="20"/>
              </w:rPr>
            </w:r>
            <w:r>
              <w:rPr>
                <w:sz w:val="20"/>
                <w:szCs w:val="20"/>
              </w:rPr>
            </w:r>
          </w:p>
        </w:tc>
      </w:tr>
      <w:tr>
        <w:trPr>
          <w:trHeight w:val="23"/>
        </w:trPr>
        <w:tc>
          <w:tcPr>
            <w:shd w:val="clear" w:color="auto" w:fill="ffffff"/>
            <w:tcBorders>
              <w:left w:val="single" w:color="000000" w:sz="4" w:space="0"/>
              <w:bottom w:val="single" w:color="000000" w:sz="4" w:space="0"/>
              <w:right w:val="single" w:color="000000" w:sz="4" w:space="0"/>
            </w:tcBorders>
            <w:tcW w:w="4595" w:type="dxa"/>
            <w:vAlign w:val="center"/>
            <w:textDirection w:val="lrTb"/>
            <w:noWrap w:val="false"/>
          </w:tcPr>
          <w:p>
            <w:pPr>
              <w:pStyle w:val="1063"/>
              <w:shd w:val="clear" w:color="auto" w:fill="ffffff"/>
              <w:widowControl w:val="off"/>
              <w:rPr>
                <w:sz w:val="20"/>
                <w:szCs w:val="20"/>
              </w:rPr>
            </w:pPr>
            <w:r>
              <w:rPr>
                <w:rFonts w:ascii="Arial Narrow" w:hAnsi="Arial Narrow"/>
                <w:color w:val="000000"/>
                <w:sz w:val="20"/>
                <w:szCs w:val="20"/>
                <w:shd w:val="clear" w:color="auto" w:fill="ffffff"/>
              </w:rPr>
              <w:t xml:space="preserve">5.    Капитализируемые ремонты</w:t>
            </w:r>
            <w:r>
              <w:rPr>
                <w:sz w:val="20"/>
                <w:szCs w:val="20"/>
              </w:rPr>
            </w:r>
            <w:r>
              <w:rPr>
                <w:sz w:val="20"/>
                <w:szCs w:val="20"/>
              </w:rPr>
            </w:r>
          </w:p>
        </w:tc>
        <w:tc>
          <w:tcPr>
            <w:shd w:val="clear" w:color="auto" w:fill="ffffff"/>
            <w:tcBorders>
              <w:bottom w:val="single" w:color="000000" w:sz="4" w:space="0"/>
              <w:right w:val="single" w:color="000000" w:sz="4" w:space="0"/>
            </w:tcBorders>
            <w:tcW w:w="1545" w:type="dxa"/>
            <w:vAlign w:val="center"/>
            <w:textDirection w:val="lrTb"/>
            <w:noWrap w:val="false"/>
          </w:tcPr>
          <w:p>
            <w:pPr>
              <w:pStyle w:val="1063"/>
              <w:jc w:val="center"/>
              <w:shd w:val="clear" w:color="auto" w:fill="ffffff"/>
              <w:widowControl w:val="off"/>
              <w:rPr>
                <w:sz w:val="20"/>
                <w:szCs w:val="20"/>
              </w:rPr>
            </w:pPr>
            <w:r>
              <w:rPr>
                <w:rFonts w:ascii="Arial Narrow" w:hAnsi="Arial Narrow"/>
                <w:color w:val="000000"/>
                <w:sz w:val="20"/>
                <w:szCs w:val="20"/>
                <w:shd w:val="clear" w:color="auto" w:fill="ffffff"/>
              </w:rPr>
              <w:t xml:space="preserve">201,173</w:t>
            </w:r>
            <w:r>
              <w:rPr>
                <w:sz w:val="20"/>
                <w:szCs w:val="20"/>
              </w:rPr>
            </w:r>
            <w:r>
              <w:rPr>
                <w:sz w:val="20"/>
                <w:szCs w:val="20"/>
              </w:rPr>
            </w:r>
          </w:p>
        </w:tc>
        <w:tc>
          <w:tcPr>
            <w:shd w:val="clear" w:color="auto" w:fill="ffffff"/>
            <w:tcBorders>
              <w:bottom w:val="single" w:color="000000" w:sz="4" w:space="0"/>
              <w:right w:val="single" w:color="000000" w:sz="4" w:space="0"/>
            </w:tcBorders>
            <w:tcW w:w="1390" w:type="dxa"/>
            <w:vAlign w:val="center"/>
            <w:textDirection w:val="lrTb"/>
            <w:noWrap w:val="false"/>
          </w:tcPr>
          <w:p>
            <w:pPr>
              <w:pStyle w:val="1063"/>
              <w:jc w:val="center"/>
              <w:shd w:val="clear" w:color="auto" w:fill="ffffff"/>
              <w:widowControl w:val="off"/>
              <w:rPr>
                <w:sz w:val="20"/>
                <w:szCs w:val="20"/>
              </w:rPr>
            </w:pPr>
            <w:r>
              <w:rPr>
                <w:rFonts w:ascii="Arial Narrow" w:hAnsi="Arial Narrow"/>
                <w:color w:val="000000"/>
                <w:sz w:val="20"/>
                <w:szCs w:val="20"/>
                <w:shd w:val="clear" w:color="auto" w:fill="ffffff"/>
              </w:rPr>
              <w:t xml:space="preserve">113,010</w:t>
            </w:r>
            <w:r>
              <w:rPr>
                <w:sz w:val="20"/>
                <w:szCs w:val="20"/>
              </w:rPr>
            </w:r>
            <w:r>
              <w:rPr>
                <w:sz w:val="20"/>
                <w:szCs w:val="20"/>
              </w:rPr>
            </w:r>
          </w:p>
        </w:tc>
        <w:tc>
          <w:tcPr>
            <w:shd w:val="clear" w:color="auto" w:fill="ffffff"/>
            <w:tcBorders>
              <w:bottom w:val="single" w:color="000000" w:sz="4" w:space="0"/>
              <w:right w:val="single" w:color="000000" w:sz="4" w:space="0"/>
            </w:tcBorders>
            <w:tcW w:w="1627" w:type="dxa"/>
            <w:vAlign w:val="center"/>
            <w:textDirection w:val="lrTb"/>
            <w:noWrap w:val="false"/>
          </w:tcPr>
          <w:p>
            <w:pPr>
              <w:pStyle w:val="1063"/>
              <w:jc w:val="center"/>
              <w:shd w:val="clear" w:color="auto" w:fill="ffffff"/>
              <w:widowControl w:val="off"/>
              <w:rPr>
                <w:sz w:val="20"/>
                <w:szCs w:val="20"/>
              </w:rPr>
            </w:pPr>
            <w:r>
              <w:rPr>
                <w:rFonts w:ascii="Arial Narrow" w:hAnsi="Arial Narrow"/>
                <w:color w:val="000000"/>
                <w:sz w:val="20"/>
                <w:szCs w:val="20"/>
                <w:shd w:val="clear" w:color="auto" w:fill="ffffff"/>
              </w:rPr>
              <w:t xml:space="preserve">- 88,163</w:t>
            </w:r>
            <w:r>
              <w:rPr>
                <w:sz w:val="20"/>
                <w:szCs w:val="20"/>
              </w:rPr>
            </w:r>
            <w:r>
              <w:rPr>
                <w:sz w:val="20"/>
                <w:szCs w:val="20"/>
              </w:rPr>
            </w:r>
          </w:p>
        </w:tc>
        <w:tc>
          <w:tcPr>
            <w:shd w:val="clear" w:color="auto" w:fill="ffffff"/>
            <w:tcBorders>
              <w:bottom w:val="single" w:color="000000" w:sz="4" w:space="0"/>
              <w:right w:val="single" w:color="000000" w:sz="4" w:space="0"/>
            </w:tcBorders>
            <w:tcW w:w="898" w:type="dxa"/>
            <w:vAlign w:val="bottom"/>
            <w:textDirection w:val="lrTb"/>
            <w:noWrap w:val="false"/>
          </w:tcPr>
          <w:p>
            <w:pPr>
              <w:pStyle w:val="1063"/>
              <w:jc w:val="center"/>
              <w:shd w:val="clear" w:color="auto" w:fill="ffffff"/>
              <w:widowControl w:val="off"/>
              <w:rPr>
                <w:sz w:val="20"/>
                <w:szCs w:val="20"/>
              </w:rPr>
            </w:pPr>
            <w:r>
              <w:rPr>
                <w:rFonts w:ascii="Arial Narrow" w:hAnsi="Arial Narrow"/>
                <w:color w:val="000000"/>
                <w:sz w:val="20"/>
                <w:szCs w:val="20"/>
                <w:shd w:val="clear" w:color="auto" w:fill="ffffff"/>
                <w:lang w:val="en-US"/>
              </w:rPr>
              <w:t xml:space="preserve">-44</w:t>
            </w:r>
            <w:r>
              <w:rPr>
                <w:sz w:val="20"/>
                <w:szCs w:val="20"/>
              </w:rPr>
            </w:r>
            <w:r>
              <w:rPr>
                <w:sz w:val="20"/>
                <w:szCs w:val="20"/>
              </w:rPr>
            </w:r>
          </w:p>
        </w:tc>
      </w:tr>
    </w:tbl>
    <w:p>
      <w:pPr>
        <w:pStyle w:val="1096"/>
        <w:ind w:left="0" w:right="-5"/>
        <w:jc w:val="both"/>
        <w:spacing w:after="0" w:line="276" w:lineRule="auto"/>
        <w:rPr>
          <w:rFonts w:ascii="Arial Narrow" w:hAnsi="Arial Narrow" w:cs="Calibri"/>
          <w:b/>
          <w:color w:val="314e87"/>
          <w:sz w:val="12"/>
          <w:szCs w:val="12"/>
        </w:rPr>
      </w:pPr>
      <w:r>
        <w:rPr>
          <w:rFonts w:ascii="Arial Narrow" w:hAnsi="Arial Narrow" w:cs="Calibri"/>
          <w:b/>
          <w:color w:val="314e87"/>
          <w:sz w:val="12"/>
          <w:szCs w:val="12"/>
        </w:rPr>
      </w:r>
      <w:r>
        <w:rPr>
          <w:rFonts w:ascii="Arial Narrow" w:hAnsi="Arial Narrow" w:cs="Calibri"/>
          <w:b/>
          <w:color w:val="314e87"/>
          <w:sz w:val="12"/>
          <w:szCs w:val="12"/>
        </w:rPr>
      </w:r>
      <w:r>
        <w:rPr>
          <w:rFonts w:ascii="Arial Narrow" w:hAnsi="Arial Narrow" w:cs="Calibri"/>
          <w:b/>
          <w:color w:val="314e87"/>
          <w:sz w:val="12"/>
          <w:szCs w:val="12"/>
        </w:rPr>
      </w:r>
    </w:p>
    <w:p>
      <w:pPr>
        <w:pStyle w:val="1096"/>
        <w:ind w:left="0" w:right="-5"/>
        <w:jc w:val="both"/>
        <w:spacing w:before="120" w:after="0" w:line="240" w:lineRule="auto"/>
      </w:pPr>
      <w:r>
        <w:rPr>
          <w:rFonts w:ascii="Arial Narrow" w:hAnsi="Arial Narrow" w:cs="Calibri"/>
          <w:b/>
          <w:color w:val="314e87"/>
          <w:sz w:val="24"/>
          <w:szCs w:val="24"/>
        </w:rPr>
        <w:t xml:space="preserve">Источники финансирования инвестиционной программы</w:t>
      </w:r>
      <w:r/>
    </w:p>
    <w:p>
      <w:pPr>
        <w:pStyle w:val="1063"/>
        <w:jc w:val="right"/>
      </w:pPr>
      <w:r>
        <w:rPr>
          <w:rFonts w:ascii="Arial Narrow" w:hAnsi="Arial Narrow" w:eastAsia="Calibri" w:cs="Calibri"/>
          <w:i/>
          <w:lang w:eastAsia="ja-JP"/>
        </w:rPr>
        <w:t xml:space="preserve">Таблица № </w:t>
      </w:r>
      <w:r>
        <w:rPr>
          <w:rFonts w:ascii="Arial Narrow" w:hAnsi="Arial Narrow" w:eastAsia="Calibri" w:cs="Calibri"/>
          <w:i/>
          <w:lang w:val="en-US" w:eastAsia="ja-JP"/>
        </w:rPr>
        <w:t xml:space="preserve">2</w:t>
      </w:r>
      <w:r>
        <w:rPr>
          <w:rFonts w:ascii="Arial Narrow" w:hAnsi="Arial Narrow" w:eastAsia="Calibri" w:cs="Calibri"/>
          <w:i/>
          <w:lang w:eastAsia="ja-JP"/>
        </w:rPr>
        <w:t xml:space="preserve">5</w:t>
      </w:r>
      <w:r/>
    </w:p>
    <w:tbl>
      <w:tblPr>
        <w:tblW w:w="4891" w:type="pct"/>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755"/>
        <w:gridCol w:w="1523"/>
        <w:gridCol w:w="1639"/>
        <w:gridCol w:w="1314"/>
        <w:gridCol w:w="824"/>
      </w:tblGrid>
      <w:tr>
        <w:trPr>
          <w:trHeight w:val="23"/>
        </w:trPr>
        <w:tc>
          <w:tcPr>
            <w:shd w:val="clear" w:color="auto" w:fill="ffffff"/>
            <w:tcW w:w="4755" w:type="dxa"/>
            <w:vAlign w:val="center"/>
            <w:vMerge w:val="restart"/>
            <w:textDirection w:val="lrTb"/>
            <w:noWrap w:val="false"/>
          </w:tcPr>
          <w:p>
            <w:pPr>
              <w:pStyle w:val="1063"/>
              <w:jc w:val="center"/>
              <w:widowControl w:val="off"/>
              <w:rPr>
                <w:sz w:val="20"/>
                <w:szCs w:val="20"/>
              </w:rPr>
            </w:pPr>
            <w:r>
              <w:rPr>
                <w:rFonts w:ascii="Arial Narrow" w:hAnsi="Arial Narrow"/>
                <w:bCs/>
                <w:color w:val="000000"/>
                <w:sz w:val="20"/>
                <w:szCs w:val="20"/>
              </w:rPr>
              <w:t xml:space="preserve">Источник финансирования</w:t>
            </w:r>
            <w:r>
              <w:rPr>
                <w:sz w:val="20"/>
                <w:szCs w:val="20"/>
              </w:rPr>
            </w:r>
            <w:r>
              <w:rPr>
                <w:sz w:val="20"/>
                <w:szCs w:val="20"/>
              </w:rPr>
            </w:r>
          </w:p>
        </w:tc>
        <w:tc>
          <w:tcPr>
            <w:gridSpan w:val="2"/>
            <w:shd w:val="clear" w:color="auto" w:fill="ffffff"/>
            <w:tcW w:w="3162" w:type="dxa"/>
            <w:vAlign w:val="center"/>
            <w:textDirection w:val="lrTb"/>
            <w:noWrap w:val="false"/>
          </w:tcPr>
          <w:p>
            <w:pPr>
              <w:pStyle w:val="1063"/>
              <w:jc w:val="center"/>
              <w:widowControl w:val="off"/>
              <w:rPr>
                <w:sz w:val="20"/>
                <w:szCs w:val="20"/>
              </w:rPr>
            </w:pPr>
            <w:r>
              <w:rPr>
                <w:rFonts w:ascii="Arial Narrow" w:hAnsi="Arial Narrow"/>
                <w:bCs/>
                <w:color w:val="000000"/>
                <w:sz w:val="20"/>
                <w:szCs w:val="20"/>
              </w:rPr>
              <w:t xml:space="preserve">Объем финансирования, млн. рублей</w:t>
            </w:r>
            <w:r>
              <w:rPr>
                <w:sz w:val="20"/>
                <w:szCs w:val="20"/>
              </w:rPr>
            </w:r>
            <w:r>
              <w:rPr>
                <w:sz w:val="20"/>
                <w:szCs w:val="20"/>
              </w:rPr>
            </w:r>
          </w:p>
        </w:tc>
        <w:tc>
          <w:tcPr>
            <w:gridSpan w:val="2"/>
            <w:shd w:val="clear" w:color="auto" w:fill="ffffff"/>
            <w:tcW w:w="2138" w:type="dxa"/>
            <w:vAlign w:val="center"/>
            <w:textDirection w:val="lrTb"/>
            <w:noWrap w:val="false"/>
          </w:tcPr>
          <w:p>
            <w:pPr>
              <w:pStyle w:val="1063"/>
              <w:jc w:val="center"/>
              <w:widowControl w:val="off"/>
              <w:rPr>
                <w:sz w:val="20"/>
                <w:szCs w:val="20"/>
              </w:rPr>
            </w:pPr>
            <w:r>
              <w:rPr>
                <w:rFonts w:ascii="Arial Narrow" w:hAnsi="Arial Narrow"/>
                <w:bCs/>
                <w:color w:val="000000"/>
                <w:sz w:val="20"/>
                <w:szCs w:val="20"/>
              </w:rPr>
              <w:t xml:space="preserve">Отклонение</w:t>
            </w:r>
            <w:r>
              <w:rPr>
                <w:sz w:val="20"/>
                <w:szCs w:val="20"/>
              </w:rPr>
            </w:r>
            <w:r>
              <w:rPr>
                <w:sz w:val="20"/>
                <w:szCs w:val="20"/>
              </w:rPr>
            </w:r>
          </w:p>
        </w:tc>
      </w:tr>
      <w:tr>
        <w:trPr>
          <w:trHeight w:val="23"/>
        </w:trPr>
        <w:tc>
          <w:tcPr>
            <w:shd w:val="clear" w:color="auto" w:fill="ffffff"/>
            <w:tcW w:w="4755"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shd w:val="clear" w:color="auto" w:fill="ffffff"/>
            <w:tcW w:w="1523" w:type="dxa"/>
            <w:vAlign w:val="center"/>
            <w:textDirection w:val="lrTb"/>
            <w:noWrap w:val="false"/>
          </w:tcPr>
          <w:p>
            <w:pPr>
              <w:pStyle w:val="1063"/>
              <w:jc w:val="center"/>
              <w:widowControl w:val="off"/>
              <w:rPr>
                <w:sz w:val="20"/>
                <w:szCs w:val="20"/>
              </w:rPr>
            </w:pPr>
            <w:r>
              <w:rPr>
                <w:rFonts w:ascii="Arial Narrow" w:hAnsi="Arial Narrow"/>
                <w:bCs/>
                <w:color w:val="000000"/>
                <w:sz w:val="20"/>
                <w:szCs w:val="20"/>
              </w:rPr>
              <w:t xml:space="preserve">План</w:t>
            </w:r>
            <w:r>
              <w:rPr>
                <w:sz w:val="20"/>
                <w:szCs w:val="20"/>
              </w:rPr>
            </w:r>
            <w:r>
              <w:rPr>
                <w:sz w:val="20"/>
                <w:szCs w:val="20"/>
              </w:rPr>
            </w:r>
          </w:p>
        </w:tc>
        <w:tc>
          <w:tcPr>
            <w:shd w:val="clear" w:color="auto" w:fill="ffffff"/>
            <w:tcW w:w="1639" w:type="dxa"/>
            <w:vAlign w:val="center"/>
            <w:textDirection w:val="lrTb"/>
            <w:noWrap w:val="false"/>
          </w:tcPr>
          <w:p>
            <w:pPr>
              <w:pStyle w:val="1063"/>
              <w:jc w:val="center"/>
              <w:widowControl w:val="off"/>
              <w:rPr>
                <w:sz w:val="20"/>
                <w:szCs w:val="20"/>
              </w:rPr>
            </w:pPr>
            <w:r>
              <w:rPr>
                <w:rFonts w:ascii="Arial Narrow" w:hAnsi="Arial Narrow"/>
                <w:bCs/>
                <w:color w:val="000000"/>
                <w:sz w:val="20"/>
                <w:szCs w:val="20"/>
              </w:rPr>
              <w:t xml:space="preserve">Факт</w:t>
            </w:r>
            <w:r>
              <w:rPr>
                <w:sz w:val="20"/>
                <w:szCs w:val="20"/>
              </w:rPr>
            </w:r>
            <w:r>
              <w:rPr>
                <w:sz w:val="20"/>
                <w:szCs w:val="20"/>
              </w:rPr>
            </w:r>
          </w:p>
        </w:tc>
        <w:tc>
          <w:tcPr>
            <w:shd w:val="clear" w:color="auto" w:fill="ffffff"/>
            <w:tcW w:w="1314" w:type="dxa"/>
            <w:vAlign w:val="center"/>
            <w:textDirection w:val="lrTb"/>
            <w:noWrap w:val="false"/>
          </w:tcPr>
          <w:p>
            <w:pPr>
              <w:pStyle w:val="1063"/>
              <w:jc w:val="center"/>
              <w:widowControl w:val="off"/>
              <w:rPr>
                <w:sz w:val="20"/>
                <w:szCs w:val="20"/>
              </w:rPr>
            </w:pPr>
            <w:r>
              <w:rPr>
                <w:rFonts w:ascii="Arial Narrow" w:hAnsi="Arial Narrow"/>
                <w:bCs/>
                <w:color w:val="000000"/>
                <w:sz w:val="20"/>
                <w:szCs w:val="20"/>
              </w:rPr>
              <w:t xml:space="preserve">млн. рублей</w:t>
            </w:r>
            <w:r>
              <w:rPr>
                <w:rStyle w:val="775"/>
                <w:rFonts w:ascii="Arial Narrow" w:hAnsi="Arial Narrow"/>
                <w:bCs/>
                <w:color w:val="000000"/>
                <w:sz w:val="20"/>
                <w:szCs w:val="20"/>
              </w:rPr>
              <w:footnoteReference w:id="3"/>
            </w:r>
            <w:r>
              <w:rPr>
                <w:rStyle w:val="792"/>
                <w:rFonts w:ascii="Arial Narrow" w:hAnsi="Arial Narrow"/>
                <w:bCs/>
                <w:color w:val="000000"/>
                <w:sz w:val="20"/>
                <w:szCs w:val="20"/>
              </w:rPr>
              <w:t xml:space="preserve">2</w:t>
            </w:r>
            <w:r>
              <w:rPr>
                <w:sz w:val="20"/>
                <w:szCs w:val="20"/>
              </w:rPr>
            </w:r>
            <w:r>
              <w:rPr>
                <w:sz w:val="20"/>
                <w:szCs w:val="20"/>
              </w:rPr>
            </w:r>
          </w:p>
        </w:tc>
        <w:tc>
          <w:tcPr>
            <w:shd w:val="clear" w:color="auto" w:fill="ffffff"/>
            <w:tcW w:w="824" w:type="dxa"/>
            <w:vAlign w:val="center"/>
            <w:textDirection w:val="lrTb"/>
            <w:noWrap w:val="false"/>
          </w:tcPr>
          <w:p>
            <w:pPr>
              <w:pStyle w:val="1063"/>
              <w:jc w:val="center"/>
              <w:widowControl w:val="off"/>
              <w:rPr>
                <w:sz w:val="20"/>
                <w:szCs w:val="20"/>
              </w:rPr>
            </w:pPr>
            <w:r>
              <w:rPr>
                <w:rFonts w:ascii="Arial Narrow" w:hAnsi="Arial Narrow"/>
                <w:bCs/>
                <w:color w:val="000000"/>
                <w:sz w:val="20"/>
                <w:szCs w:val="20"/>
              </w:rPr>
              <w:t xml:space="preserve">%</w:t>
            </w:r>
            <w:r>
              <w:rPr>
                <w:sz w:val="20"/>
                <w:szCs w:val="20"/>
              </w:rPr>
            </w:r>
            <w:r>
              <w:rPr>
                <w:sz w:val="20"/>
                <w:szCs w:val="20"/>
              </w:rPr>
            </w:r>
          </w:p>
        </w:tc>
      </w:tr>
      <w:tr>
        <w:trPr>
          <w:trHeight w:val="23"/>
        </w:trPr>
        <w:tc>
          <w:tcPr>
            <w:shd w:val="clear" w:color="auto" w:fill="ffffff"/>
            <w:tcW w:w="4755" w:type="dxa"/>
            <w:vAlign w:val="center"/>
            <w:textDirection w:val="lrTb"/>
            <w:noWrap w:val="false"/>
          </w:tcPr>
          <w:p>
            <w:pPr>
              <w:pStyle w:val="1063"/>
              <w:jc w:val="both"/>
              <w:widowControl w:val="off"/>
              <w:rPr>
                <w:sz w:val="20"/>
                <w:szCs w:val="20"/>
              </w:rPr>
            </w:pPr>
            <w:r>
              <w:rPr>
                <w:rFonts w:ascii="Arial Narrow" w:hAnsi="Arial Narrow"/>
                <w:bCs/>
                <w:color w:val="000000"/>
                <w:sz w:val="20"/>
                <w:szCs w:val="20"/>
              </w:rPr>
              <w:t xml:space="preserve">Всего по ПАО «Камчатскэнерго», в том числе:</w:t>
            </w:r>
            <w:r>
              <w:rPr>
                <w:sz w:val="20"/>
                <w:szCs w:val="20"/>
              </w:rPr>
            </w:r>
            <w:r>
              <w:rPr>
                <w:sz w:val="20"/>
                <w:szCs w:val="20"/>
              </w:rPr>
            </w:r>
          </w:p>
        </w:tc>
        <w:tc>
          <w:tcPr>
            <w:shd w:val="clear" w:color="auto" w:fill="ffffff"/>
            <w:tcW w:w="1523" w:type="dxa"/>
            <w:vAlign w:val="center"/>
            <w:textDirection w:val="lrTb"/>
            <w:noWrap w:val="false"/>
          </w:tcPr>
          <w:p>
            <w:pPr>
              <w:pStyle w:val="1063"/>
              <w:jc w:val="center"/>
              <w:widowControl w:val="off"/>
              <w:rPr>
                <w:sz w:val="20"/>
                <w:szCs w:val="20"/>
              </w:rPr>
            </w:pPr>
            <w:r>
              <w:rPr>
                <w:rFonts w:ascii="Arial Narrow" w:hAnsi="Arial Narrow"/>
                <w:bCs/>
                <w:color w:val="000000"/>
                <w:sz w:val="20"/>
                <w:szCs w:val="20"/>
              </w:rPr>
              <w:t xml:space="preserve">7 506,629</w:t>
            </w:r>
            <w:r>
              <w:rPr>
                <w:sz w:val="20"/>
                <w:szCs w:val="20"/>
              </w:rPr>
            </w:r>
            <w:r>
              <w:rPr>
                <w:sz w:val="20"/>
                <w:szCs w:val="20"/>
              </w:rPr>
            </w:r>
          </w:p>
        </w:tc>
        <w:tc>
          <w:tcPr>
            <w:shd w:val="clear" w:color="auto" w:fill="ffffff"/>
            <w:tcW w:w="1639" w:type="dxa"/>
            <w:vAlign w:val="center"/>
            <w:textDirection w:val="lrTb"/>
            <w:noWrap w:val="false"/>
          </w:tcPr>
          <w:p>
            <w:pPr>
              <w:pStyle w:val="1063"/>
              <w:jc w:val="center"/>
              <w:widowControl w:val="off"/>
              <w:rPr>
                <w:sz w:val="20"/>
                <w:szCs w:val="20"/>
              </w:rPr>
            </w:pPr>
            <w:r>
              <w:rPr>
                <w:rFonts w:ascii="Arial Narrow" w:hAnsi="Arial Narrow"/>
                <w:bCs/>
                <w:color w:val="000000"/>
                <w:sz w:val="20"/>
                <w:szCs w:val="20"/>
              </w:rPr>
              <w:t xml:space="preserve">5 438,753</w:t>
            </w:r>
            <w:r>
              <w:rPr>
                <w:sz w:val="20"/>
                <w:szCs w:val="20"/>
              </w:rPr>
            </w:r>
            <w:r>
              <w:rPr>
                <w:sz w:val="20"/>
                <w:szCs w:val="20"/>
              </w:rPr>
            </w:r>
          </w:p>
        </w:tc>
        <w:tc>
          <w:tcPr>
            <w:shd w:val="clear" w:color="auto" w:fill="ffffff"/>
            <w:tcW w:w="1314" w:type="dxa"/>
            <w:vAlign w:val="center"/>
            <w:textDirection w:val="lrTb"/>
            <w:noWrap w:val="false"/>
          </w:tcPr>
          <w:p>
            <w:pPr>
              <w:pStyle w:val="1063"/>
              <w:jc w:val="center"/>
              <w:widowControl w:val="off"/>
              <w:rPr>
                <w:sz w:val="20"/>
                <w:szCs w:val="20"/>
              </w:rPr>
            </w:pPr>
            <w:r>
              <w:rPr>
                <w:rFonts w:ascii="Arial Narrow" w:hAnsi="Arial Narrow"/>
                <w:bCs/>
                <w:color w:val="000000"/>
                <w:sz w:val="20"/>
                <w:szCs w:val="20"/>
              </w:rPr>
              <w:t xml:space="preserve">- 2 067,876</w:t>
            </w:r>
            <w:r>
              <w:rPr>
                <w:sz w:val="20"/>
                <w:szCs w:val="20"/>
              </w:rPr>
            </w:r>
            <w:r>
              <w:rPr>
                <w:sz w:val="20"/>
                <w:szCs w:val="20"/>
              </w:rPr>
            </w:r>
          </w:p>
        </w:tc>
        <w:tc>
          <w:tcPr>
            <w:shd w:val="clear" w:color="auto" w:fill="ffffff"/>
            <w:tcW w:w="824" w:type="dxa"/>
            <w:vAlign w:val="center"/>
            <w:textDirection w:val="lrTb"/>
            <w:noWrap w:val="false"/>
          </w:tcPr>
          <w:p>
            <w:pPr>
              <w:pStyle w:val="1063"/>
              <w:jc w:val="center"/>
              <w:widowControl w:val="off"/>
              <w:rPr>
                <w:sz w:val="20"/>
                <w:szCs w:val="20"/>
              </w:rPr>
            </w:pPr>
            <w:r>
              <w:rPr>
                <w:rFonts w:ascii="Arial Narrow" w:hAnsi="Arial Narrow"/>
                <w:bCs/>
                <w:color w:val="000000"/>
                <w:sz w:val="20"/>
                <w:szCs w:val="20"/>
                <w:lang w:val="en-US"/>
              </w:rPr>
              <w:t xml:space="preserve">-28</w:t>
            </w:r>
            <w:r>
              <w:rPr>
                <w:sz w:val="20"/>
                <w:szCs w:val="20"/>
              </w:rPr>
            </w:r>
            <w:r>
              <w:rPr>
                <w:sz w:val="20"/>
                <w:szCs w:val="20"/>
              </w:rPr>
            </w:r>
          </w:p>
        </w:tc>
      </w:tr>
      <w:tr>
        <w:trPr>
          <w:trHeight w:val="23"/>
        </w:trPr>
        <w:tc>
          <w:tcPr>
            <w:shd w:val="clear" w:color="auto" w:fill="ffffff"/>
            <w:tcW w:w="4755" w:type="dxa"/>
            <w:vAlign w:val="center"/>
            <w:textDirection w:val="lrTb"/>
            <w:noWrap w:val="false"/>
          </w:tcPr>
          <w:p>
            <w:pPr>
              <w:pStyle w:val="1063"/>
              <w:jc w:val="both"/>
              <w:widowControl w:val="off"/>
              <w:rPr>
                <w:sz w:val="20"/>
                <w:szCs w:val="20"/>
              </w:rPr>
            </w:pPr>
            <w:r>
              <w:rPr>
                <w:rFonts w:ascii="Arial Narrow" w:hAnsi="Arial Narrow"/>
                <w:color w:val="000000"/>
                <w:sz w:val="20"/>
                <w:szCs w:val="20"/>
              </w:rPr>
              <w:t xml:space="preserve">I Собственные средства всего, в том числе:</w:t>
            </w:r>
            <w:r>
              <w:rPr>
                <w:sz w:val="20"/>
                <w:szCs w:val="20"/>
              </w:rPr>
            </w:r>
            <w:r>
              <w:rPr>
                <w:sz w:val="20"/>
                <w:szCs w:val="20"/>
              </w:rPr>
            </w:r>
          </w:p>
        </w:tc>
        <w:tc>
          <w:tcPr>
            <w:shd w:val="clear" w:color="auto" w:fill="ffffff"/>
            <w:tcW w:w="1523" w:type="dxa"/>
            <w:vAlign w:val="center"/>
            <w:textDirection w:val="lrTb"/>
            <w:noWrap w:val="false"/>
          </w:tcPr>
          <w:p>
            <w:pPr>
              <w:pStyle w:val="1063"/>
              <w:jc w:val="center"/>
              <w:widowControl w:val="off"/>
              <w:rPr>
                <w:rFonts w:ascii="Arial Narrow" w:hAnsi="Arial Narrow"/>
                <w:color w:val="000000"/>
                <w:sz w:val="20"/>
                <w:szCs w:val="20"/>
              </w:rPr>
            </w:pPr>
            <w:r>
              <w:rPr>
                <w:rFonts w:ascii="Arial Narrow" w:hAnsi="Arial Narrow"/>
                <w:color w:val="000000"/>
                <w:sz w:val="20"/>
                <w:szCs w:val="20"/>
              </w:rPr>
            </w:r>
            <w:r>
              <w:rPr>
                <w:rFonts w:ascii="Arial Narrow" w:hAnsi="Arial Narrow"/>
                <w:color w:val="000000"/>
                <w:sz w:val="20"/>
                <w:szCs w:val="20"/>
              </w:rPr>
            </w:r>
            <w:r>
              <w:rPr>
                <w:rFonts w:ascii="Arial Narrow" w:hAnsi="Arial Narrow"/>
                <w:color w:val="000000"/>
                <w:sz w:val="20"/>
                <w:szCs w:val="20"/>
              </w:rPr>
            </w:r>
          </w:p>
        </w:tc>
        <w:tc>
          <w:tcPr>
            <w:shd w:val="clear" w:color="auto" w:fill="auto"/>
            <w:tcW w:w="1639" w:type="dxa"/>
            <w:vAlign w:val="center"/>
            <w:textDirection w:val="lrTb"/>
            <w:noWrap w:val="false"/>
          </w:tcPr>
          <w:p>
            <w:pPr>
              <w:pStyle w:val="1063"/>
              <w:jc w:val="center"/>
              <w:widowControl w:val="off"/>
              <w:rPr>
                <w:rFonts w:ascii="Arial Narrow" w:hAnsi="Arial Narrow"/>
                <w:color w:val="000000"/>
                <w:sz w:val="20"/>
                <w:szCs w:val="20"/>
              </w:rPr>
            </w:pPr>
            <w:r>
              <w:rPr>
                <w:rFonts w:ascii="Arial Narrow" w:hAnsi="Arial Narrow"/>
                <w:color w:val="000000"/>
                <w:sz w:val="20"/>
                <w:szCs w:val="20"/>
              </w:rPr>
            </w:r>
            <w:r>
              <w:rPr>
                <w:rFonts w:ascii="Arial Narrow" w:hAnsi="Arial Narrow"/>
                <w:color w:val="000000"/>
                <w:sz w:val="20"/>
                <w:szCs w:val="20"/>
              </w:rPr>
            </w:r>
            <w:r>
              <w:rPr>
                <w:rFonts w:ascii="Arial Narrow" w:hAnsi="Arial Narrow"/>
                <w:color w:val="000000"/>
                <w:sz w:val="20"/>
                <w:szCs w:val="20"/>
              </w:rPr>
            </w:r>
          </w:p>
        </w:tc>
        <w:tc>
          <w:tcPr>
            <w:shd w:val="clear" w:color="auto" w:fill="auto"/>
            <w:tcW w:w="1314" w:type="dxa"/>
            <w:vAlign w:val="center"/>
            <w:textDirection w:val="lrTb"/>
            <w:noWrap w:val="false"/>
          </w:tcPr>
          <w:p>
            <w:pPr>
              <w:pStyle w:val="1063"/>
              <w:jc w:val="center"/>
              <w:widowControl w:val="off"/>
              <w:rPr>
                <w:rFonts w:ascii="Arial Narrow" w:hAnsi="Arial Narrow"/>
                <w:color w:val="000000"/>
                <w:sz w:val="20"/>
                <w:szCs w:val="20"/>
              </w:rPr>
            </w:pPr>
            <w:r>
              <w:rPr>
                <w:rFonts w:ascii="Arial Narrow" w:hAnsi="Arial Narrow"/>
                <w:color w:val="000000"/>
                <w:sz w:val="20"/>
                <w:szCs w:val="20"/>
              </w:rPr>
            </w:r>
            <w:r>
              <w:rPr>
                <w:rFonts w:ascii="Arial Narrow" w:hAnsi="Arial Narrow"/>
                <w:color w:val="000000"/>
                <w:sz w:val="20"/>
                <w:szCs w:val="20"/>
              </w:rPr>
            </w:r>
            <w:r>
              <w:rPr>
                <w:rFonts w:ascii="Arial Narrow" w:hAnsi="Arial Narrow"/>
                <w:color w:val="000000"/>
                <w:sz w:val="20"/>
                <w:szCs w:val="20"/>
              </w:rPr>
            </w:r>
          </w:p>
        </w:tc>
        <w:tc>
          <w:tcPr>
            <w:shd w:val="clear" w:color="auto" w:fill="auto"/>
            <w:tcW w:w="824" w:type="dxa"/>
            <w:vAlign w:val="center"/>
            <w:textDirection w:val="lrTb"/>
            <w:noWrap w:val="false"/>
          </w:tcPr>
          <w:p>
            <w:pPr>
              <w:pStyle w:val="1063"/>
              <w:jc w:val="center"/>
              <w:widowControl w:val="off"/>
              <w:rPr>
                <w:rFonts w:ascii="Arial Narrow" w:hAnsi="Arial Narrow"/>
                <w:color w:val="000000"/>
                <w:sz w:val="20"/>
                <w:szCs w:val="20"/>
              </w:rPr>
            </w:pPr>
            <w:r>
              <w:rPr>
                <w:rFonts w:ascii="Arial Narrow" w:hAnsi="Arial Narrow"/>
                <w:color w:val="000000"/>
                <w:sz w:val="20"/>
                <w:szCs w:val="20"/>
              </w:rPr>
            </w:r>
            <w:r>
              <w:rPr>
                <w:rFonts w:ascii="Arial Narrow" w:hAnsi="Arial Narrow"/>
                <w:color w:val="000000"/>
                <w:sz w:val="20"/>
                <w:szCs w:val="20"/>
              </w:rPr>
            </w:r>
            <w:r>
              <w:rPr>
                <w:rFonts w:ascii="Arial Narrow" w:hAnsi="Arial Narrow"/>
                <w:color w:val="000000"/>
                <w:sz w:val="20"/>
                <w:szCs w:val="20"/>
              </w:rPr>
            </w:r>
          </w:p>
        </w:tc>
      </w:tr>
      <w:tr>
        <w:trPr>
          <w:trHeight w:val="23"/>
        </w:trPr>
        <w:tc>
          <w:tcPr>
            <w:shd w:val="clear" w:color="auto" w:fill="ffffff"/>
            <w:tcW w:w="4755" w:type="dxa"/>
            <w:vAlign w:val="center"/>
            <w:textDirection w:val="lrTb"/>
            <w:noWrap w:val="false"/>
          </w:tcPr>
          <w:p>
            <w:pPr>
              <w:pStyle w:val="1063"/>
              <w:jc w:val="both"/>
              <w:widowControl w:val="off"/>
              <w:rPr>
                <w:sz w:val="20"/>
                <w:szCs w:val="20"/>
              </w:rPr>
            </w:pPr>
            <w:r>
              <w:rPr>
                <w:rFonts w:ascii="Arial Narrow" w:hAnsi="Arial Narrow"/>
                <w:color w:val="000000"/>
                <w:sz w:val="20"/>
                <w:szCs w:val="20"/>
              </w:rPr>
              <w:t xml:space="preserve">1.1 Прибыль, направляемая на инвестиции, в том числе:</w:t>
            </w:r>
            <w:r>
              <w:rPr>
                <w:sz w:val="20"/>
                <w:szCs w:val="20"/>
              </w:rPr>
            </w:r>
            <w:r>
              <w:rPr>
                <w:sz w:val="20"/>
                <w:szCs w:val="20"/>
              </w:rPr>
            </w:r>
          </w:p>
        </w:tc>
        <w:tc>
          <w:tcPr>
            <w:shd w:val="clear" w:color="auto" w:fill="ffffff"/>
            <w:tcW w:w="1523"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4 760,674</w:t>
            </w:r>
            <w:r>
              <w:rPr>
                <w:sz w:val="20"/>
                <w:szCs w:val="20"/>
              </w:rPr>
            </w:r>
            <w:r>
              <w:rPr>
                <w:sz w:val="20"/>
                <w:szCs w:val="20"/>
              </w:rPr>
            </w:r>
          </w:p>
        </w:tc>
        <w:tc>
          <w:tcPr>
            <w:shd w:val="clear" w:color="auto" w:fill="auto"/>
            <w:tcW w:w="1639" w:type="dxa"/>
            <w:vAlign w:val="center"/>
            <w:textDirection w:val="lrTb"/>
            <w:noWrap w:val="false"/>
          </w:tcPr>
          <w:p>
            <w:pPr>
              <w:pStyle w:val="1063"/>
              <w:jc w:val="center"/>
              <w:widowControl w:val="off"/>
              <w:rPr>
                <w:rFonts w:ascii="Arial Narrow" w:hAnsi="Arial Narrow"/>
                <w:color w:val="000000"/>
                <w:sz w:val="20"/>
                <w:szCs w:val="20"/>
              </w:rPr>
            </w:pPr>
            <w:r>
              <w:rPr>
                <w:rFonts w:ascii="Arial Narrow" w:hAnsi="Arial Narrow"/>
                <w:color w:val="000000"/>
                <w:sz w:val="20"/>
                <w:szCs w:val="20"/>
              </w:rPr>
              <w:t xml:space="preserve">2 449,971</w:t>
            </w:r>
            <w:r>
              <w:rPr>
                <w:rFonts w:ascii="Arial Narrow" w:hAnsi="Arial Narrow"/>
                <w:color w:val="000000"/>
                <w:sz w:val="20"/>
                <w:szCs w:val="20"/>
              </w:rPr>
            </w:r>
            <w:r>
              <w:rPr>
                <w:rFonts w:ascii="Arial Narrow" w:hAnsi="Arial Narrow"/>
                <w:color w:val="000000"/>
                <w:sz w:val="20"/>
                <w:szCs w:val="20"/>
              </w:rPr>
            </w:r>
          </w:p>
        </w:tc>
        <w:tc>
          <w:tcPr>
            <w:shd w:val="clear" w:color="auto" w:fill="auto"/>
            <w:tcW w:w="1314" w:type="dxa"/>
            <w:vAlign w:val="center"/>
            <w:textDirection w:val="lrTb"/>
            <w:noWrap w:val="false"/>
          </w:tcPr>
          <w:p>
            <w:pPr>
              <w:pStyle w:val="1063"/>
              <w:jc w:val="center"/>
              <w:widowControl w:val="off"/>
              <w:rPr>
                <w:rFonts w:ascii="Arial Narrow" w:hAnsi="Arial Narrow"/>
                <w:color w:val="000000"/>
                <w:sz w:val="20"/>
                <w:szCs w:val="20"/>
              </w:rPr>
            </w:pPr>
            <w:r>
              <w:rPr>
                <w:rFonts w:ascii="Arial Narrow" w:hAnsi="Arial Narrow"/>
                <w:color w:val="000000"/>
                <w:sz w:val="20"/>
                <w:szCs w:val="20"/>
              </w:rPr>
              <w:t xml:space="preserve">- 2 310,703</w:t>
            </w:r>
            <w:r>
              <w:rPr>
                <w:rFonts w:ascii="Arial Narrow" w:hAnsi="Arial Narrow"/>
                <w:color w:val="000000"/>
                <w:sz w:val="20"/>
                <w:szCs w:val="20"/>
              </w:rPr>
            </w:r>
            <w:r>
              <w:rPr>
                <w:rFonts w:ascii="Arial Narrow" w:hAnsi="Arial Narrow"/>
                <w:color w:val="000000"/>
                <w:sz w:val="20"/>
                <w:szCs w:val="20"/>
              </w:rPr>
            </w:r>
          </w:p>
        </w:tc>
        <w:tc>
          <w:tcPr>
            <w:shd w:val="clear" w:color="auto" w:fill="auto"/>
            <w:tcW w:w="824" w:type="dxa"/>
            <w:vAlign w:val="center"/>
            <w:textDirection w:val="lrTb"/>
            <w:noWrap w:val="false"/>
          </w:tcPr>
          <w:p>
            <w:pPr>
              <w:pStyle w:val="1063"/>
              <w:jc w:val="center"/>
              <w:widowControl w:val="off"/>
              <w:rPr>
                <w:rFonts w:ascii="Arial Narrow" w:hAnsi="Arial Narrow"/>
                <w:color w:val="000000"/>
                <w:sz w:val="20"/>
                <w:szCs w:val="20"/>
              </w:rPr>
            </w:pPr>
            <w:r>
              <w:rPr>
                <w:rFonts w:ascii="Arial Narrow" w:hAnsi="Arial Narrow"/>
                <w:color w:val="000000"/>
                <w:sz w:val="20"/>
                <w:szCs w:val="20"/>
              </w:rPr>
              <w:t xml:space="preserve">-49</w:t>
            </w:r>
            <w:r>
              <w:rPr>
                <w:rFonts w:ascii="Arial Narrow" w:hAnsi="Arial Narrow"/>
                <w:color w:val="000000"/>
                <w:sz w:val="20"/>
                <w:szCs w:val="20"/>
              </w:rPr>
            </w:r>
            <w:r>
              <w:rPr>
                <w:rFonts w:ascii="Arial Narrow" w:hAnsi="Arial Narrow"/>
                <w:color w:val="000000"/>
                <w:sz w:val="20"/>
                <w:szCs w:val="20"/>
              </w:rPr>
            </w:r>
          </w:p>
        </w:tc>
      </w:tr>
      <w:tr>
        <w:trPr>
          <w:trHeight w:val="23"/>
        </w:trPr>
        <w:tc>
          <w:tcPr>
            <w:shd w:val="clear" w:color="auto" w:fill="ffffff"/>
            <w:tcW w:w="4755" w:type="dxa"/>
            <w:vAlign w:val="center"/>
            <w:textDirection w:val="lrTb"/>
            <w:noWrap w:val="false"/>
          </w:tcPr>
          <w:p>
            <w:pPr>
              <w:pStyle w:val="1063"/>
              <w:jc w:val="both"/>
              <w:widowControl w:val="off"/>
              <w:rPr>
                <w:sz w:val="20"/>
                <w:szCs w:val="20"/>
              </w:rPr>
            </w:pPr>
            <w:r>
              <w:rPr>
                <w:rFonts w:ascii="Arial Narrow" w:hAnsi="Arial Narrow"/>
                <w:color w:val="000000"/>
                <w:sz w:val="20"/>
                <w:szCs w:val="20"/>
              </w:rPr>
              <w:t xml:space="preserve">1.1.1 полученная от реализации продукции и оказанных услуг по регулируемым ценам (тарифам), в том числе:</w:t>
            </w:r>
            <w:r>
              <w:rPr>
                <w:sz w:val="20"/>
                <w:szCs w:val="20"/>
              </w:rPr>
            </w:r>
            <w:r>
              <w:rPr>
                <w:sz w:val="20"/>
                <w:szCs w:val="20"/>
              </w:rPr>
            </w:r>
          </w:p>
        </w:tc>
        <w:tc>
          <w:tcPr>
            <w:shd w:val="clear" w:color="auto" w:fill="ffffff"/>
            <w:tcW w:w="1523"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auto"/>
            <w:tcW w:w="1639"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auto"/>
            <w:tcW w:w="131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auto"/>
            <w:tcW w:w="82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r>
      <w:tr>
        <w:trPr>
          <w:trHeight w:val="23"/>
        </w:trPr>
        <w:tc>
          <w:tcPr>
            <w:shd w:val="clear" w:color="auto" w:fill="ffffff"/>
            <w:tcW w:w="4755" w:type="dxa"/>
            <w:vAlign w:val="center"/>
            <w:textDirection w:val="lrTb"/>
            <w:noWrap w:val="false"/>
          </w:tcPr>
          <w:p>
            <w:pPr>
              <w:pStyle w:val="1063"/>
              <w:jc w:val="both"/>
              <w:widowControl w:val="off"/>
              <w:rPr>
                <w:sz w:val="20"/>
                <w:szCs w:val="20"/>
              </w:rPr>
            </w:pPr>
            <w:r>
              <w:rPr>
                <w:rFonts w:ascii="Arial Narrow" w:hAnsi="Arial Narrow"/>
                <w:color w:val="000000"/>
                <w:sz w:val="20"/>
                <w:szCs w:val="20"/>
              </w:rPr>
              <w:t xml:space="preserve">1.1.1.1 производства и поставки электрической энергии и мощности</w:t>
            </w:r>
            <w:r>
              <w:rPr>
                <w:sz w:val="20"/>
                <w:szCs w:val="20"/>
              </w:rPr>
            </w:r>
            <w:r>
              <w:rPr>
                <w:sz w:val="20"/>
                <w:szCs w:val="20"/>
              </w:rPr>
            </w:r>
          </w:p>
        </w:tc>
        <w:tc>
          <w:tcPr>
            <w:shd w:val="clear" w:color="auto" w:fill="ffffff"/>
            <w:tcW w:w="1523"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557,651</w:t>
            </w:r>
            <w:r>
              <w:rPr>
                <w:sz w:val="20"/>
                <w:szCs w:val="20"/>
              </w:rPr>
            </w:r>
            <w:r>
              <w:rPr>
                <w:sz w:val="20"/>
                <w:szCs w:val="20"/>
              </w:rPr>
            </w:r>
          </w:p>
        </w:tc>
        <w:tc>
          <w:tcPr>
            <w:shd w:val="clear" w:color="auto" w:fill="ffffff"/>
            <w:tcW w:w="1639"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135,347</w:t>
            </w:r>
            <w:r>
              <w:rPr>
                <w:sz w:val="20"/>
                <w:szCs w:val="20"/>
              </w:rPr>
            </w:r>
            <w:r>
              <w:rPr>
                <w:sz w:val="20"/>
                <w:szCs w:val="20"/>
              </w:rPr>
            </w:r>
          </w:p>
        </w:tc>
        <w:tc>
          <w:tcPr>
            <w:shd w:val="clear" w:color="auto" w:fill="ffffff"/>
            <w:tcW w:w="131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- 422,304</w:t>
            </w:r>
            <w:r>
              <w:rPr>
                <w:sz w:val="20"/>
                <w:szCs w:val="20"/>
              </w:rPr>
            </w:r>
            <w:r>
              <w:rPr>
                <w:sz w:val="20"/>
                <w:szCs w:val="20"/>
              </w:rPr>
            </w:r>
          </w:p>
        </w:tc>
        <w:tc>
          <w:tcPr>
            <w:shd w:val="clear" w:color="auto" w:fill="ffffff"/>
            <w:tcW w:w="82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-76</w:t>
            </w:r>
            <w:r>
              <w:rPr>
                <w:sz w:val="20"/>
                <w:szCs w:val="20"/>
              </w:rPr>
            </w:r>
            <w:r>
              <w:rPr>
                <w:sz w:val="20"/>
                <w:szCs w:val="20"/>
              </w:rPr>
            </w:r>
          </w:p>
        </w:tc>
      </w:tr>
      <w:tr>
        <w:trPr>
          <w:trHeight w:val="23"/>
        </w:trPr>
        <w:tc>
          <w:tcPr>
            <w:shd w:val="clear" w:color="auto" w:fill="ffffff"/>
            <w:tcW w:w="4755" w:type="dxa"/>
            <w:vAlign w:val="center"/>
            <w:textDirection w:val="lrTb"/>
            <w:noWrap w:val="false"/>
          </w:tcPr>
          <w:p>
            <w:pPr>
              <w:pStyle w:val="1063"/>
              <w:jc w:val="both"/>
              <w:widowControl w:val="off"/>
              <w:rPr>
                <w:sz w:val="20"/>
                <w:szCs w:val="20"/>
              </w:rPr>
            </w:pPr>
            <w:r>
              <w:rPr>
                <w:rFonts w:ascii="Arial Narrow" w:hAnsi="Arial Narrow"/>
                <w:color w:val="000000"/>
                <w:sz w:val="20"/>
                <w:szCs w:val="20"/>
              </w:rPr>
              <w:t xml:space="preserve">1.1.1.2 производства и поставки тепловой энергии (мощности)</w:t>
            </w:r>
            <w:r>
              <w:rPr>
                <w:sz w:val="20"/>
                <w:szCs w:val="20"/>
              </w:rPr>
            </w:r>
            <w:r>
              <w:rPr>
                <w:sz w:val="20"/>
                <w:szCs w:val="20"/>
              </w:rPr>
            </w:r>
          </w:p>
        </w:tc>
        <w:tc>
          <w:tcPr>
            <w:shd w:val="clear" w:color="auto" w:fill="ffffff"/>
            <w:tcW w:w="1523"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163,752</w:t>
            </w:r>
            <w:r>
              <w:rPr>
                <w:sz w:val="20"/>
                <w:szCs w:val="20"/>
              </w:rPr>
            </w:r>
            <w:r>
              <w:rPr>
                <w:sz w:val="20"/>
                <w:szCs w:val="20"/>
              </w:rPr>
            </w:r>
          </w:p>
        </w:tc>
        <w:tc>
          <w:tcPr>
            <w:shd w:val="clear" w:color="auto" w:fill="ffffff"/>
            <w:tcW w:w="1639"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142,409</w:t>
            </w:r>
            <w:r>
              <w:rPr>
                <w:sz w:val="20"/>
                <w:szCs w:val="20"/>
              </w:rPr>
            </w:r>
            <w:r>
              <w:rPr>
                <w:sz w:val="20"/>
                <w:szCs w:val="20"/>
              </w:rPr>
            </w:r>
          </w:p>
        </w:tc>
        <w:tc>
          <w:tcPr>
            <w:shd w:val="clear" w:color="auto" w:fill="ffffff"/>
            <w:tcW w:w="131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- 21,343</w:t>
            </w:r>
            <w:r>
              <w:rPr>
                <w:sz w:val="20"/>
                <w:szCs w:val="20"/>
              </w:rPr>
            </w:r>
            <w:r>
              <w:rPr>
                <w:sz w:val="20"/>
                <w:szCs w:val="20"/>
              </w:rPr>
            </w:r>
          </w:p>
        </w:tc>
        <w:tc>
          <w:tcPr>
            <w:shd w:val="clear" w:color="auto" w:fill="ffffff"/>
            <w:tcW w:w="82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-13</w:t>
            </w:r>
            <w:r>
              <w:rPr>
                <w:sz w:val="20"/>
                <w:szCs w:val="20"/>
              </w:rPr>
            </w:r>
            <w:r>
              <w:rPr>
                <w:sz w:val="20"/>
                <w:szCs w:val="20"/>
              </w:rPr>
            </w:r>
          </w:p>
        </w:tc>
      </w:tr>
      <w:tr>
        <w:trPr>
          <w:trHeight w:val="292"/>
        </w:trPr>
        <w:tc>
          <w:tcPr>
            <w:shd w:val="clear" w:color="auto" w:fill="ffffff"/>
            <w:tcW w:w="4755" w:type="dxa"/>
            <w:vAlign w:val="center"/>
            <w:textDirection w:val="lrTb"/>
            <w:noWrap w:val="false"/>
          </w:tcPr>
          <w:p>
            <w:pPr>
              <w:pStyle w:val="1063"/>
              <w:jc w:val="both"/>
              <w:widowControl w:val="off"/>
              <w:rPr>
                <w:sz w:val="20"/>
                <w:szCs w:val="20"/>
              </w:rPr>
            </w:pPr>
            <w:r>
              <w:rPr>
                <w:rFonts w:ascii="Arial Narrow" w:hAnsi="Arial Narrow"/>
                <w:color w:val="000000"/>
                <w:sz w:val="20"/>
                <w:szCs w:val="20"/>
              </w:rPr>
              <w:t xml:space="preserve">1.1.1.3 оказания услуг по передаче электрической энергии</w:t>
            </w:r>
            <w:r>
              <w:rPr>
                <w:sz w:val="20"/>
                <w:szCs w:val="20"/>
              </w:rPr>
            </w:r>
            <w:r>
              <w:rPr>
                <w:sz w:val="20"/>
                <w:szCs w:val="20"/>
              </w:rPr>
            </w:r>
          </w:p>
        </w:tc>
        <w:tc>
          <w:tcPr>
            <w:shd w:val="clear" w:color="auto" w:fill="ffffff"/>
            <w:tcW w:w="1523"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401,419</w:t>
            </w:r>
            <w:r>
              <w:rPr>
                <w:sz w:val="20"/>
                <w:szCs w:val="20"/>
              </w:rPr>
            </w:r>
            <w:r>
              <w:rPr>
                <w:sz w:val="20"/>
                <w:szCs w:val="20"/>
              </w:rPr>
            </w:r>
          </w:p>
        </w:tc>
        <w:tc>
          <w:tcPr>
            <w:shd w:val="clear" w:color="auto" w:fill="ffffff"/>
            <w:tcW w:w="1639"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304,343</w:t>
            </w:r>
            <w:r>
              <w:rPr>
                <w:sz w:val="20"/>
                <w:szCs w:val="20"/>
              </w:rPr>
            </w:r>
            <w:r>
              <w:rPr>
                <w:sz w:val="20"/>
                <w:szCs w:val="20"/>
              </w:rPr>
            </w:r>
          </w:p>
        </w:tc>
        <w:tc>
          <w:tcPr>
            <w:shd w:val="clear" w:color="auto" w:fill="ffffff"/>
            <w:tcW w:w="131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- 97,076</w:t>
            </w:r>
            <w:r>
              <w:rPr>
                <w:sz w:val="20"/>
                <w:szCs w:val="20"/>
              </w:rPr>
            </w:r>
            <w:r>
              <w:rPr>
                <w:sz w:val="20"/>
                <w:szCs w:val="20"/>
              </w:rPr>
            </w:r>
          </w:p>
        </w:tc>
        <w:tc>
          <w:tcPr>
            <w:shd w:val="clear" w:color="auto" w:fill="ffffff"/>
            <w:tcW w:w="82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-24</w:t>
            </w:r>
            <w:r>
              <w:rPr>
                <w:sz w:val="20"/>
                <w:szCs w:val="20"/>
              </w:rPr>
            </w:r>
            <w:r>
              <w:rPr>
                <w:sz w:val="20"/>
                <w:szCs w:val="20"/>
              </w:rPr>
            </w:r>
          </w:p>
        </w:tc>
      </w:tr>
      <w:tr>
        <w:trPr>
          <w:trHeight w:val="23"/>
        </w:trPr>
        <w:tc>
          <w:tcPr>
            <w:shd w:val="clear" w:color="auto" w:fill="ffffff"/>
            <w:tcW w:w="4755" w:type="dxa"/>
            <w:vAlign w:val="center"/>
            <w:textDirection w:val="lrTb"/>
            <w:noWrap w:val="false"/>
          </w:tcPr>
          <w:p>
            <w:pPr>
              <w:pStyle w:val="1063"/>
              <w:jc w:val="both"/>
              <w:widowControl w:val="off"/>
              <w:rPr>
                <w:sz w:val="20"/>
                <w:szCs w:val="20"/>
              </w:rPr>
            </w:pPr>
            <w:r>
              <w:rPr>
                <w:rFonts w:ascii="Arial Narrow" w:hAnsi="Arial Narrow"/>
                <w:color w:val="000000"/>
                <w:sz w:val="20"/>
                <w:szCs w:val="20"/>
              </w:rPr>
              <w:t xml:space="preserve">1.1.1.4 оказания услуг по передаче тепловой энергии, теплоносителя</w:t>
            </w:r>
            <w:r>
              <w:rPr>
                <w:sz w:val="20"/>
                <w:szCs w:val="20"/>
              </w:rPr>
            </w:r>
            <w:r>
              <w:rPr>
                <w:sz w:val="20"/>
                <w:szCs w:val="20"/>
              </w:rPr>
            </w:r>
          </w:p>
        </w:tc>
        <w:tc>
          <w:tcPr>
            <w:shd w:val="clear" w:color="auto" w:fill="ffffff"/>
            <w:tcW w:w="1523"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1639"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131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82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r>
      <w:tr>
        <w:trPr>
          <w:trHeight w:val="23"/>
        </w:trPr>
        <w:tc>
          <w:tcPr>
            <w:shd w:val="clear" w:color="auto" w:fill="ffffff"/>
            <w:tcW w:w="4755" w:type="dxa"/>
            <w:vAlign w:val="center"/>
            <w:textDirection w:val="lrTb"/>
            <w:noWrap w:val="false"/>
          </w:tcPr>
          <w:p>
            <w:pPr>
              <w:pStyle w:val="1063"/>
              <w:jc w:val="both"/>
              <w:widowControl w:val="off"/>
              <w:rPr>
                <w:sz w:val="20"/>
                <w:szCs w:val="20"/>
              </w:rPr>
            </w:pPr>
            <w:r>
              <w:rPr>
                <w:rFonts w:ascii="Arial Narrow" w:hAnsi="Arial Narrow"/>
                <w:color w:val="000000"/>
                <w:sz w:val="20"/>
                <w:szCs w:val="20"/>
              </w:rPr>
              <w:t xml:space="preserve">1.1.1.5 от технологического присоединения</w:t>
            </w:r>
            <w:r>
              <w:rPr>
                <w:sz w:val="20"/>
                <w:szCs w:val="20"/>
              </w:rPr>
            </w:r>
            <w:r>
              <w:rPr>
                <w:sz w:val="20"/>
                <w:szCs w:val="20"/>
              </w:rPr>
            </w:r>
          </w:p>
        </w:tc>
        <w:tc>
          <w:tcPr>
            <w:shd w:val="clear" w:color="auto" w:fill="ffffff"/>
            <w:tcW w:w="1523"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3 637,852</w:t>
            </w:r>
            <w:r>
              <w:rPr>
                <w:sz w:val="20"/>
                <w:szCs w:val="20"/>
              </w:rPr>
            </w:r>
            <w:r>
              <w:rPr>
                <w:sz w:val="20"/>
                <w:szCs w:val="20"/>
              </w:rPr>
            </w:r>
          </w:p>
        </w:tc>
        <w:tc>
          <w:tcPr>
            <w:shd w:val="clear" w:color="auto" w:fill="ffffff"/>
            <w:tcW w:w="1639"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1 867,852</w:t>
            </w:r>
            <w:r>
              <w:rPr>
                <w:sz w:val="20"/>
                <w:szCs w:val="20"/>
              </w:rPr>
            </w:r>
            <w:r>
              <w:rPr>
                <w:sz w:val="20"/>
                <w:szCs w:val="20"/>
              </w:rPr>
            </w:r>
          </w:p>
        </w:tc>
        <w:tc>
          <w:tcPr>
            <w:shd w:val="clear" w:color="auto" w:fill="ffffff"/>
            <w:tcW w:w="131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- 1 770</w:t>
            </w:r>
            <w:r>
              <w:rPr>
                <w:sz w:val="20"/>
                <w:szCs w:val="20"/>
              </w:rPr>
            </w:r>
            <w:r>
              <w:rPr>
                <w:sz w:val="20"/>
                <w:szCs w:val="20"/>
              </w:rPr>
            </w:r>
          </w:p>
        </w:tc>
        <w:tc>
          <w:tcPr>
            <w:shd w:val="clear" w:color="auto" w:fill="ffffff"/>
            <w:tcW w:w="82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49</w:t>
            </w:r>
            <w:r>
              <w:rPr>
                <w:sz w:val="20"/>
                <w:szCs w:val="20"/>
              </w:rPr>
            </w:r>
            <w:r>
              <w:rPr>
                <w:sz w:val="20"/>
                <w:szCs w:val="20"/>
              </w:rPr>
            </w:r>
          </w:p>
        </w:tc>
      </w:tr>
      <w:tr>
        <w:trPr>
          <w:trHeight w:val="23"/>
        </w:trPr>
        <w:tc>
          <w:tcPr>
            <w:shd w:val="clear" w:color="auto" w:fill="ffffff"/>
            <w:tcW w:w="4755" w:type="dxa"/>
            <w:vAlign w:val="center"/>
            <w:textDirection w:val="lrTb"/>
            <w:noWrap w:val="false"/>
          </w:tcPr>
          <w:p>
            <w:pPr>
              <w:pStyle w:val="1063"/>
              <w:jc w:val="both"/>
              <w:widowControl w:val="off"/>
              <w:rPr>
                <w:sz w:val="20"/>
                <w:szCs w:val="20"/>
              </w:rPr>
            </w:pPr>
            <w:r>
              <w:rPr>
                <w:rFonts w:ascii="Arial Narrow" w:hAnsi="Arial Narrow"/>
                <w:color w:val="000000"/>
                <w:sz w:val="20"/>
                <w:szCs w:val="20"/>
              </w:rPr>
              <w:t xml:space="preserve">1.1.1.6 реализации электрической энергии и мощности</w:t>
            </w:r>
            <w:r>
              <w:rPr>
                <w:sz w:val="20"/>
                <w:szCs w:val="20"/>
              </w:rPr>
            </w:r>
            <w:r>
              <w:rPr>
                <w:sz w:val="20"/>
                <w:szCs w:val="20"/>
              </w:rPr>
            </w:r>
          </w:p>
        </w:tc>
        <w:tc>
          <w:tcPr>
            <w:shd w:val="clear" w:color="auto" w:fill="ffffff"/>
            <w:tcW w:w="1523"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1639"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131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82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r>
      <w:tr>
        <w:trPr>
          <w:trHeight w:val="23"/>
        </w:trPr>
        <w:tc>
          <w:tcPr>
            <w:shd w:val="clear" w:color="auto" w:fill="ffffff"/>
            <w:tcW w:w="4755" w:type="dxa"/>
            <w:vAlign w:val="center"/>
            <w:textDirection w:val="lrTb"/>
            <w:noWrap w:val="false"/>
          </w:tcPr>
          <w:p>
            <w:pPr>
              <w:pStyle w:val="1063"/>
              <w:jc w:val="both"/>
              <w:widowControl w:val="off"/>
              <w:rPr>
                <w:sz w:val="20"/>
                <w:szCs w:val="20"/>
              </w:rPr>
            </w:pPr>
            <w:r>
              <w:rPr>
                <w:rFonts w:ascii="Arial Narrow" w:hAnsi="Arial Narrow"/>
                <w:color w:val="000000"/>
                <w:sz w:val="20"/>
                <w:szCs w:val="20"/>
              </w:rPr>
              <w:t xml:space="preserve">1.1.1.7 реализации тепловой энергии (мощности)</w:t>
            </w:r>
            <w:r>
              <w:rPr>
                <w:sz w:val="20"/>
                <w:szCs w:val="20"/>
              </w:rPr>
            </w:r>
            <w:r>
              <w:rPr>
                <w:sz w:val="20"/>
                <w:szCs w:val="20"/>
              </w:rPr>
            </w:r>
          </w:p>
        </w:tc>
        <w:tc>
          <w:tcPr>
            <w:shd w:val="clear" w:color="auto" w:fill="ffffff"/>
            <w:tcW w:w="1523"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1639"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131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82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r>
      <w:tr>
        <w:trPr>
          <w:trHeight w:val="23"/>
        </w:trPr>
        <w:tc>
          <w:tcPr>
            <w:shd w:val="clear" w:color="auto" w:fill="ffffff"/>
            <w:tcW w:w="4755" w:type="dxa"/>
            <w:vAlign w:val="center"/>
            <w:textDirection w:val="lrTb"/>
            <w:noWrap w:val="false"/>
          </w:tcPr>
          <w:p>
            <w:pPr>
              <w:pStyle w:val="1063"/>
              <w:jc w:val="both"/>
              <w:widowControl w:val="off"/>
              <w:rPr>
                <w:sz w:val="20"/>
                <w:szCs w:val="20"/>
              </w:rPr>
            </w:pPr>
            <w:r>
              <w:rPr>
                <w:rFonts w:ascii="Arial Narrow" w:hAnsi="Arial Narrow"/>
                <w:color w:val="000000"/>
                <w:sz w:val="20"/>
                <w:szCs w:val="20"/>
              </w:rPr>
              <w:t xml:space="preserve">1.1.1.8 оказания услуг по оперативно-диспетчерскому управлению в электроэнергетике</w:t>
            </w:r>
            <w:r>
              <w:rPr>
                <w:sz w:val="20"/>
                <w:szCs w:val="20"/>
              </w:rPr>
            </w:r>
            <w:r>
              <w:rPr>
                <w:sz w:val="20"/>
                <w:szCs w:val="20"/>
              </w:rPr>
            </w:r>
          </w:p>
        </w:tc>
        <w:tc>
          <w:tcPr>
            <w:shd w:val="clear" w:color="auto" w:fill="ffffff"/>
            <w:tcW w:w="1523"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1639"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131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82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r>
      <w:tr>
        <w:trPr>
          <w:trHeight w:val="23"/>
        </w:trPr>
        <w:tc>
          <w:tcPr>
            <w:shd w:val="clear" w:color="auto" w:fill="ffffff"/>
            <w:tcW w:w="4755" w:type="dxa"/>
            <w:vAlign w:val="center"/>
            <w:textDirection w:val="lrTb"/>
            <w:noWrap w:val="false"/>
          </w:tcPr>
          <w:p>
            <w:pPr>
              <w:pStyle w:val="1063"/>
              <w:jc w:val="both"/>
              <w:widowControl w:val="off"/>
              <w:rPr>
                <w:sz w:val="20"/>
                <w:szCs w:val="20"/>
              </w:rPr>
            </w:pPr>
            <w:r>
              <w:rPr>
                <w:rFonts w:ascii="Arial Narrow" w:hAnsi="Arial Narrow"/>
                <w:color w:val="000000"/>
                <w:sz w:val="20"/>
                <w:szCs w:val="20"/>
              </w:rPr>
              <w:t xml:space="preserve">1.1.2 прибыль от продажи электрической энергии (мощности) по нерегулируемым ценам</w:t>
            </w:r>
            <w:r>
              <w:rPr>
                <w:sz w:val="20"/>
                <w:szCs w:val="20"/>
              </w:rPr>
            </w:r>
            <w:r>
              <w:rPr>
                <w:sz w:val="20"/>
                <w:szCs w:val="20"/>
              </w:rPr>
            </w:r>
          </w:p>
        </w:tc>
        <w:tc>
          <w:tcPr>
            <w:shd w:val="clear" w:color="auto" w:fill="ffffff"/>
            <w:tcW w:w="1523"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1639"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131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82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r>
      <w:tr>
        <w:trPr>
          <w:trHeight w:val="23"/>
        </w:trPr>
        <w:tc>
          <w:tcPr>
            <w:shd w:val="clear" w:color="auto" w:fill="ffffff"/>
            <w:tcW w:w="4755" w:type="dxa"/>
            <w:vAlign w:val="center"/>
            <w:textDirection w:val="lrTb"/>
            <w:noWrap w:val="false"/>
          </w:tcPr>
          <w:p>
            <w:pPr>
              <w:pStyle w:val="1063"/>
              <w:jc w:val="both"/>
              <w:widowControl w:val="off"/>
              <w:rPr>
                <w:sz w:val="20"/>
                <w:szCs w:val="20"/>
              </w:rPr>
            </w:pPr>
            <w:r>
              <w:rPr>
                <w:rFonts w:ascii="Arial Narrow" w:hAnsi="Arial Narrow"/>
                <w:color w:val="000000"/>
                <w:sz w:val="20"/>
                <w:szCs w:val="20"/>
              </w:rPr>
              <w:t xml:space="preserve">1.1.3 прочая прибыль</w:t>
            </w:r>
            <w:r>
              <w:rPr>
                <w:sz w:val="20"/>
                <w:szCs w:val="20"/>
              </w:rPr>
            </w:r>
            <w:r>
              <w:rPr>
                <w:sz w:val="20"/>
                <w:szCs w:val="20"/>
              </w:rPr>
            </w:r>
          </w:p>
        </w:tc>
        <w:tc>
          <w:tcPr>
            <w:shd w:val="clear" w:color="auto" w:fill="ffffff"/>
            <w:tcW w:w="1523"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0,925</w:t>
            </w:r>
            <w:r>
              <w:rPr>
                <w:sz w:val="20"/>
                <w:szCs w:val="20"/>
              </w:rPr>
            </w:r>
            <w:r>
              <w:rPr>
                <w:sz w:val="20"/>
                <w:szCs w:val="20"/>
              </w:rPr>
            </w:r>
          </w:p>
        </w:tc>
        <w:tc>
          <w:tcPr>
            <w:shd w:val="clear" w:color="auto" w:fill="ffffff"/>
            <w:tcW w:w="1639" w:type="dxa"/>
            <w:vAlign w:val="center"/>
            <w:textDirection w:val="lrTb"/>
            <w:noWrap w:val="false"/>
          </w:tcPr>
          <w:p>
            <w:pPr>
              <w:pStyle w:val="1063"/>
              <w:jc w:val="center"/>
              <w:widowControl w:val="off"/>
              <w:rPr>
                <w:color w:val="000000"/>
                <w:sz w:val="20"/>
                <w:szCs w:val="20"/>
              </w:rPr>
            </w:pPr>
            <w:r>
              <w:rPr>
                <w:rFonts w:ascii="Arial Narrow" w:hAnsi="Arial Narrow"/>
                <w:color w:val="000000"/>
                <w:sz w:val="20"/>
                <w:szCs w:val="20"/>
              </w:rPr>
              <w:t xml:space="preserve">0,020</w:t>
            </w:r>
            <w:r>
              <w:rPr>
                <w:color w:val="000000"/>
                <w:sz w:val="20"/>
                <w:szCs w:val="20"/>
              </w:rPr>
            </w:r>
            <w:r>
              <w:rPr>
                <w:color w:val="000000"/>
                <w:sz w:val="20"/>
                <w:szCs w:val="20"/>
              </w:rPr>
            </w:r>
          </w:p>
        </w:tc>
        <w:tc>
          <w:tcPr>
            <w:shd w:val="clear" w:color="auto" w:fill="ffffff"/>
            <w:tcW w:w="1314" w:type="dxa"/>
            <w:vAlign w:val="center"/>
            <w:textDirection w:val="lrTb"/>
            <w:noWrap w:val="false"/>
          </w:tcPr>
          <w:p>
            <w:pPr>
              <w:pStyle w:val="1063"/>
              <w:jc w:val="center"/>
              <w:widowControl w:val="off"/>
              <w:rPr>
                <w:color w:val="000000"/>
                <w:sz w:val="20"/>
                <w:szCs w:val="20"/>
              </w:rPr>
            </w:pPr>
            <w:r>
              <w:rPr>
                <w:rFonts w:ascii="Arial Narrow" w:hAnsi="Arial Narrow"/>
                <w:color w:val="000000"/>
                <w:sz w:val="20"/>
                <w:szCs w:val="20"/>
              </w:rPr>
              <w:t xml:space="preserve">-0,905</w:t>
            </w:r>
            <w:r>
              <w:rPr>
                <w:color w:val="000000"/>
                <w:sz w:val="20"/>
                <w:szCs w:val="20"/>
              </w:rPr>
            </w:r>
            <w:r>
              <w:rPr>
                <w:color w:val="000000"/>
                <w:sz w:val="20"/>
                <w:szCs w:val="20"/>
              </w:rPr>
            </w:r>
          </w:p>
        </w:tc>
        <w:tc>
          <w:tcPr>
            <w:shd w:val="clear" w:color="auto" w:fill="ffffff"/>
            <w:tcW w:w="824" w:type="dxa"/>
            <w:vAlign w:val="center"/>
            <w:textDirection w:val="lrTb"/>
            <w:noWrap w:val="false"/>
          </w:tcPr>
          <w:p>
            <w:pPr>
              <w:pStyle w:val="1063"/>
              <w:jc w:val="center"/>
              <w:widowControl w:val="off"/>
              <w:rPr>
                <w:color w:val="000000"/>
                <w:sz w:val="20"/>
                <w:szCs w:val="20"/>
              </w:rPr>
            </w:pPr>
            <w:r>
              <w:rPr>
                <w:rFonts w:ascii="Arial Narrow" w:hAnsi="Arial Narrow"/>
                <w:color w:val="000000"/>
                <w:sz w:val="20"/>
                <w:szCs w:val="20"/>
              </w:rPr>
              <w:t xml:space="preserve">-98</w:t>
            </w:r>
            <w:r>
              <w:rPr>
                <w:color w:val="000000"/>
                <w:sz w:val="20"/>
                <w:szCs w:val="20"/>
              </w:rPr>
            </w:r>
            <w:r>
              <w:rPr>
                <w:color w:val="000000"/>
                <w:sz w:val="20"/>
                <w:szCs w:val="20"/>
              </w:rPr>
            </w:r>
          </w:p>
        </w:tc>
      </w:tr>
      <w:tr>
        <w:trPr>
          <w:trHeight w:val="23"/>
        </w:trPr>
        <w:tc>
          <w:tcPr>
            <w:shd w:val="clear" w:color="auto" w:fill="ffffff"/>
            <w:tcW w:w="4755" w:type="dxa"/>
            <w:vAlign w:val="center"/>
            <w:textDirection w:val="lrTb"/>
            <w:noWrap w:val="false"/>
          </w:tcPr>
          <w:p>
            <w:pPr>
              <w:pStyle w:val="1063"/>
              <w:jc w:val="both"/>
              <w:widowControl w:val="off"/>
              <w:rPr>
                <w:sz w:val="20"/>
                <w:szCs w:val="20"/>
              </w:rPr>
            </w:pPr>
            <w:r>
              <w:rPr>
                <w:rFonts w:ascii="Arial Narrow" w:hAnsi="Arial Narrow"/>
                <w:color w:val="000000"/>
                <w:sz w:val="20"/>
                <w:szCs w:val="20"/>
              </w:rPr>
              <w:t xml:space="preserve">1.2 Амортизация основных средств всего, в том числе:</w:t>
            </w:r>
            <w:r>
              <w:rPr>
                <w:sz w:val="20"/>
                <w:szCs w:val="20"/>
              </w:rPr>
            </w:r>
            <w:r>
              <w:rPr>
                <w:sz w:val="20"/>
                <w:szCs w:val="20"/>
              </w:rPr>
            </w:r>
          </w:p>
        </w:tc>
        <w:tc>
          <w:tcPr>
            <w:shd w:val="clear" w:color="auto" w:fill="ffffff"/>
            <w:tcW w:w="1523"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1 292,752</w:t>
            </w:r>
            <w:r>
              <w:rPr>
                <w:sz w:val="20"/>
                <w:szCs w:val="20"/>
              </w:rPr>
            </w:r>
            <w:r>
              <w:rPr>
                <w:sz w:val="20"/>
                <w:szCs w:val="20"/>
              </w:rPr>
            </w:r>
          </w:p>
        </w:tc>
        <w:tc>
          <w:tcPr>
            <w:shd w:val="clear" w:color="auto" w:fill="ffffff"/>
            <w:tcW w:w="1639" w:type="dxa"/>
            <w:vAlign w:val="center"/>
            <w:textDirection w:val="lrTb"/>
            <w:noWrap w:val="false"/>
          </w:tcPr>
          <w:p>
            <w:pPr>
              <w:pStyle w:val="1063"/>
              <w:jc w:val="center"/>
              <w:widowControl w:val="off"/>
              <w:rPr>
                <w:color w:val="000000"/>
                <w:sz w:val="20"/>
                <w:szCs w:val="20"/>
              </w:rPr>
            </w:pPr>
            <w:r>
              <w:rPr>
                <w:rFonts w:ascii="Arial Narrow" w:hAnsi="Arial Narrow"/>
                <w:color w:val="000000"/>
                <w:sz w:val="20"/>
                <w:szCs w:val="20"/>
              </w:rPr>
              <w:t xml:space="preserve">2 030,318</w:t>
            </w:r>
            <w:r>
              <w:rPr>
                <w:color w:val="000000"/>
                <w:sz w:val="20"/>
                <w:szCs w:val="20"/>
              </w:rPr>
            </w:r>
            <w:r>
              <w:rPr>
                <w:color w:val="000000"/>
                <w:sz w:val="20"/>
                <w:szCs w:val="20"/>
              </w:rPr>
            </w:r>
          </w:p>
        </w:tc>
        <w:tc>
          <w:tcPr>
            <w:shd w:val="clear" w:color="auto" w:fill="ffffff"/>
            <w:tcW w:w="1314" w:type="dxa"/>
            <w:vAlign w:val="center"/>
            <w:textDirection w:val="lrTb"/>
            <w:noWrap w:val="false"/>
          </w:tcPr>
          <w:p>
            <w:pPr>
              <w:pStyle w:val="1063"/>
              <w:jc w:val="center"/>
              <w:widowControl w:val="off"/>
              <w:rPr>
                <w:color w:val="000000"/>
                <w:sz w:val="20"/>
                <w:szCs w:val="20"/>
              </w:rPr>
            </w:pPr>
            <w:r>
              <w:rPr>
                <w:rFonts w:ascii="Arial Narrow" w:hAnsi="Arial Narrow"/>
                <w:color w:val="000000"/>
                <w:sz w:val="20"/>
                <w:szCs w:val="20"/>
              </w:rPr>
              <w:t xml:space="preserve">737,566</w:t>
            </w:r>
            <w:r>
              <w:rPr>
                <w:color w:val="000000"/>
                <w:sz w:val="20"/>
                <w:szCs w:val="20"/>
              </w:rPr>
            </w:r>
            <w:r>
              <w:rPr>
                <w:color w:val="000000"/>
                <w:sz w:val="20"/>
                <w:szCs w:val="20"/>
              </w:rPr>
            </w:r>
          </w:p>
        </w:tc>
        <w:tc>
          <w:tcPr>
            <w:shd w:val="clear" w:color="auto" w:fill="ffffff"/>
            <w:tcW w:w="824" w:type="dxa"/>
            <w:vAlign w:val="center"/>
            <w:textDirection w:val="lrTb"/>
            <w:noWrap w:val="false"/>
          </w:tcPr>
          <w:p>
            <w:pPr>
              <w:pStyle w:val="1063"/>
              <w:jc w:val="center"/>
              <w:widowControl w:val="off"/>
              <w:rPr>
                <w:color w:val="000000"/>
                <w:sz w:val="20"/>
                <w:szCs w:val="20"/>
              </w:rPr>
            </w:pPr>
            <w:r>
              <w:rPr>
                <w:rFonts w:ascii="Arial Narrow" w:hAnsi="Arial Narrow"/>
                <w:color w:val="000000"/>
                <w:sz w:val="20"/>
                <w:szCs w:val="20"/>
              </w:rPr>
              <w:t xml:space="preserve">57</w:t>
            </w:r>
            <w:r>
              <w:rPr>
                <w:color w:val="000000"/>
                <w:sz w:val="20"/>
                <w:szCs w:val="20"/>
              </w:rPr>
            </w:r>
            <w:r>
              <w:rPr>
                <w:color w:val="000000"/>
                <w:sz w:val="20"/>
                <w:szCs w:val="20"/>
              </w:rPr>
            </w:r>
          </w:p>
        </w:tc>
      </w:tr>
      <w:tr>
        <w:trPr>
          <w:trHeight w:val="23"/>
        </w:trPr>
        <w:tc>
          <w:tcPr>
            <w:shd w:val="clear" w:color="auto" w:fill="ffffff"/>
            <w:tcW w:w="4755" w:type="dxa"/>
            <w:vAlign w:val="center"/>
            <w:textDirection w:val="lrTb"/>
            <w:noWrap w:val="false"/>
          </w:tcPr>
          <w:p>
            <w:pPr>
              <w:pStyle w:val="1063"/>
              <w:jc w:val="both"/>
              <w:widowControl w:val="off"/>
              <w:rPr>
                <w:sz w:val="20"/>
                <w:szCs w:val="20"/>
              </w:rPr>
            </w:pPr>
            <w:r>
              <w:rPr>
                <w:rFonts w:ascii="Arial Narrow" w:hAnsi="Arial Narrow"/>
                <w:color w:val="000000"/>
                <w:sz w:val="20"/>
                <w:szCs w:val="20"/>
              </w:rPr>
              <w:t xml:space="preserve">1.2.1 текущая амортизация, учтенная в ценах (тарифах)</w:t>
            </w:r>
            <w:r>
              <w:rPr>
                <w:sz w:val="20"/>
                <w:szCs w:val="20"/>
              </w:rPr>
            </w:r>
            <w:r>
              <w:rPr>
                <w:sz w:val="20"/>
                <w:szCs w:val="20"/>
              </w:rPr>
            </w:r>
          </w:p>
        </w:tc>
        <w:tc>
          <w:tcPr>
            <w:shd w:val="clear" w:color="auto" w:fill="ffffff"/>
            <w:tcW w:w="1523"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1 277,752</w:t>
            </w:r>
            <w:r>
              <w:rPr>
                <w:sz w:val="20"/>
                <w:szCs w:val="20"/>
              </w:rPr>
            </w:r>
            <w:r>
              <w:rPr>
                <w:sz w:val="20"/>
                <w:szCs w:val="20"/>
              </w:rPr>
            </w:r>
          </w:p>
        </w:tc>
        <w:tc>
          <w:tcPr>
            <w:shd w:val="clear" w:color="auto" w:fill="ffffff"/>
            <w:tcW w:w="1639" w:type="dxa"/>
            <w:vAlign w:val="center"/>
            <w:textDirection w:val="lrTb"/>
            <w:noWrap w:val="false"/>
          </w:tcPr>
          <w:p>
            <w:pPr>
              <w:pStyle w:val="1063"/>
              <w:jc w:val="center"/>
              <w:widowControl w:val="off"/>
              <w:rPr>
                <w:color w:val="000000"/>
                <w:sz w:val="20"/>
                <w:szCs w:val="20"/>
              </w:rPr>
            </w:pPr>
            <w:r>
              <w:rPr>
                <w:rFonts w:ascii="Arial Narrow" w:hAnsi="Arial Narrow"/>
                <w:color w:val="000000"/>
                <w:sz w:val="20"/>
                <w:szCs w:val="20"/>
              </w:rPr>
              <w:t xml:space="preserve">1 623,925</w:t>
            </w:r>
            <w:r>
              <w:rPr>
                <w:color w:val="000000"/>
                <w:sz w:val="20"/>
                <w:szCs w:val="20"/>
              </w:rPr>
            </w:r>
            <w:r>
              <w:rPr>
                <w:color w:val="000000"/>
                <w:sz w:val="20"/>
                <w:szCs w:val="20"/>
              </w:rPr>
            </w:r>
          </w:p>
        </w:tc>
        <w:tc>
          <w:tcPr>
            <w:shd w:val="clear" w:color="auto" w:fill="ffffff"/>
            <w:tcW w:w="1314" w:type="dxa"/>
            <w:vAlign w:val="center"/>
            <w:textDirection w:val="lrTb"/>
            <w:noWrap w:val="false"/>
          </w:tcPr>
          <w:p>
            <w:pPr>
              <w:pStyle w:val="1063"/>
              <w:jc w:val="center"/>
              <w:widowControl w:val="off"/>
              <w:rPr>
                <w:color w:val="000000"/>
                <w:sz w:val="20"/>
                <w:szCs w:val="20"/>
              </w:rPr>
            </w:pPr>
            <w:r>
              <w:rPr>
                <w:rFonts w:ascii="Arial Narrow" w:hAnsi="Arial Narrow"/>
                <w:color w:val="000000"/>
                <w:sz w:val="20"/>
                <w:szCs w:val="20"/>
              </w:rPr>
              <w:t xml:space="preserve">346,173</w:t>
            </w:r>
            <w:r>
              <w:rPr>
                <w:color w:val="000000"/>
                <w:sz w:val="20"/>
                <w:szCs w:val="20"/>
              </w:rPr>
            </w:r>
            <w:r>
              <w:rPr>
                <w:color w:val="000000"/>
                <w:sz w:val="20"/>
                <w:szCs w:val="20"/>
              </w:rPr>
            </w:r>
          </w:p>
        </w:tc>
        <w:tc>
          <w:tcPr>
            <w:shd w:val="clear" w:color="auto" w:fill="ffffff"/>
            <w:tcW w:w="824" w:type="dxa"/>
            <w:vAlign w:val="center"/>
            <w:textDirection w:val="lrTb"/>
            <w:noWrap w:val="false"/>
          </w:tcPr>
          <w:p>
            <w:pPr>
              <w:pStyle w:val="1063"/>
              <w:jc w:val="center"/>
              <w:widowControl w:val="off"/>
              <w:rPr>
                <w:color w:val="000000"/>
                <w:sz w:val="20"/>
                <w:szCs w:val="20"/>
              </w:rPr>
            </w:pPr>
            <w:r>
              <w:rPr>
                <w:rFonts w:ascii="Arial Narrow" w:hAnsi="Arial Narrow"/>
                <w:color w:val="000000"/>
                <w:sz w:val="20"/>
                <w:szCs w:val="20"/>
              </w:rPr>
              <w:t xml:space="preserve">27</w:t>
            </w:r>
            <w:r>
              <w:rPr>
                <w:color w:val="000000"/>
                <w:sz w:val="20"/>
                <w:szCs w:val="20"/>
              </w:rPr>
            </w:r>
            <w:r>
              <w:rPr>
                <w:color w:val="000000"/>
                <w:sz w:val="20"/>
                <w:szCs w:val="20"/>
              </w:rPr>
            </w:r>
          </w:p>
        </w:tc>
      </w:tr>
      <w:tr>
        <w:trPr>
          <w:trHeight w:val="23"/>
        </w:trPr>
        <w:tc>
          <w:tcPr>
            <w:shd w:val="clear" w:color="auto" w:fill="ffffff"/>
            <w:tcW w:w="4755" w:type="dxa"/>
            <w:vAlign w:val="center"/>
            <w:textDirection w:val="lrTb"/>
            <w:noWrap w:val="false"/>
          </w:tcPr>
          <w:p>
            <w:pPr>
              <w:pStyle w:val="1063"/>
              <w:jc w:val="both"/>
              <w:widowControl w:val="off"/>
              <w:rPr>
                <w:sz w:val="20"/>
                <w:szCs w:val="20"/>
              </w:rPr>
            </w:pPr>
            <w:r>
              <w:rPr>
                <w:rFonts w:ascii="Arial Narrow" w:hAnsi="Arial Narrow"/>
                <w:color w:val="000000"/>
                <w:sz w:val="20"/>
                <w:szCs w:val="20"/>
              </w:rPr>
              <w:t xml:space="preserve">1.2.2 прочая текущая амортизация</w:t>
            </w:r>
            <w:r>
              <w:rPr>
                <w:sz w:val="20"/>
                <w:szCs w:val="20"/>
              </w:rPr>
            </w:r>
            <w:r>
              <w:rPr>
                <w:sz w:val="20"/>
                <w:szCs w:val="20"/>
              </w:rPr>
            </w:r>
          </w:p>
        </w:tc>
        <w:tc>
          <w:tcPr>
            <w:shd w:val="clear" w:color="auto" w:fill="ffffff"/>
            <w:tcW w:w="1523"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1639" w:type="dxa"/>
            <w:vAlign w:val="center"/>
            <w:textDirection w:val="lrTb"/>
            <w:noWrap w:val="false"/>
          </w:tcPr>
          <w:p>
            <w:pPr>
              <w:pStyle w:val="1063"/>
              <w:jc w:val="center"/>
              <w:widowControl w:val="off"/>
              <w:rPr>
                <w:color w:val="c9211e"/>
                <w:sz w:val="20"/>
                <w:szCs w:val="20"/>
              </w:rPr>
            </w:pPr>
            <w:r>
              <w:rPr>
                <w:rFonts w:ascii="Arial Narrow" w:hAnsi="Arial Narrow"/>
                <w:color w:val="c9211e"/>
                <w:sz w:val="20"/>
                <w:szCs w:val="20"/>
              </w:rPr>
              <w:t xml:space="preserve">-</w:t>
            </w:r>
            <w:r>
              <w:rPr>
                <w:color w:val="c9211e"/>
                <w:sz w:val="20"/>
                <w:szCs w:val="20"/>
              </w:rPr>
            </w:r>
            <w:r>
              <w:rPr>
                <w:color w:val="c9211e"/>
                <w:sz w:val="20"/>
                <w:szCs w:val="20"/>
              </w:rPr>
            </w:r>
          </w:p>
        </w:tc>
        <w:tc>
          <w:tcPr>
            <w:shd w:val="clear" w:color="auto" w:fill="ffffff"/>
            <w:tcW w:w="1314" w:type="dxa"/>
            <w:vAlign w:val="center"/>
            <w:textDirection w:val="lrTb"/>
            <w:noWrap w:val="false"/>
          </w:tcPr>
          <w:p>
            <w:pPr>
              <w:pStyle w:val="1063"/>
              <w:jc w:val="center"/>
              <w:widowControl w:val="off"/>
              <w:rPr>
                <w:color w:val="c9211e"/>
                <w:sz w:val="20"/>
                <w:szCs w:val="20"/>
              </w:rPr>
            </w:pPr>
            <w:r>
              <w:rPr>
                <w:rFonts w:ascii="Arial Narrow" w:hAnsi="Arial Narrow"/>
                <w:color w:val="c9211e"/>
                <w:sz w:val="20"/>
                <w:szCs w:val="20"/>
              </w:rPr>
              <w:t xml:space="preserve">-</w:t>
            </w:r>
            <w:r>
              <w:rPr>
                <w:color w:val="c9211e"/>
                <w:sz w:val="20"/>
                <w:szCs w:val="20"/>
              </w:rPr>
            </w:r>
            <w:r>
              <w:rPr>
                <w:color w:val="c9211e"/>
                <w:sz w:val="20"/>
                <w:szCs w:val="20"/>
              </w:rPr>
            </w:r>
          </w:p>
        </w:tc>
        <w:tc>
          <w:tcPr>
            <w:shd w:val="clear" w:color="auto" w:fill="ffffff"/>
            <w:tcW w:w="824" w:type="dxa"/>
            <w:vAlign w:val="center"/>
            <w:textDirection w:val="lrTb"/>
            <w:noWrap w:val="false"/>
          </w:tcPr>
          <w:p>
            <w:pPr>
              <w:pStyle w:val="1063"/>
              <w:jc w:val="center"/>
              <w:widowControl w:val="off"/>
              <w:rPr>
                <w:color w:val="c9211e"/>
                <w:sz w:val="20"/>
                <w:szCs w:val="20"/>
              </w:rPr>
            </w:pPr>
            <w:r>
              <w:rPr>
                <w:rFonts w:ascii="Arial Narrow" w:hAnsi="Arial Narrow"/>
                <w:color w:val="c9211e"/>
                <w:sz w:val="20"/>
                <w:szCs w:val="20"/>
              </w:rPr>
              <w:t xml:space="preserve">-</w:t>
            </w:r>
            <w:r>
              <w:rPr>
                <w:color w:val="c9211e"/>
                <w:sz w:val="20"/>
                <w:szCs w:val="20"/>
              </w:rPr>
            </w:r>
            <w:r>
              <w:rPr>
                <w:color w:val="c9211e"/>
                <w:sz w:val="20"/>
                <w:szCs w:val="20"/>
              </w:rPr>
            </w:r>
          </w:p>
        </w:tc>
      </w:tr>
      <w:tr>
        <w:trPr>
          <w:trHeight w:val="23"/>
        </w:trPr>
        <w:tc>
          <w:tcPr>
            <w:shd w:val="clear" w:color="auto" w:fill="ffffff"/>
            <w:tcW w:w="4755" w:type="dxa"/>
            <w:vAlign w:val="center"/>
            <w:textDirection w:val="lrTb"/>
            <w:noWrap w:val="false"/>
          </w:tcPr>
          <w:p>
            <w:pPr>
              <w:pStyle w:val="1063"/>
              <w:jc w:val="both"/>
              <w:widowControl w:val="off"/>
              <w:rPr>
                <w:sz w:val="20"/>
                <w:szCs w:val="20"/>
              </w:rPr>
            </w:pPr>
            <w:r>
              <w:rPr>
                <w:rFonts w:ascii="Arial Narrow" w:hAnsi="Arial Narrow"/>
                <w:color w:val="000000"/>
                <w:sz w:val="20"/>
                <w:szCs w:val="20"/>
              </w:rPr>
              <w:t xml:space="preserve">1.2.3 недоиспользованная амортизация прошлых лет</w:t>
            </w:r>
            <w:r>
              <w:rPr>
                <w:sz w:val="20"/>
                <w:szCs w:val="20"/>
              </w:rPr>
            </w:r>
            <w:r>
              <w:rPr>
                <w:sz w:val="20"/>
                <w:szCs w:val="20"/>
              </w:rPr>
            </w:r>
          </w:p>
        </w:tc>
        <w:tc>
          <w:tcPr>
            <w:shd w:val="clear" w:color="auto" w:fill="ffffff"/>
            <w:tcW w:w="1523"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15,0</w:t>
            </w:r>
            <w:r>
              <w:rPr>
                <w:sz w:val="20"/>
                <w:szCs w:val="20"/>
              </w:rPr>
            </w:r>
            <w:r>
              <w:rPr>
                <w:sz w:val="20"/>
                <w:szCs w:val="20"/>
              </w:rPr>
            </w:r>
          </w:p>
        </w:tc>
        <w:tc>
          <w:tcPr>
            <w:shd w:val="clear" w:color="auto" w:fill="ffffff"/>
            <w:tcW w:w="1639" w:type="dxa"/>
            <w:vAlign w:val="center"/>
            <w:textDirection w:val="lrTb"/>
            <w:noWrap w:val="false"/>
          </w:tcPr>
          <w:p>
            <w:pPr>
              <w:pStyle w:val="1063"/>
              <w:jc w:val="center"/>
              <w:widowControl w:val="off"/>
              <w:rPr>
                <w:color w:val="000000"/>
                <w:sz w:val="20"/>
                <w:szCs w:val="20"/>
              </w:rPr>
            </w:pPr>
            <w:r>
              <w:rPr>
                <w:rFonts w:ascii="Arial Narrow" w:hAnsi="Arial Narrow"/>
                <w:color w:val="000000"/>
                <w:sz w:val="20"/>
                <w:szCs w:val="20"/>
              </w:rPr>
              <w:t xml:space="preserve">406,393</w:t>
            </w:r>
            <w:r>
              <w:rPr>
                <w:color w:val="000000"/>
                <w:sz w:val="20"/>
                <w:szCs w:val="20"/>
              </w:rPr>
            </w:r>
            <w:r>
              <w:rPr>
                <w:color w:val="000000"/>
                <w:sz w:val="20"/>
                <w:szCs w:val="20"/>
              </w:rPr>
            </w:r>
          </w:p>
        </w:tc>
        <w:tc>
          <w:tcPr>
            <w:shd w:val="clear" w:color="auto" w:fill="ffffff"/>
            <w:tcW w:w="1314" w:type="dxa"/>
            <w:vAlign w:val="center"/>
            <w:textDirection w:val="lrTb"/>
            <w:noWrap w:val="false"/>
          </w:tcPr>
          <w:p>
            <w:pPr>
              <w:pStyle w:val="1063"/>
              <w:jc w:val="center"/>
              <w:widowControl w:val="off"/>
              <w:rPr>
                <w:color w:val="000000"/>
                <w:sz w:val="20"/>
                <w:szCs w:val="20"/>
              </w:rPr>
            </w:pPr>
            <w:r>
              <w:rPr>
                <w:rFonts w:ascii="Arial Narrow" w:hAnsi="Arial Narrow"/>
                <w:color w:val="000000"/>
                <w:sz w:val="20"/>
                <w:szCs w:val="20"/>
              </w:rPr>
              <w:t xml:space="preserve">391,393</w:t>
            </w:r>
            <w:r>
              <w:rPr>
                <w:color w:val="000000"/>
                <w:sz w:val="20"/>
                <w:szCs w:val="20"/>
              </w:rPr>
            </w:r>
            <w:r>
              <w:rPr>
                <w:color w:val="000000"/>
                <w:sz w:val="20"/>
                <w:szCs w:val="20"/>
              </w:rPr>
            </w:r>
          </w:p>
        </w:tc>
        <w:tc>
          <w:tcPr>
            <w:shd w:val="clear" w:color="auto" w:fill="ffffff"/>
            <w:tcW w:w="824" w:type="dxa"/>
            <w:vAlign w:val="center"/>
            <w:textDirection w:val="lrTb"/>
            <w:noWrap w:val="false"/>
          </w:tcPr>
          <w:p>
            <w:pPr>
              <w:pStyle w:val="1063"/>
              <w:jc w:val="center"/>
              <w:widowControl w:val="off"/>
              <w:rPr>
                <w:color w:val="000000"/>
                <w:sz w:val="20"/>
                <w:szCs w:val="20"/>
              </w:rPr>
            </w:pPr>
            <w:r>
              <w:rPr>
                <w:rFonts w:ascii="Arial Narrow" w:hAnsi="Arial Narrow"/>
                <w:color w:val="000000"/>
                <w:sz w:val="20"/>
                <w:szCs w:val="20"/>
              </w:rPr>
              <w:t xml:space="preserve">2610</w:t>
            </w:r>
            <w:r>
              <w:rPr>
                <w:color w:val="000000"/>
                <w:sz w:val="20"/>
                <w:szCs w:val="20"/>
              </w:rPr>
            </w:r>
            <w:r>
              <w:rPr>
                <w:color w:val="000000"/>
                <w:sz w:val="20"/>
                <w:szCs w:val="20"/>
              </w:rPr>
            </w:r>
          </w:p>
        </w:tc>
      </w:tr>
      <w:tr>
        <w:trPr>
          <w:trHeight w:val="23"/>
        </w:trPr>
        <w:tc>
          <w:tcPr>
            <w:shd w:val="clear" w:color="auto" w:fill="ffffff"/>
            <w:tcW w:w="4755" w:type="dxa"/>
            <w:vAlign w:val="center"/>
            <w:textDirection w:val="lrTb"/>
            <w:noWrap w:val="false"/>
          </w:tcPr>
          <w:p>
            <w:pPr>
              <w:pStyle w:val="1063"/>
              <w:jc w:val="both"/>
              <w:widowControl w:val="off"/>
              <w:rPr>
                <w:sz w:val="20"/>
                <w:szCs w:val="20"/>
              </w:rPr>
            </w:pPr>
            <w:r>
              <w:rPr>
                <w:rFonts w:ascii="Arial Narrow" w:hAnsi="Arial Narrow"/>
                <w:color w:val="000000"/>
                <w:sz w:val="20"/>
                <w:szCs w:val="20"/>
              </w:rPr>
              <w:t xml:space="preserve">1.3 Возврат налога на добавленную стоимость</w:t>
            </w:r>
            <w:r>
              <w:rPr>
                <w:sz w:val="20"/>
                <w:szCs w:val="20"/>
              </w:rPr>
            </w:r>
            <w:r>
              <w:rPr>
                <w:sz w:val="20"/>
                <w:szCs w:val="20"/>
              </w:rPr>
            </w:r>
          </w:p>
        </w:tc>
        <w:tc>
          <w:tcPr>
            <w:shd w:val="clear" w:color="auto" w:fill="ffffff"/>
            <w:tcW w:w="1523"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1 251,105</w:t>
            </w:r>
            <w:r>
              <w:rPr>
                <w:sz w:val="20"/>
                <w:szCs w:val="20"/>
              </w:rPr>
            </w:r>
            <w:r>
              <w:rPr>
                <w:sz w:val="20"/>
                <w:szCs w:val="20"/>
              </w:rPr>
            </w:r>
          </w:p>
        </w:tc>
        <w:tc>
          <w:tcPr>
            <w:shd w:val="clear" w:color="auto" w:fill="ffffff"/>
            <w:tcW w:w="1639" w:type="dxa"/>
            <w:vAlign w:val="center"/>
            <w:textDirection w:val="lrTb"/>
            <w:noWrap w:val="false"/>
          </w:tcPr>
          <w:p>
            <w:pPr>
              <w:pStyle w:val="1063"/>
              <w:jc w:val="center"/>
              <w:widowControl w:val="off"/>
              <w:rPr>
                <w:color w:val="000000"/>
                <w:sz w:val="20"/>
                <w:szCs w:val="20"/>
              </w:rPr>
            </w:pPr>
            <w:r>
              <w:rPr>
                <w:rFonts w:ascii="Arial Narrow" w:hAnsi="Arial Narrow"/>
                <w:color w:val="000000"/>
                <w:sz w:val="20"/>
                <w:szCs w:val="20"/>
              </w:rPr>
              <w:t xml:space="preserve">845,454</w:t>
            </w:r>
            <w:r>
              <w:rPr>
                <w:color w:val="000000"/>
                <w:sz w:val="20"/>
                <w:szCs w:val="20"/>
              </w:rPr>
            </w:r>
            <w:r>
              <w:rPr>
                <w:color w:val="000000"/>
                <w:sz w:val="20"/>
                <w:szCs w:val="20"/>
              </w:rPr>
            </w:r>
          </w:p>
        </w:tc>
        <w:tc>
          <w:tcPr>
            <w:shd w:val="clear" w:color="auto" w:fill="ffffff"/>
            <w:tcW w:w="1314" w:type="dxa"/>
            <w:vAlign w:val="center"/>
            <w:textDirection w:val="lrTb"/>
            <w:noWrap w:val="false"/>
          </w:tcPr>
          <w:p>
            <w:pPr>
              <w:pStyle w:val="1063"/>
              <w:jc w:val="center"/>
              <w:widowControl w:val="off"/>
              <w:rPr>
                <w:color w:val="000000"/>
                <w:sz w:val="20"/>
                <w:szCs w:val="20"/>
              </w:rPr>
            </w:pPr>
            <w:r>
              <w:rPr>
                <w:rFonts w:ascii="Arial Narrow" w:hAnsi="Arial Narrow"/>
                <w:color w:val="000000"/>
                <w:sz w:val="20"/>
                <w:szCs w:val="20"/>
              </w:rPr>
              <w:t xml:space="preserve">- 405,651</w:t>
            </w:r>
            <w:r>
              <w:rPr>
                <w:color w:val="000000"/>
                <w:sz w:val="20"/>
                <w:szCs w:val="20"/>
              </w:rPr>
            </w:r>
            <w:r>
              <w:rPr>
                <w:color w:val="000000"/>
                <w:sz w:val="20"/>
                <w:szCs w:val="20"/>
              </w:rPr>
            </w:r>
          </w:p>
        </w:tc>
        <w:tc>
          <w:tcPr>
            <w:shd w:val="clear" w:color="auto" w:fill="ffffff"/>
            <w:tcW w:w="824" w:type="dxa"/>
            <w:vAlign w:val="center"/>
            <w:textDirection w:val="lrTb"/>
            <w:noWrap w:val="false"/>
          </w:tcPr>
          <w:p>
            <w:pPr>
              <w:pStyle w:val="1063"/>
              <w:jc w:val="center"/>
              <w:widowControl w:val="off"/>
              <w:rPr>
                <w:color w:val="000000"/>
                <w:sz w:val="20"/>
                <w:szCs w:val="20"/>
              </w:rPr>
            </w:pPr>
            <w:r>
              <w:rPr>
                <w:rFonts w:ascii="Arial Narrow" w:hAnsi="Arial Narrow"/>
                <w:color w:val="000000"/>
                <w:sz w:val="20"/>
                <w:szCs w:val="20"/>
              </w:rPr>
              <w:t xml:space="preserve">-32</w:t>
            </w:r>
            <w:r>
              <w:rPr>
                <w:color w:val="000000"/>
                <w:sz w:val="20"/>
                <w:szCs w:val="20"/>
              </w:rPr>
            </w:r>
            <w:r>
              <w:rPr>
                <w:color w:val="000000"/>
                <w:sz w:val="20"/>
                <w:szCs w:val="20"/>
              </w:rPr>
            </w:r>
          </w:p>
        </w:tc>
      </w:tr>
      <w:tr>
        <w:trPr>
          <w:trHeight w:val="23"/>
        </w:trPr>
        <w:tc>
          <w:tcPr>
            <w:shd w:val="clear" w:color="auto" w:fill="ffffff"/>
            <w:tcW w:w="4755" w:type="dxa"/>
            <w:vAlign w:val="center"/>
            <w:textDirection w:val="lrTb"/>
            <w:noWrap w:val="false"/>
          </w:tcPr>
          <w:p>
            <w:pPr>
              <w:pStyle w:val="1063"/>
              <w:jc w:val="both"/>
              <w:widowControl w:val="off"/>
              <w:rPr>
                <w:sz w:val="20"/>
                <w:szCs w:val="20"/>
              </w:rPr>
            </w:pPr>
            <w:r>
              <w:rPr>
                <w:rFonts w:ascii="Arial Narrow" w:hAnsi="Arial Narrow"/>
                <w:color w:val="000000"/>
                <w:sz w:val="20"/>
                <w:szCs w:val="20"/>
              </w:rPr>
              <w:t xml:space="preserve">1.4 Прочие собственные средства всего, в том числе:</w:t>
            </w:r>
            <w:r>
              <w:rPr>
                <w:sz w:val="20"/>
                <w:szCs w:val="20"/>
              </w:rPr>
            </w:r>
            <w:r>
              <w:rPr>
                <w:sz w:val="20"/>
                <w:szCs w:val="20"/>
              </w:rPr>
            </w:r>
          </w:p>
        </w:tc>
        <w:tc>
          <w:tcPr>
            <w:shd w:val="clear" w:color="auto" w:fill="ffffff"/>
            <w:tcW w:w="1523"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201,173</w:t>
            </w:r>
            <w:r>
              <w:rPr>
                <w:sz w:val="20"/>
                <w:szCs w:val="20"/>
              </w:rPr>
            </w:r>
            <w:r>
              <w:rPr>
                <w:sz w:val="20"/>
                <w:szCs w:val="20"/>
              </w:rPr>
            </w:r>
          </w:p>
        </w:tc>
        <w:tc>
          <w:tcPr>
            <w:shd w:val="clear" w:color="auto" w:fill="ffffff"/>
            <w:tcW w:w="1639"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113,010</w:t>
            </w:r>
            <w:r>
              <w:rPr>
                <w:sz w:val="20"/>
                <w:szCs w:val="20"/>
              </w:rPr>
            </w:r>
            <w:r>
              <w:rPr>
                <w:sz w:val="20"/>
                <w:szCs w:val="20"/>
              </w:rPr>
            </w:r>
          </w:p>
        </w:tc>
        <w:tc>
          <w:tcPr>
            <w:shd w:val="clear" w:color="auto" w:fill="ffffff"/>
            <w:tcW w:w="131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- 88,163</w:t>
            </w:r>
            <w:r>
              <w:rPr>
                <w:sz w:val="20"/>
                <w:szCs w:val="20"/>
              </w:rPr>
            </w:r>
            <w:r>
              <w:rPr>
                <w:sz w:val="20"/>
                <w:szCs w:val="20"/>
              </w:rPr>
            </w:r>
          </w:p>
        </w:tc>
        <w:tc>
          <w:tcPr>
            <w:shd w:val="clear" w:color="auto" w:fill="ffffff"/>
            <w:tcW w:w="82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-44</w:t>
            </w:r>
            <w:r>
              <w:rPr>
                <w:sz w:val="20"/>
                <w:szCs w:val="20"/>
              </w:rPr>
            </w:r>
            <w:r>
              <w:rPr>
                <w:sz w:val="20"/>
                <w:szCs w:val="20"/>
              </w:rPr>
            </w:r>
          </w:p>
        </w:tc>
      </w:tr>
      <w:tr>
        <w:trPr>
          <w:trHeight w:val="23"/>
        </w:trPr>
        <w:tc>
          <w:tcPr>
            <w:shd w:val="clear" w:color="auto" w:fill="ffffff"/>
            <w:tcW w:w="4755" w:type="dxa"/>
            <w:vAlign w:val="center"/>
            <w:textDirection w:val="lrTb"/>
            <w:noWrap w:val="false"/>
          </w:tcPr>
          <w:p>
            <w:pPr>
              <w:pStyle w:val="1063"/>
              <w:jc w:val="both"/>
              <w:widowControl w:val="off"/>
              <w:rPr>
                <w:sz w:val="20"/>
                <w:szCs w:val="20"/>
              </w:rPr>
            </w:pPr>
            <w:r>
              <w:rPr>
                <w:rFonts w:ascii="Arial Narrow" w:hAnsi="Arial Narrow"/>
                <w:color w:val="000000"/>
                <w:sz w:val="20"/>
                <w:szCs w:val="20"/>
              </w:rPr>
              <w:t xml:space="preserve">1.4.1 средства от эмиссии акций</w:t>
            </w:r>
            <w:r>
              <w:rPr>
                <w:sz w:val="20"/>
                <w:szCs w:val="20"/>
              </w:rPr>
            </w:r>
            <w:r>
              <w:rPr>
                <w:sz w:val="20"/>
                <w:szCs w:val="20"/>
              </w:rPr>
            </w:r>
          </w:p>
        </w:tc>
        <w:tc>
          <w:tcPr>
            <w:shd w:val="clear" w:color="auto" w:fill="ffffff"/>
            <w:tcW w:w="1523" w:type="dxa"/>
            <w:vAlign w:val="center"/>
            <w:textDirection w:val="lrTb"/>
            <w:noWrap w:val="false"/>
          </w:tcPr>
          <w:p>
            <w:pPr>
              <w:pStyle w:val="1063"/>
              <w:jc w:val="center"/>
              <w:widowControl w:val="off"/>
              <w:rPr>
                <w:rFonts w:ascii="Arial Narrow" w:hAnsi="Arial Narrow"/>
                <w:color w:val="000000"/>
                <w:sz w:val="20"/>
                <w:szCs w:val="20"/>
              </w:rPr>
            </w:pPr>
            <w:r>
              <w:rPr>
                <w:rFonts w:ascii="Arial Narrow" w:hAnsi="Arial Narrow"/>
                <w:color w:val="000000"/>
                <w:sz w:val="20"/>
                <w:szCs w:val="20"/>
              </w:rPr>
            </w:r>
            <w:r>
              <w:rPr>
                <w:rFonts w:ascii="Arial Narrow" w:hAnsi="Arial Narrow"/>
                <w:color w:val="000000"/>
                <w:sz w:val="20"/>
                <w:szCs w:val="20"/>
              </w:rPr>
            </w:r>
            <w:r>
              <w:rPr>
                <w:rFonts w:ascii="Arial Narrow" w:hAnsi="Arial Narrow"/>
                <w:color w:val="000000"/>
                <w:sz w:val="20"/>
                <w:szCs w:val="20"/>
              </w:rPr>
            </w:r>
          </w:p>
        </w:tc>
        <w:tc>
          <w:tcPr>
            <w:shd w:val="clear" w:color="auto" w:fill="ffffff"/>
            <w:tcW w:w="1639" w:type="dxa"/>
            <w:vAlign w:val="center"/>
            <w:textDirection w:val="lrTb"/>
            <w:noWrap w:val="false"/>
          </w:tcPr>
          <w:p>
            <w:pPr>
              <w:pStyle w:val="1063"/>
              <w:jc w:val="center"/>
              <w:widowControl w:val="off"/>
              <w:rPr>
                <w:rFonts w:ascii="Arial Narrow" w:hAnsi="Arial Narrow"/>
                <w:color w:val="000000"/>
                <w:sz w:val="20"/>
                <w:szCs w:val="20"/>
              </w:rPr>
            </w:pPr>
            <w:r>
              <w:rPr>
                <w:rFonts w:ascii="Arial Narrow" w:hAnsi="Arial Narrow"/>
                <w:color w:val="000000"/>
                <w:sz w:val="20"/>
                <w:szCs w:val="20"/>
              </w:rPr>
            </w:r>
            <w:r>
              <w:rPr>
                <w:rFonts w:ascii="Arial Narrow" w:hAnsi="Arial Narrow"/>
                <w:color w:val="000000"/>
                <w:sz w:val="20"/>
                <w:szCs w:val="20"/>
              </w:rPr>
            </w:r>
            <w:r>
              <w:rPr>
                <w:rFonts w:ascii="Arial Narrow" w:hAnsi="Arial Narrow"/>
                <w:color w:val="000000"/>
                <w:sz w:val="20"/>
                <w:szCs w:val="20"/>
              </w:rPr>
            </w:r>
          </w:p>
        </w:tc>
        <w:tc>
          <w:tcPr>
            <w:shd w:val="clear" w:color="auto" w:fill="ffffff"/>
            <w:tcW w:w="1314" w:type="dxa"/>
            <w:vAlign w:val="center"/>
            <w:textDirection w:val="lrTb"/>
            <w:noWrap w:val="false"/>
          </w:tcPr>
          <w:p>
            <w:pPr>
              <w:pStyle w:val="1063"/>
              <w:jc w:val="center"/>
              <w:widowControl w:val="off"/>
              <w:rPr>
                <w:rFonts w:ascii="Arial Narrow" w:hAnsi="Arial Narrow"/>
                <w:color w:val="000000"/>
                <w:sz w:val="20"/>
                <w:szCs w:val="20"/>
              </w:rPr>
            </w:pPr>
            <w:r>
              <w:rPr>
                <w:rFonts w:ascii="Arial Narrow" w:hAnsi="Arial Narrow"/>
                <w:color w:val="000000"/>
                <w:sz w:val="20"/>
                <w:szCs w:val="20"/>
              </w:rPr>
            </w:r>
            <w:r>
              <w:rPr>
                <w:rFonts w:ascii="Arial Narrow" w:hAnsi="Arial Narrow"/>
                <w:color w:val="000000"/>
                <w:sz w:val="20"/>
                <w:szCs w:val="20"/>
              </w:rPr>
            </w:r>
            <w:r>
              <w:rPr>
                <w:rFonts w:ascii="Arial Narrow" w:hAnsi="Arial Narrow"/>
                <w:color w:val="000000"/>
                <w:sz w:val="20"/>
                <w:szCs w:val="20"/>
              </w:rPr>
            </w:r>
          </w:p>
        </w:tc>
        <w:tc>
          <w:tcPr>
            <w:shd w:val="clear" w:color="auto" w:fill="ffffff"/>
            <w:tcW w:w="824" w:type="dxa"/>
            <w:vAlign w:val="center"/>
            <w:textDirection w:val="lrTb"/>
            <w:noWrap w:val="false"/>
          </w:tcPr>
          <w:p>
            <w:pPr>
              <w:pStyle w:val="1063"/>
              <w:jc w:val="center"/>
              <w:widowControl w:val="off"/>
              <w:rPr>
                <w:rFonts w:ascii="Arial Narrow" w:hAnsi="Arial Narrow"/>
                <w:color w:val="000000"/>
                <w:sz w:val="20"/>
                <w:szCs w:val="20"/>
              </w:rPr>
            </w:pPr>
            <w:r>
              <w:rPr>
                <w:rFonts w:ascii="Arial Narrow" w:hAnsi="Arial Narrow"/>
                <w:color w:val="000000"/>
                <w:sz w:val="20"/>
                <w:szCs w:val="20"/>
              </w:rPr>
            </w:r>
            <w:r>
              <w:rPr>
                <w:rFonts w:ascii="Arial Narrow" w:hAnsi="Arial Narrow"/>
                <w:color w:val="000000"/>
                <w:sz w:val="20"/>
                <w:szCs w:val="20"/>
              </w:rPr>
            </w:r>
            <w:r>
              <w:rPr>
                <w:rFonts w:ascii="Arial Narrow" w:hAnsi="Arial Narrow"/>
                <w:color w:val="000000"/>
                <w:sz w:val="20"/>
                <w:szCs w:val="20"/>
              </w:rPr>
            </w:r>
          </w:p>
        </w:tc>
      </w:tr>
      <w:tr>
        <w:trPr>
          <w:trHeight w:val="23"/>
        </w:trPr>
        <w:tc>
          <w:tcPr>
            <w:shd w:val="clear" w:color="auto" w:fill="ffffff"/>
            <w:tcW w:w="4755" w:type="dxa"/>
            <w:vAlign w:val="center"/>
            <w:textDirection w:val="lrTb"/>
            <w:noWrap w:val="false"/>
          </w:tcPr>
          <w:p>
            <w:pPr>
              <w:pStyle w:val="1063"/>
              <w:jc w:val="both"/>
              <w:widowControl w:val="off"/>
              <w:rPr>
                <w:sz w:val="20"/>
                <w:szCs w:val="20"/>
              </w:rPr>
            </w:pPr>
            <w:r>
              <w:rPr>
                <w:rFonts w:ascii="Arial Narrow" w:hAnsi="Arial Narrow"/>
                <w:color w:val="000000"/>
                <w:sz w:val="20"/>
                <w:szCs w:val="20"/>
              </w:rPr>
              <w:t xml:space="preserve">1.4.2 остаток собственных средств на начало года</w:t>
            </w:r>
            <w:r>
              <w:rPr>
                <w:sz w:val="20"/>
                <w:szCs w:val="20"/>
              </w:rPr>
            </w:r>
            <w:r>
              <w:rPr>
                <w:sz w:val="20"/>
                <w:szCs w:val="20"/>
              </w:rPr>
            </w:r>
          </w:p>
        </w:tc>
        <w:tc>
          <w:tcPr>
            <w:shd w:val="clear" w:color="auto" w:fill="ffffff"/>
            <w:tcW w:w="1523" w:type="dxa"/>
            <w:vAlign w:val="center"/>
            <w:textDirection w:val="lrTb"/>
            <w:noWrap w:val="false"/>
          </w:tcPr>
          <w:p>
            <w:pPr>
              <w:pStyle w:val="1063"/>
              <w:jc w:val="center"/>
              <w:widowControl w:val="off"/>
              <w:rPr>
                <w:rFonts w:ascii="Arial Narrow" w:hAnsi="Arial Narrow"/>
                <w:color w:val="000000"/>
                <w:sz w:val="20"/>
                <w:szCs w:val="20"/>
              </w:rPr>
            </w:pPr>
            <w:r>
              <w:rPr>
                <w:rFonts w:ascii="Arial Narrow" w:hAnsi="Arial Narrow"/>
                <w:color w:val="000000"/>
                <w:sz w:val="20"/>
                <w:szCs w:val="20"/>
              </w:rPr>
            </w:r>
            <w:r>
              <w:rPr>
                <w:rFonts w:ascii="Arial Narrow" w:hAnsi="Arial Narrow"/>
                <w:color w:val="000000"/>
                <w:sz w:val="20"/>
                <w:szCs w:val="20"/>
              </w:rPr>
            </w:r>
            <w:r>
              <w:rPr>
                <w:rFonts w:ascii="Arial Narrow" w:hAnsi="Arial Narrow"/>
                <w:color w:val="000000"/>
                <w:sz w:val="20"/>
                <w:szCs w:val="20"/>
              </w:rPr>
            </w:r>
          </w:p>
        </w:tc>
        <w:tc>
          <w:tcPr>
            <w:shd w:val="clear" w:color="auto" w:fill="ffffff"/>
            <w:tcW w:w="1639" w:type="dxa"/>
            <w:vAlign w:val="center"/>
            <w:textDirection w:val="lrTb"/>
            <w:noWrap w:val="false"/>
          </w:tcPr>
          <w:p>
            <w:pPr>
              <w:pStyle w:val="1063"/>
              <w:jc w:val="center"/>
              <w:widowControl w:val="off"/>
              <w:rPr>
                <w:rFonts w:ascii="Arial Narrow" w:hAnsi="Arial Narrow"/>
                <w:color w:val="000000"/>
                <w:sz w:val="20"/>
                <w:szCs w:val="20"/>
              </w:rPr>
            </w:pPr>
            <w:r>
              <w:rPr>
                <w:rFonts w:ascii="Arial Narrow" w:hAnsi="Arial Narrow"/>
                <w:color w:val="000000"/>
                <w:sz w:val="20"/>
                <w:szCs w:val="20"/>
              </w:rPr>
            </w:r>
            <w:r>
              <w:rPr>
                <w:rFonts w:ascii="Arial Narrow" w:hAnsi="Arial Narrow"/>
                <w:color w:val="000000"/>
                <w:sz w:val="20"/>
                <w:szCs w:val="20"/>
              </w:rPr>
            </w:r>
            <w:r>
              <w:rPr>
                <w:rFonts w:ascii="Arial Narrow" w:hAnsi="Arial Narrow"/>
                <w:color w:val="000000"/>
                <w:sz w:val="20"/>
                <w:szCs w:val="20"/>
              </w:rPr>
            </w:r>
          </w:p>
        </w:tc>
        <w:tc>
          <w:tcPr>
            <w:shd w:val="clear" w:color="auto" w:fill="ffffff"/>
            <w:tcW w:w="1314" w:type="dxa"/>
            <w:vAlign w:val="center"/>
            <w:textDirection w:val="lrTb"/>
            <w:noWrap w:val="false"/>
          </w:tcPr>
          <w:p>
            <w:pPr>
              <w:pStyle w:val="1063"/>
              <w:jc w:val="center"/>
              <w:widowControl w:val="off"/>
              <w:rPr>
                <w:rFonts w:ascii="Arial Narrow" w:hAnsi="Arial Narrow"/>
                <w:color w:val="000000"/>
                <w:sz w:val="20"/>
                <w:szCs w:val="20"/>
              </w:rPr>
            </w:pPr>
            <w:r>
              <w:rPr>
                <w:rFonts w:ascii="Arial Narrow" w:hAnsi="Arial Narrow"/>
                <w:color w:val="000000"/>
                <w:sz w:val="20"/>
                <w:szCs w:val="20"/>
              </w:rPr>
            </w:r>
            <w:r>
              <w:rPr>
                <w:rFonts w:ascii="Arial Narrow" w:hAnsi="Arial Narrow"/>
                <w:color w:val="000000"/>
                <w:sz w:val="20"/>
                <w:szCs w:val="20"/>
              </w:rPr>
            </w:r>
            <w:r>
              <w:rPr>
                <w:rFonts w:ascii="Arial Narrow" w:hAnsi="Arial Narrow"/>
                <w:color w:val="000000"/>
                <w:sz w:val="20"/>
                <w:szCs w:val="20"/>
              </w:rPr>
            </w:r>
          </w:p>
        </w:tc>
        <w:tc>
          <w:tcPr>
            <w:shd w:val="clear" w:color="auto" w:fill="ffffff"/>
            <w:tcW w:w="824" w:type="dxa"/>
            <w:vAlign w:val="center"/>
            <w:textDirection w:val="lrTb"/>
            <w:noWrap w:val="false"/>
          </w:tcPr>
          <w:p>
            <w:pPr>
              <w:pStyle w:val="1063"/>
              <w:jc w:val="center"/>
              <w:widowControl w:val="off"/>
              <w:rPr>
                <w:rFonts w:ascii="Arial Narrow" w:hAnsi="Arial Narrow"/>
                <w:color w:val="000000"/>
                <w:sz w:val="20"/>
                <w:szCs w:val="20"/>
              </w:rPr>
            </w:pPr>
            <w:r>
              <w:rPr>
                <w:rFonts w:ascii="Arial Narrow" w:hAnsi="Arial Narrow"/>
                <w:color w:val="000000"/>
                <w:sz w:val="20"/>
                <w:szCs w:val="20"/>
              </w:rPr>
            </w:r>
            <w:r>
              <w:rPr>
                <w:rFonts w:ascii="Arial Narrow" w:hAnsi="Arial Narrow"/>
                <w:color w:val="000000"/>
                <w:sz w:val="20"/>
                <w:szCs w:val="20"/>
              </w:rPr>
            </w:r>
            <w:r>
              <w:rPr>
                <w:rFonts w:ascii="Arial Narrow" w:hAnsi="Arial Narrow"/>
                <w:color w:val="000000"/>
                <w:sz w:val="20"/>
                <w:szCs w:val="20"/>
              </w:rPr>
            </w:r>
          </w:p>
        </w:tc>
      </w:tr>
      <w:tr>
        <w:trPr>
          <w:trHeight w:val="23"/>
        </w:trPr>
        <w:tc>
          <w:tcPr>
            <w:shd w:val="clear" w:color="auto" w:fill="ffffff"/>
            <w:tcW w:w="4755" w:type="dxa"/>
            <w:vAlign w:val="center"/>
            <w:textDirection w:val="lrTb"/>
            <w:noWrap w:val="false"/>
          </w:tcPr>
          <w:p>
            <w:pPr>
              <w:pStyle w:val="1063"/>
              <w:jc w:val="both"/>
              <w:widowControl w:val="off"/>
              <w:rPr>
                <w:sz w:val="20"/>
                <w:szCs w:val="20"/>
              </w:rPr>
            </w:pPr>
            <w:r>
              <w:rPr>
                <w:rFonts w:ascii="Arial Narrow" w:hAnsi="Arial Narrow"/>
                <w:color w:val="000000"/>
                <w:sz w:val="20"/>
                <w:szCs w:val="20"/>
              </w:rPr>
              <w:t xml:space="preserve">1.4.3 другие прочие собственные средства</w:t>
            </w:r>
            <w:r>
              <w:rPr>
                <w:sz w:val="20"/>
                <w:szCs w:val="20"/>
              </w:rPr>
            </w:r>
            <w:r>
              <w:rPr>
                <w:sz w:val="20"/>
                <w:szCs w:val="20"/>
              </w:rPr>
            </w:r>
          </w:p>
        </w:tc>
        <w:tc>
          <w:tcPr>
            <w:shd w:val="clear" w:color="auto" w:fill="ffffff"/>
            <w:tcW w:w="1523"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201,173</w:t>
            </w:r>
            <w:r>
              <w:rPr>
                <w:sz w:val="20"/>
                <w:szCs w:val="20"/>
              </w:rPr>
            </w:r>
            <w:r>
              <w:rPr>
                <w:sz w:val="20"/>
                <w:szCs w:val="20"/>
              </w:rPr>
            </w:r>
          </w:p>
        </w:tc>
        <w:tc>
          <w:tcPr>
            <w:shd w:val="clear" w:color="auto" w:fill="ffffff"/>
            <w:tcW w:w="1639"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113,010</w:t>
            </w:r>
            <w:r>
              <w:rPr>
                <w:sz w:val="20"/>
                <w:szCs w:val="20"/>
              </w:rPr>
            </w:r>
            <w:r>
              <w:rPr>
                <w:sz w:val="20"/>
                <w:szCs w:val="20"/>
              </w:rPr>
            </w:r>
          </w:p>
        </w:tc>
        <w:tc>
          <w:tcPr>
            <w:shd w:val="clear" w:color="auto" w:fill="ffffff"/>
            <w:tcW w:w="131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- 88,163</w:t>
            </w:r>
            <w:r>
              <w:rPr>
                <w:sz w:val="20"/>
                <w:szCs w:val="20"/>
              </w:rPr>
            </w:r>
            <w:r>
              <w:rPr>
                <w:sz w:val="20"/>
                <w:szCs w:val="20"/>
              </w:rPr>
            </w:r>
          </w:p>
        </w:tc>
        <w:tc>
          <w:tcPr>
            <w:shd w:val="clear" w:color="auto" w:fill="ffffff"/>
            <w:tcW w:w="82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-44</w:t>
            </w:r>
            <w:r>
              <w:rPr>
                <w:sz w:val="20"/>
                <w:szCs w:val="20"/>
              </w:rPr>
            </w:r>
            <w:r>
              <w:rPr>
                <w:sz w:val="20"/>
                <w:szCs w:val="20"/>
              </w:rPr>
            </w:r>
          </w:p>
        </w:tc>
      </w:tr>
      <w:tr>
        <w:trPr>
          <w:trHeight w:val="23"/>
        </w:trPr>
        <w:tc>
          <w:tcPr>
            <w:shd w:val="clear" w:color="auto" w:fill="ffffff"/>
            <w:tcW w:w="4755" w:type="dxa"/>
            <w:vAlign w:val="center"/>
            <w:textDirection w:val="lrTb"/>
            <w:noWrap w:val="false"/>
          </w:tcPr>
          <w:p>
            <w:pPr>
              <w:pStyle w:val="1063"/>
              <w:jc w:val="both"/>
              <w:widowControl w:val="off"/>
              <w:rPr>
                <w:sz w:val="20"/>
                <w:szCs w:val="20"/>
              </w:rPr>
            </w:pPr>
            <w:r>
              <w:rPr>
                <w:rFonts w:ascii="Arial Narrow" w:hAnsi="Arial Narrow"/>
                <w:color w:val="000000"/>
                <w:sz w:val="20"/>
                <w:szCs w:val="20"/>
              </w:rPr>
              <w:t xml:space="preserve">II Привлеченные средства всего, в том числе:</w:t>
            </w:r>
            <w:r>
              <w:rPr>
                <w:sz w:val="20"/>
                <w:szCs w:val="20"/>
              </w:rPr>
            </w:r>
            <w:r>
              <w:rPr>
                <w:sz w:val="20"/>
                <w:szCs w:val="20"/>
              </w:rPr>
            </w:r>
          </w:p>
        </w:tc>
        <w:tc>
          <w:tcPr>
            <w:shd w:val="clear" w:color="auto" w:fill="ffffff"/>
            <w:tcW w:w="1523"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1639"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131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82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r>
      <w:tr>
        <w:trPr>
          <w:trHeight w:val="23"/>
        </w:trPr>
        <w:tc>
          <w:tcPr>
            <w:shd w:val="clear" w:color="auto" w:fill="ffffff"/>
            <w:tcW w:w="4755" w:type="dxa"/>
            <w:vAlign w:val="center"/>
            <w:textDirection w:val="lrTb"/>
            <w:noWrap w:val="false"/>
          </w:tcPr>
          <w:p>
            <w:pPr>
              <w:pStyle w:val="1063"/>
              <w:jc w:val="both"/>
              <w:widowControl w:val="off"/>
              <w:rPr>
                <w:sz w:val="20"/>
                <w:szCs w:val="20"/>
              </w:rPr>
            </w:pPr>
            <w:r>
              <w:rPr>
                <w:rFonts w:ascii="Arial Narrow" w:hAnsi="Arial Narrow"/>
                <w:color w:val="000000"/>
                <w:sz w:val="20"/>
                <w:szCs w:val="20"/>
              </w:rPr>
              <w:t xml:space="preserve">2.1 Кредиты</w:t>
            </w:r>
            <w:r>
              <w:rPr>
                <w:sz w:val="20"/>
                <w:szCs w:val="20"/>
              </w:rPr>
            </w:r>
            <w:r>
              <w:rPr>
                <w:sz w:val="20"/>
                <w:szCs w:val="20"/>
              </w:rPr>
            </w:r>
          </w:p>
        </w:tc>
        <w:tc>
          <w:tcPr>
            <w:shd w:val="clear" w:color="auto" w:fill="ffffff"/>
            <w:tcW w:w="1523"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1639"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131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82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r>
      <w:tr>
        <w:trPr>
          <w:trHeight w:val="23"/>
        </w:trPr>
        <w:tc>
          <w:tcPr>
            <w:shd w:val="clear" w:color="auto" w:fill="ffffff"/>
            <w:tcW w:w="4755" w:type="dxa"/>
            <w:vAlign w:val="center"/>
            <w:textDirection w:val="lrTb"/>
            <w:noWrap w:val="false"/>
          </w:tcPr>
          <w:p>
            <w:pPr>
              <w:pStyle w:val="1063"/>
              <w:jc w:val="both"/>
              <w:widowControl w:val="off"/>
              <w:rPr>
                <w:sz w:val="20"/>
                <w:szCs w:val="20"/>
              </w:rPr>
            </w:pPr>
            <w:r>
              <w:rPr>
                <w:rFonts w:ascii="Arial Narrow" w:hAnsi="Arial Narrow"/>
                <w:color w:val="000000"/>
                <w:sz w:val="20"/>
                <w:szCs w:val="20"/>
              </w:rPr>
              <w:t xml:space="preserve">2.2 Облигационные займы</w:t>
            </w:r>
            <w:r>
              <w:rPr>
                <w:sz w:val="20"/>
                <w:szCs w:val="20"/>
              </w:rPr>
            </w:r>
            <w:r>
              <w:rPr>
                <w:sz w:val="20"/>
                <w:szCs w:val="20"/>
              </w:rPr>
            </w:r>
          </w:p>
        </w:tc>
        <w:tc>
          <w:tcPr>
            <w:shd w:val="clear" w:color="auto" w:fill="ffffff"/>
            <w:tcW w:w="1523"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1639"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131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82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r>
      <w:tr>
        <w:trPr>
          <w:trHeight w:val="23"/>
        </w:trPr>
        <w:tc>
          <w:tcPr>
            <w:shd w:val="clear" w:color="auto" w:fill="ffffff"/>
            <w:tcW w:w="4755" w:type="dxa"/>
            <w:vAlign w:val="center"/>
            <w:textDirection w:val="lrTb"/>
            <w:noWrap w:val="false"/>
          </w:tcPr>
          <w:p>
            <w:pPr>
              <w:pStyle w:val="1063"/>
              <w:jc w:val="both"/>
              <w:widowControl w:val="off"/>
              <w:rPr>
                <w:sz w:val="20"/>
                <w:szCs w:val="20"/>
              </w:rPr>
            </w:pPr>
            <w:r>
              <w:rPr>
                <w:rFonts w:ascii="Arial Narrow" w:hAnsi="Arial Narrow"/>
                <w:color w:val="000000"/>
                <w:sz w:val="20"/>
                <w:szCs w:val="20"/>
              </w:rPr>
              <w:t xml:space="preserve">2.3 Вексели</w:t>
            </w:r>
            <w:r>
              <w:rPr>
                <w:sz w:val="20"/>
                <w:szCs w:val="20"/>
              </w:rPr>
            </w:r>
            <w:r>
              <w:rPr>
                <w:sz w:val="20"/>
                <w:szCs w:val="20"/>
              </w:rPr>
            </w:r>
          </w:p>
        </w:tc>
        <w:tc>
          <w:tcPr>
            <w:shd w:val="clear" w:color="auto" w:fill="ffffff"/>
            <w:tcW w:w="1523"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1639"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131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82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r>
      <w:tr>
        <w:trPr>
          <w:trHeight w:val="23"/>
        </w:trPr>
        <w:tc>
          <w:tcPr>
            <w:shd w:val="clear" w:color="auto" w:fill="ffffff"/>
            <w:tcW w:w="4755" w:type="dxa"/>
            <w:vAlign w:val="center"/>
            <w:textDirection w:val="lrTb"/>
            <w:noWrap w:val="false"/>
          </w:tcPr>
          <w:p>
            <w:pPr>
              <w:pStyle w:val="1063"/>
              <w:jc w:val="both"/>
              <w:widowControl w:val="off"/>
              <w:rPr>
                <w:sz w:val="20"/>
                <w:szCs w:val="20"/>
              </w:rPr>
            </w:pPr>
            <w:r>
              <w:rPr>
                <w:rFonts w:ascii="Arial Narrow" w:hAnsi="Arial Narrow"/>
                <w:color w:val="000000"/>
                <w:sz w:val="20"/>
                <w:szCs w:val="20"/>
              </w:rPr>
              <w:t xml:space="preserve">2.4 Займы организаций</w:t>
            </w:r>
            <w:r>
              <w:rPr>
                <w:sz w:val="20"/>
                <w:szCs w:val="20"/>
              </w:rPr>
            </w:r>
            <w:r>
              <w:rPr>
                <w:sz w:val="20"/>
                <w:szCs w:val="20"/>
              </w:rPr>
            </w:r>
          </w:p>
        </w:tc>
        <w:tc>
          <w:tcPr>
            <w:shd w:val="clear" w:color="auto" w:fill="ffffff"/>
            <w:tcW w:w="1523"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1639"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131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82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r>
      <w:tr>
        <w:trPr>
          <w:trHeight w:val="23"/>
        </w:trPr>
        <w:tc>
          <w:tcPr>
            <w:shd w:val="clear" w:color="auto" w:fill="ffffff"/>
            <w:tcW w:w="4755" w:type="dxa"/>
            <w:vAlign w:val="center"/>
            <w:textDirection w:val="lrTb"/>
            <w:noWrap w:val="false"/>
          </w:tcPr>
          <w:p>
            <w:pPr>
              <w:pStyle w:val="1063"/>
              <w:jc w:val="both"/>
              <w:widowControl w:val="off"/>
              <w:rPr>
                <w:sz w:val="20"/>
                <w:szCs w:val="20"/>
              </w:rPr>
            </w:pPr>
            <w:r>
              <w:rPr>
                <w:rFonts w:ascii="Arial Narrow" w:hAnsi="Arial Narrow"/>
                <w:color w:val="000000"/>
                <w:sz w:val="20"/>
                <w:szCs w:val="20"/>
              </w:rPr>
              <w:t xml:space="preserve">2.5 Бюджетное финансирование</w:t>
            </w:r>
            <w:r>
              <w:rPr>
                <w:sz w:val="20"/>
                <w:szCs w:val="20"/>
              </w:rPr>
            </w:r>
            <w:r>
              <w:rPr>
                <w:sz w:val="20"/>
                <w:szCs w:val="20"/>
              </w:rPr>
            </w:r>
          </w:p>
        </w:tc>
        <w:tc>
          <w:tcPr>
            <w:shd w:val="clear" w:color="auto" w:fill="ffffff"/>
            <w:tcW w:w="1523"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1639"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131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82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r>
      <w:tr>
        <w:trPr>
          <w:trHeight w:val="23"/>
        </w:trPr>
        <w:tc>
          <w:tcPr>
            <w:shd w:val="clear" w:color="auto" w:fill="ffffff"/>
            <w:tcW w:w="4755" w:type="dxa"/>
            <w:vAlign w:val="center"/>
            <w:textDirection w:val="lrTb"/>
            <w:noWrap w:val="false"/>
          </w:tcPr>
          <w:p>
            <w:pPr>
              <w:pStyle w:val="1063"/>
              <w:jc w:val="both"/>
              <w:widowControl w:val="off"/>
              <w:rPr>
                <w:sz w:val="20"/>
                <w:szCs w:val="20"/>
              </w:rPr>
            </w:pPr>
            <w:r>
              <w:rPr>
                <w:rFonts w:ascii="Arial Narrow" w:hAnsi="Arial Narrow"/>
                <w:color w:val="000000"/>
                <w:sz w:val="20"/>
                <w:szCs w:val="20"/>
              </w:rPr>
              <w:t xml:space="preserve">2.6 Использование лизинга</w:t>
            </w:r>
            <w:r>
              <w:rPr>
                <w:sz w:val="20"/>
                <w:szCs w:val="20"/>
              </w:rPr>
            </w:r>
            <w:r>
              <w:rPr>
                <w:sz w:val="20"/>
                <w:szCs w:val="20"/>
              </w:rPr>
            </w:r>
          </w:p>
        </w:tc>
        <w:tc>
          <w:tcPr>
            <w:shd w:val="clear" w:color="auto" w:fill="ffffff"/>
            <w:tcW w:w="1523"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1639"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131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82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r>
      <w:tr>
        <w:trPr>
          <w:trHeight w:val="23"/>
        </w:trPr>
        <w:tc>
          <w:tcPr>
            <w:shd w:val="clear" w:color="auto" w:fill="ffffff"/>
            <w:tcW w:w="4755" w:type="dxa"/>
            <w:vAlign w:val="center"/>
            <w:textDirection w:val="lrTb"/>
            <w:noWrap w:val="false"/>
          </w:tcPr>
          <w:p>
            <w:pPr>
              <w:pStyle w:val="1063"/>
              <w:jc w:val="both"/>
              <w:widowControl w:val="off"/>
              <w:rPr>
                <w:sz w:val="20"/>
                <w:szCs w:val="20"/>
              </w:rPr>
            </w:pPr>
            <w:r>
              <w:rPr>
                <w:rFonts w:ascii="Arial Narrow" w:hAnsi="Arial Narrow"/>
                <w:color w:val="000000"/>
                <w:sz w:val="20"/>
                <w:szCs w:val="20"/>
              </w:rPr>
              <w:t xml:space="preserve">2.7 Прочие привлеченные средства</w:t>
            </w:r>
            <w:r>
              <w:rPr>
                <w:sz w:val="20"/>
                <w:szCs w:val="20"/>
              </w:rPr>
            </w:r>
            <w:r>
              <w:rPr>
                <w:sz w:val="20"/>
                <w:szCs w:val="20"/>
              </w:rPr>
            </w:r>
          </w:p>
        </w:tc>
        <w:tc>
          <w:tcPr>
            <w:shd w:val="clear" w:color="auto" w:fill="ffffff"/>
            <w:tcW w:w="1523"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1639"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131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c>
          <w:tcPr>
            <w:shd w:val="clear" w:color="auto" w:fill="ffffff"/>
            <w:tcW w:w="824" w:type="dxa"/>
            <w:vAlign w:val="center"/>
            <w:textDirection w:val="lrTb"/>
            <w:noWrap w:val="false"/>
          </w:tcPr>
          <w:p>
            <w:pPr>
              <w:pStyle w:val="1063"/>
              <w:jc w:val="center"/>
              <w:widowControl w:val="off"/>
              <w:rPr>
                <w:sz w:val="20"/>
                <w:szCs w:val="20"/>
              </w:rPr>
            </w:pPr>
            <w:r>
              <w:rPr>
                <w:rFonts w:ascii="Arial Narrow" w:hAnsi="Arial Narrow"/>
                <w:color w:val="000000"/>
                <w:sz w:val="20"/>
                <w:szCs w:val="20"/>
              </w:rPr>
              <w:t xml:space="preserve">-</w:t>
            </w:r>
            <w:r>
              <w:rPr>
                <w:sz w:val="20"/>
                <w:szCs w:val="20"/>
              </w:rPr>
            </w:r>
            <w:r>
              <w:rPr>
                <w:sz w:val="20"/>
                <w:szCs w:val="20"/>
              </w:rPr>
            </w:r>
          </w:p>
        </w:tc>
      </w:tr>
    </w:tbl>
    <w:p>
      <w:pPr>
        <w:pStyle w:val="1063"/>
        <w:jc w:val="both"/>
        <w:rPr>
          <w:rFonts w:ascii="Arial Narrow" w:hAnsi="Arial Narrow" w:cs="Calibri"/>
          <w:color w:val="314e87"/>
          <w:sz w:val="12"/>
          <w:szCs w:val="12"/>
        </w:rPr>
      </w:pPr>
      <w:r>
        <w:rPr>
          <w:rFonts w:ascii="Arial Narrow" w:hAnsi="Arial Narrow" w:cs="Calibri"/>
          <w:color w:val="314e87"/>
          <w:sz w:val="12"/>
          <w:szCs w:val="12"/>
        </w:rPr>
      </w:r>
      <w:r>
        <w:rPr>
          <w:rFonts w:ascii="Arial Narrow" w:hAnsi="Arial Narrow" w:cs="Calibri"/>
          <w:color w:val="314e87"/>
          <w:sz w:val="12"/>
          <w:szCs w:val="12"/>
        </w:rPr>
      </w:r>
      <w:r>
        <w:rPr>
          <w:rFonts w:ascii="Arial Narrow" w:hAnsi="Arial Narrow" w:cs="Calibri"/>
          <w:color w:val="314e87"/>
          <w:sz w:val="12"/>
          <w:szCs w:val="12"/>
        </w:rPr>
      </w:r>
    </w:p>
    <w:p>
      <w:pPr>
        <w:pStyle w:val="1063"/>
        <w:jc w:val="both"/>
        <w:rPr>
          <w:rFonts w:ascii="Arial Narrow" w:hAnsi="Arial Narrow" w:eastAsia="Calibri" w:cs="Calibri"/>
          <w:b/>
          <w:color w:val="314e87"/>
          <w:lang w:eastAsia="ja-JP"/>
        </w:rPr>
      </w:pPr>
      <w:r>
        <w:rPr>
          <w:rFonts w:ascii="Arial Narrow" w:hAnsi="Arial Narrow" w:eastAsia="Calibri" w:cs="Calibri"/>
          <w:b/>
          <w:color w:val="314e87"/>
          <w:lang w:eastAsia="ja-JP"/>
        </w:rPr>
        <w:t xml:space="preserve">Отклонения по финансированию в отчетном году в разрезе проектов (групп проектов)</w:t>
      </w:r>
      <w:r>
        <w:rPr>
          <w:rFonts w:ascii="Arial Narrow" w:hAnsi="Arial Narrow" w:eastAsia="Calibri" w:cs="Calibri"/>
          <w:b/>
          <w:color w:val="314e87"/>
          <w:lang w:eastAsia="ja-JP"/>
        </w:rPr>
      </w:r>
      <w:r>
        <w:rPr>
          <w:rFonts w:ascii="Arial Narrow" w:hAnsi="Arial Narrow" w:eastAsia="Calibri" w:cs="Calibri"/>
          <w:b/>
          <w:color w:val="314e87"/>
          <w:lang w:eastAsia="ja-JP"/>
        </w:rPr>
      </w:r>
    </w:p>
    <w:p>
      <w:pPr>
        <w:pStyle w:val="1063"/>
        <w:jc w:val="both"/>
        <w:rPr>
          <w:sz w:val="12"/>
          <w:szCs w:val="12"/>
        </w:rPr>
      </w:pPr>
      <w:r>
        <w:rPr>
          <w:sz w:val="12"/>
          <w:szCs w:val="12"/>
        </w:rPr>
      </w:r>
      <w:r>
        <w:rPr>
          <w:sz w:val="12"/>
          <w:szCs w:val="12"/>
        </w:rPr>
      </w:r>
      <w:r>
        <w:rPr>
          <w:sz w:val="12"/>
          <w:szCs w:val="12"/>
        </w:rPr>
      </w:r>
    </w:p>
    <w:p>
      <w:pPr>
        <w:jc w:val="right"/>
        <w:rPr>
          <w:rFonts w:eastAsia="Times New Roman" w:cs="Times New Roman"/>
          <w:sz w:val="24"/>
          <w:szCs w:val="24"/>
          <w:lang w:val="en-US" w:eastAsia="zh-CN"/>
        </w:rPr>
      </w:pPr>
      <w:r>
        <w:rPr>
          <w:rFonts w:ascii="Arial Narrow" w:hAnsi="Arial Narrow" w:eastAsia="Calibri" w:cs="Calibri"/>
          <w:i/>
          <w:sz w:val="24"/>
          <w:szCs w:val="24"/>
          <w:lang w:eastAsia="ja-JP"/>
        </w:rPr>
        <w:t xml:space="preserve">Таблица № 26</w:t>
      </w:r>
      <w:r>
        <w:rPr>
          <w:rFonts w:eastAsia="Times New Roman" w:cs="Times New Roman"/>
          <w:sz w:val="24"/>
          <w:szCs w:val="24"/>
          <w:lang w:val="en-US" w:eastAsia="zh-CN"/>
        </w:rPr>
      </w:r>
      <w:r>
        <w:rPr>
          <w:rFonts w:eastAsia="Times New Roman" w:cs="Times New Roman"/>
          <w:sz w:val="24"/>
          <w:szCs w:val="24"/>
          <w:lang w:val="en-US" w:eastAsia="zh-CN"/>
        </w:rPr>
      </w:r>
    </w:p>
    <w:tbl>
      <w:tblPr>
        <w:tblW w:w="4951"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054"/>
        <w:gridCol w:w="1278"/>
        <w:gridCol w:w="1227"/>
        <w:gridCol w:w="1229"/>
        <w:gridCol w:w="1122"/>
        <w:gridCol w:w="2268"/>
      </w:tblGrid>
      <w:tr>
        <w:trPr>
          <w:trHeight w:val="330"/>
        </w:trPr>
        <w:tc>
          <w:tcPr>
            <w:shd w:val="clear" w:color="auto" w:fill="ffffff"/>
            <w:tcW w:w="3054"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bCs/>
                <w:color w:val="000000"/>
                <w:lang w:eastAsia="zh-CN"/>
              </w:rPr>
              <w:t xml:space="preserve">Наименование проекта</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78"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bCs/>
                <w:color w:val="000000"/>
                <w:lang w:eastAsia="zh-CN"/>
              </w:rPr>
              <w:t xml:space="preserve">ID</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7"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bCs/>
                <w:color w:val="000000"/>
                <w:lang w:eastAsia="zh-CN"/>
              </w:rPr>
              <w:t xml:space="preserve">План</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9"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bCs/>
                <w:color w:val="000000"/>
                <w:lang w:eastAsia="zh-CN"/>
              </w:rPr>
              <w:t xml:space="preserve">Факт</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122"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bCs/>
                <w:color w:val="000000"/>
                <w:lang w:eastAsia="zh-CN"/>
              </w:rPr>
              <w:t xml:space="preserve">∆</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2268"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bCs/>
                <w:color w:val="000000"/>
                <w:lang w:eastAsia="zh-CN"/>
              </w:rPr>
              <w:t xml:space="preserve">Причины отклонений</w:t>
            </w:r>
            <w:r>
              <w:rPr>
                <w:rFonts w:ascii="Arial Narrow" w:hAnsi="Arial Narrow" w:eastAsia="Times New Roman" w:cs="Times New Roman"/>
                <w:lang w:eastAsia="zh-CN"/>
              </w:rPr>
            </w:r>
            <w:r>
              <w:rPr>
                <w:rFonts w:ascii="Arial Narrow" w:hAnsi="Arial Narrow" w:eastAsia="Times New Roman" w:cs="Times New Roman"/>
                <w:lang w:eastAsia="zh-CN"/>
              </w:rPr>
            </w:r>
          </w:p>
        </w:tc>
      </w:tr>
      <w:tr>
        <w:trPr>
          <w:trHeight w:val="330"/>
        </w:trPr>
        <w:tc>
          <w:tcPr>
            <w:shd w:val="clear" w:color="auto" w:fill="ffffff"/>
            <w:tcW w:w="3054"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bCs/>
                <w:color w:val="000000"/>
                <w:lang w:eastAsia="zh-CN"/>
              </w:rPr>
              <w:t xml:space="preserve">Всего по ПАО «Камчатскэнерго»</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78"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bCs/>
                <w:color w:val="000000"/>
                <w:lang w:eastAsia="zh-CN"/>
              </w:rPr>
              <w:t xml:space="preserve">453 проектов</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7"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bCs/>
                <w:color w:val="000000"/>
                <w:lang w:eastAsia="zh-CN"/>
              </w:rPr>
              <w:t xml:space="preserve">7 506,629  </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9"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bCs/>
                <w:color w:val="000000"/>
                <w:lang w:eastAsia="zh-CN"/>
              </w:rPr>
              <w:t xml:space="preserve">5 438,75</w:t>
            </w:r>
            <w:r>
              <w:rPr>
                <w:rFonts w:ascii="Arial Narrow" w:hAnsi="Arial Narrow" w:eastAsia="Times New Roman" w:cs="Times New Roman"/>
                <w:bCs/>
                <w:color w:val="000000"/>
                <w:lang w:val="en-US" w:eastAsia="zh-CN"/>
              </w:rPr>
              <w:t xml:space="preserve">3</w:t>
            </w:r>
            <w:r>
              <w:rPr>
                <w:rFonts w:ascii="Arial Narrow" w:hAnsi="Arial Narrow" w:eastAsia="Times New Roman" w:cs="Times New Roman"/>
                <w:bCs/>
                <w:color w:val="000000"/>
                <w:lang w:eastAsia="zh-CN"/>
              </w:rPr>
              <w:t xml:space="preserve"> </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122"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bCs/>
                <w:color w:val="000000"/>
                <w:lang w:eastAsia="zh-CN"/>
              </w:rPr>
              <w:t xml:space="preserve">- 2 067,87</w:t>
            </w:r>
            <w:r>
              <w:rPr>
                <w:rFonts w:ascii="Arial Narrow" w:hAnsi="Arial Narrow" w:eastAsia="Times New Roman" w:cs="Times New Roman"/>
                <w:bCs/>
                <w:color w:val="000000"/>
                <w:lang w:val="en-US" w:eastAsia="zh-CN"/>
              </w:rPr>
              <w:t xml:space="preserve">6</w:t>
            </w:r>
            <w:r>
              <w:rPr>
                <w:rFonts w:ascii="Arial Narrow" w:hAnsi="Arial Narrow" w:eastAsia="Times New Roman" w:cs="Times New Roman"/>
                <w:bCs/>
                <w:color w:val="000000"/>
                <w:lang w:eastAsia="zh-CN"/>
              </w:rPr>
              <w:t xml:space="preserve"> </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2268"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bCs/>
                <w:color w:val="000000"/>
                <w:lang w:eastAsia="zh-CN"/>
              </w:rPr>
              <w:t xml:space="preserve"> </w:t>
            </w:r>
            <w:r>
              <w:rPr>
                <w:rFonts w:ascii="Arial Narrow" w:hAnsi="Arial Narrow" w:eastAsia="Times New Roman" w:cs="Times New Roman"/>
                <w:lang w:eastAsia="zh-CN"/>
              </w:rPr>
            </w:r>
            <w:r>
              <w:rPr>
                <w:rFonts w:ascii="Arial Narrow" w:hAnsi="Arial Narrow" w:eastAsia="Times New Roman" w:cs="Times New Roman"/>
                <w:lang w:eastAsia="zh-CN"/>
              </w:rPr>
            </w:r>
          </w:p>
        </w:tc>
      </w:tr>
      <w:tr>
        <w:trPr>
          <w:trHeight w:val="52"/>
        </w:trPr>
        <w:tc>
          <w:tcPr>
            <w:shd w:val="clear" w:color="auto" w:fill="ffffff"/>
            <w:tcW w:w="3054"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bCs/>
                <w:color w:val="000000"/>
                <w:lang w:eastAsia="zh-CN"/>
              </w:rPr>
              <w:t xml:space="preserve">1.    Техническое перевооружение, </w:t>
            </w:r>
            <w:r>
              <w:rPr>
                <w:rFonts w:ascii="Arial Narrow" w:hAnsi="Arial Narrow" w:eastAsia="Times New Roman" w:cs="Times New Roman"/>
                <w:bCs/>
                <w:color w:val="000000"/>
                <w:lang w:eastAsia="zh-CN"/>
              </w:rPr>
              <w:br/>
              <w:t xml:space="preserve">в т.ч. наиболее крупные:</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78"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bCs/>
                <w:color w:val="000000"/>
                <w:lang w:eastAsia="zh-CN"/>
              </w:rPr>
              <w:t xml:space="preserve">375 проектов</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7" w:type="dxa"/>
            <w:vAlign w:val="center"/>
            <w:textDirection w:val="lrTb"/>
            <w:noWrap w:val="false"/>
          </w:tcPr>
          <w:p>
            <w:pPr>
              <w:jc w:val="center"/>
              <w:widowControl w:val="off"/>
              <w:rPr>
                <w:rFonts w:eastAsia="Times New Roman" w:cs="Times New Roman"/>
                <w:lang w:eastAsia="zh-CN"/>
              </w:rPr>
            </w:pPr>
            <w:r>
              <w:rPr>
                <w:rFonts w:ascii="Arial Narrow" w:hAnsi="Arial Narrow" w:eastAsia="Times New Roman" w:cs="Times New Roman"/>
                <w:bCs/>
                <w:color w:val="000000"/>
                <w:lang w:eastAsia="zh-CN"/>
              </w:rPr>
              <w:t xml:space="preserve">1 644,787</w:t>
            </w:r>
            <w:r>
              <w:rPr>
                <w:rFonts w:eastAsia="Times New Roman" w:cs="Times New Roman"/>
                <w:lang w:eastAsia="zh-CN"/>
              </w:rPr>
            </w:r>
            <w:r>
              <w:rPr>
                <w:rFonts w:eastAsia="Times New Roman" w:cs="Times New Roman"/>
                <w:lang w:eastAsia="zh-CN"/>
              </w:rPr>
            </w:r>
          </w:p>
        </w:tc>
        <w:tc>
          <w:tcPr>
            <w:shd w:val="clear" w:color="auto" w:fill="ffffff"/>
            <w:tcW w:w="1229" w:type="dxa"/>
            <w:vAlign w:val="center"/>
            <w:textDirection w:val="lrTb"/>
            <w:noWrap w:val="false"/>
          </w:tcPr>
          <w:p>
            <w:pPr>
              <w:jc w:val="center"/>
              <w:widowControl w:val="off"/>
              <w:rPr>
                <w:rFonts w:eastAsia="Times New Roman" w:cs="Times New Roman"/>
                <w:lang w:eastAsia="zh-CN"/>
              </w:rPr>
            </w:pPr>
            <w:r>
              <w:rPr>
                <w:rFonts w:ascii="Arial Narrow" w:hAnsi="Arial Narrow" w:eastAsia="Times New Roman" w:cs="Times New Roman"/>
                <w:bCs/>
                <w:color w:val="000000"/>
                <w:lang w:eastAsia="zh-CN"/>
              </w:rPr>
              <w:t xml:space="preserve">1 519,230</w:t>
            </w:r>
            <w:r>
              <w:rPr>
                <w:rFonts w:eastAsia="Times New Roman" w:cs="Times New Roman"/>
                <w:lang w:eastAsia="zh-CN"/>
              </w:rPr>
            </w:r>
            <w:r>
              <w:rPr>
                <w:rFonts w:eastAsia="Times New Roman" w:cs="Times New Roman"/>
                <w:lang w:eastAsia="zh-CN"/>
              </w:rPr>
            </w:r>
          </w:p>
        </w:tc>
        <w:tc>
          <w:tcPr>
            <w:shd w:val="clear" w:color="auto" w:fill="ffffff"/>
            <w:tcW w:w="1122" w:type="dxa"/>
            <w:vAlign w:val="center"/>
            <w:textDirection w:val="lrTb"/>
            <w:noWrap w:val="false"/>
          </w:tcPr>
          <w:p>
            <w:pPr>
              <w:jc w:val="center"/>
              <w:widowControl w:val="off"/>
              <w:rPr>
                <w:rFonts w:eastAsia="Times New Roman" w:cs="Times New Roman"/>
                <w:lang w:eastAsia="zh-CN"/>
              </w:rPr>
            </w:pPr>
            <w:r>
              <w:rPr>
                <w:rFonts w:ascii="Arial Narrow" w:hAnsi="Arial Narrow" w:eastAsia="Times New Roman" w:cs="Times New Roman"/>
                <w:bCs/>
                <w:color w:val="000000"/>
                <w:lang w:eastAsia="zh-CN"/>
              </w:rPr>
              <w:t xml:space="preserve">- 125,557</w:t>
            </w:r>
            <w:r>
              <w:rPr>
                <w:rFonts w:eastAsia="Times New Roman" w:cs="Times New Roman"/>
                <w:lang w:eastAsia="zh-CN"/>
              </w:rPr>
            </w:r>
            <w:r>
              <w:rPr>
                <w:rFonts w:eastAsia="Times New Roman" w:cs="Times New Roman"/>
                <w:lang w:eastAsia="zh-CN"/>
              </w:rPr>
            </w:r>
          </w:p>
        </w:tc>
        <w:tc>
          <w:tcPr>
            <w:shd w:val="clear" w:color="auto" w:fill="ffffff"/>
            <w:tcW w:w="2268" w:type="dxa"/>
            <w:vAlign w:val="center"/>
            <w:textDirection w:val="lrTb"/>
            <w:noWrap w:val="false"/>
          </w:tcPr>
          <w:p>
            <w:pPr>
              <w:widowControl w:val="off"/>
              <w:rPr>
                <w:rFonts w:ascii="Arial Narrow" w:hAnsi="Arial Narrow" w:eastAsia="Times New Roman" w:cs="Times New Roman"/>
                <w:lang w:eastAsia="zh-CN"/>
              </w:rPr>
            </w:pPr>
            <w:r>
              <w:rPr>
                <w:rFonts w:ascii="Arial Narrow" w:hAnsi="Arial Narrow" w:eastAsia="Times New Roman" w:cs="Times New Roman"/>
                <w:bCs/>
                <w:color w:val="000000"/>
                <w:lang w:eastAsia="zh-CN"/>
              </w:rPr>
              <w:t xml:space="preserve"> </w:t>
            </w:r>
            <w:r>
              <w:rPr>
                <w:rFonts w:ascii="Arial Narrow" w:hAnsi="Arial Narrow" w:eastAsia="Times New Roman" w:cs="Times New Roman"/>
                <w:lang w:eastAsia="zh-CN"/>
              </w:rPr>
            </w:r>
            <w:r>
              <w:rPr>
                <w:rFonts w:ascii="Arial Narrow" w:hAnsi="Arial Narrow" w:eastAsia="Times New Roman" w:cs="Times New Roman"/>
                <w:lang w:eastAsia="zh-CN"/>
              </w:rPr>
            </w:r>
          </w:p>
        </w:tc>
      </w:tr>
      <w:tr>
        <w:trPr>
          <w:trHeight w:val="330"/>
        </w:trPr>
        <w:tc>
          <w:tcPr>
            <w:shd w:val="clear" w:color="auto" w:fill="ffffff"/>
            <w:tcW w:w="3054"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Реконструкция автоналивной эстакады ТЭЦ-2 на 3 поста налива</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78"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M_ТЭЦ_509-2985</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7"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55,725</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9"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8,487</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122"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- 47,238</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2268"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Неисполнение обязательств по Договору СМР. Договор расторгнут.</w:t>
            </w:r>
            <w:r>
              <w:rPr>
                <w:rFonts w:ascii="Arial Narrow" w:hAnsi="Arial Narrow" w:eastAsia="Times New Roman" w:cs="Times New Roman"/>
                <w:lang w:eastAsia="zh-CN"/>
              </w:rPr>
            </w:r>
            <w:r>
              <w:rPr>
                <w:rFonts w:ascii="Arial Narrow" w:hAnsi="Arial Narrow" w:eastAsia="Times New Roman" w:cs="Times New Roman"/>
                <w:lang w:eastAsia="zh-CN"/>
              </w:rPr>
            </w:r>
          </w:p>
        </w:tc>
      </w:tr>
      <w:tr>
        <w:trPr>
          <w:trHeight w:val="330"/>
        </w:trPr>
        <w:tc>
          <w:tcPr>
            <w:shd w:val="clear" w:color="auto" w:fill="ffffff"/>
            <w:tcW w:w="3054"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Установка системы видеонаблюдения, охранного освещения и площадок досмотра автотранспорта ТЭЦ-1 и ТЭЦ-2</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78"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K_509-1950</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7"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40,490</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9"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0,742</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122"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- 39,748</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2268"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Длительное согласование</w:t>
            </w:r>
            <w:r>
              <w:rPr>
                <w:rFonts w:ascii="Arial Narrow" w:hAnsi="Arial Narrow" w:eastAsia="Times New Roman" w:cs="Times New Roman"/>
                <w:lang w:eastAsia="zh-CN"/>
              </w:rPr>
            </w:r>
            <w:r>
              <w:rPr>
                <w:rFonts w:ascii="Arial Narrow" w:hAnsi="Arial Narrow" w:eastAsia="Times New Roman" w:cs="Times New Roman"/>
                <w:lang w:eastAsia="zh-CN"/>
              </w:rPr>
            </w:r>
          </w:p>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внеплановой закупки после</w:t>
            </w:r>
            <w:r>
              <w:rPr>
                <w:rFonts w:ascii="Arial Narrow" w:hAnsi="Arial Narrow" w:eastAsia="Times New Roman" w:cs="Times New Roman"/>
                <w:lang w:eastAsia="zh-CN"/>
              </w:rPr>
            </w:r>
            <w:r>
              <w:rPr>
                <w:rFonts w:ascii="Arial Narrow" w:hAnsi="Arial Narrow" w:eastAsia="Times New Roman" w:cs="Times New Roman"/>
                <w:lang w:eastAsia="zh-CN"/>
              </w:rPr>
            </w:r>
          </w:p>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перепроектирования. Торги объявлены в декабре 2024 года.</w:t>
            </w:r>
            <w:r>
              <w:rPr>
                <w:rFonts w:ascii="Arial Narrow" w:hAnsi="Arial Narrow" w:eastAsia="Times New Roman" w:cs="Times New Roman"/>
                <w:lang w:eastAsia="zh-CN"/>
              </w:rPr>
            </w:r>
            <w:r>
              <w:rPr>
                <w:rFonts w:ascii="Arial Narrow" w:hAnsi="Arial Narrow" w:eastAsia="Times New Roman" w:cs="Times New Roman"/>
                <w:lang w:eastAsia="zh-CN"/>
              </w:rPr>
            </w:r>
          </w:p>
        </w:tc>
      </w:tr>
      <w:tr>
        <w:trPr>
          <w:trHeight w:val="330"/>
        </w:trPr>
        <w:tc>
          <w:tcPr>
            <w:shd w:val="clear" w:color="auto" w:fill="ffffff"/>
            <w:tcW w:w="3054"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Поддержание располагаемой мощности МГеоЭС. Строительство трассы ПВС от скважины Гео-10, длиной 1,28 км</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78"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J_T-7033-192</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7"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62,408</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9" w:type="dxa"/>
            <w:vAlign w:val="center"/>
            <w:textDirection w:val="lrTb"/>
            <w:noWrap w:val="false"/>
          </w:tcPr>
          <w:p>
            <w:pPr>
              <w:jc w:val="center"/>
              <w:widowControl w:val="off"/>
              <w:rPr>
                <w:rFonts w:ascii="Arial Narrow" w:hAnsi="Arial Narrow" w:eastAsia="Times New Roman" w:cs="Times New Roman"/>
                <w:color w:val="000000"/>
                <w:lang w:eastAsia="zh-CN"/>
              </w:rPr>
            </w:pPr>
            <w:r>
              <w:rPr>
                <w:rFonts w:ascii="Arial Narrow" w:hAnsi="Arial Narrow" w:eastAsia="Times New Roman" w:cs="Times New Roman"/>
                <w:color w:val="000000"/>
                <w:lang w:eastAsia="zh-CN"/>
              </w:rPr>
            </w:r>
            <w:r>
              <w:rPr>
                <w:rFonts w:ascii="Arial Narrow" w:hAnsi="Arial Narrow" w:eastAsia="Times New Roman" w:cs="Times New Roman"/>
                <w:color w:val="000000"/>
                <w:lang w:eastAsia="zh-CN"/>
              </w:rPr>
            </w:r>
            <w:r>
              <w:rPr>
                <w:rFonts w:ascii="Arial Narrow" w:hAnsi="Arial Narrow" w:eastAsia="Times New Roman" w:cs="Times New Roman"/>
                <w:color w:val="000000"/>
                <w:lang w:eastAsia="zh-CN"/>
              </w:rPr>
            </w:r>
          </w:p>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33,946</w:t>
            </w:r>
            <w:r>
              <w:rPr>
                <w:rFonts w:ascii="Arial Narrow" w:hAnsi="Arial Narrow" w:eastAsia="Times New Roman" w:cs="Times New Roman"/>
                <w:lang w:eastAsia="zh-CN"/>
              </w:rPr>
            </w:r>
            <w:r>
              <w:rPr>
                <w:rFonts w:ascii="Arial Narrow" w:hAnsi="Arial Narrow" w:eastAsia="Times New Roman" w:cs="Times New Roman"/>
                <w:lang w:eastAsia="zh-CN"/>
              </w:rPr>
            </w:r>
          </w:p>
          <w:p>
            <w:pPr>
              <w:jc w:val="center"/>
              <w:widowControl w:val="off"/>
              <w:rPr>
                <w:rFonts w:ascii="Arial Narrow" w:hAnsi="Arial Narrow" w:eastAsia="Times New Roman" w:cs="Times New Roman"/>
                <w:color w:val="000000"/>
                <w:lang w:eastAsia="zh-CN"/>
              </w:rPr>
            </w:pPr>
            <w:r>
              <w:rPr>
                <w:rFonts w:ascii="Arial Narrow" w:hAnsi="Arial Narrow" w:eastAsia="Times New Roman" w:cs="Times New Roman"/>
                <w:color w:val="000000"/>
                <w:lang w:eastAsia="zh-CN"/>
              </w:rPr>
            </w:r>
            <w:r>
              <w:rPr>
                <w:rFonts w:ascii="Arial Narrow" w:hAnsi="Arial Narrow" w:eastAsia="Times New Roman" w:cs="Times New Roman"/>
                <w:color w:val="000000"/>
                <w:lang w:eastAsia="zh-CN"/>
              </w:rPr>
            </w:r>
            <w:r>
              <w:rPr>
                <w:rFonts w:ascii="Arial Narrow" w:hAnsi="Arial Narrow" w:eastAsia="Times New Roman" w:cs="Times New Roman"/>
                <w:color w:val="000000"/>
                <w:lang w:eastAsia="zh-CN"/>
              </w:rPr>
            </w:r>
          </w:p>
        </w:tc>
        <w:tc>
          <w:tcPr>
            <w:shd w:val="clear" w:color="auto" w:fill="ffffff"/>
            <w:tcW w:w="1122"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- 28,462</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2268"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Работы выполнены в соответствии</w:t>
            </w:r>
            <w:r>
              <w:rPr>
                <w:rFonts w:ascii="Arial Narrow" w:hAnsi="Arial Narrow" w:eastAsia="Times New Roman" w:cs="Times New Roman"/>
                <w:lang w:eastAsia="zh-CN"/>
              </w:rPr>
            </w:r>
            <w:r>
              <w:rPr>
                <w:rFonts w:ascii="Arial Narrow" w:hAnsi="Arial Narrow" w:eastAsia="Times New Roman" w:cs="Times New Roman"/>
                <w:lang w:eastAsia="zh-CN"/>
              </w:rPr>
            </w:r>
          </w:p>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с условиями договора.</w:t>
            </w:r>
            <w:r>
              <w:rPr>
                <w:rFonts w:ascii="Arial Narrow" w:hAnsi="Arial Narrow" w:eastAsia="Times New Roman" w:cs="Times New Roman"/>
                <w:lang w:eastAsia="zh-CN"/>
              </w:rPr>
            </w:r>
            <w:r>
              <w:rPr>
                <w:rFonts w:ascii="Arial Narrow" w:hAnsi="Arial Narrow" w:eastAsia="Times New Roman" w:cs="Times New Roman"/>
                <w:lang w:eastAsia="zh-CN"/>
              </w:rPr>
            </w:r>
          </w:p>
        </w:tc>
      </w:tr>
      <w:tr>
        <w:trPr>
          <w:trHeight w:val="330"/>
        </w:trPr>
        <w:tc>
          <w:tcPr>
            <w:shd w:val="clear" w:color="auto" w:fill="ffffff"/>
            <w:tcW w:w="3054"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Поддержание располагаемой мощности МГеоЭС. Бурение скважины Гео-10.</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78"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J_T-7033-191</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7"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211,964</w:t>
            </w:r>
            <w:r>
              <w:rPr>
                <w:rFonts w:ascii="Arial Narrow" w:hAnsi="Arial Narrow" w:eastAsia="Times New Roman" w:cs="Times New Roman"/>
                <w:lang w:eastAsia="zh-CN"/>
              </w:rPr>
            </w:r>
            <w:r>
              <w:rPr>
                <w:rFonts w:ascii="Arial Narrow" w:hAnsi="Arial Narrow" w:eastAsia="Times New Roman" w:cs="Times New Roman"/>
                <w:lang w:eastAsia="zh-CN"/>
              </w:rPr>
            </w:r>
          </w:p>
          <w:p>
            <w:pPr>
              <w:jc w:val="center"/>
              <w:widowControl w:val="off"/>
              <w:rPr>
                <w:rFonts w:ascii="Arial Narrow" w:hAnsi="Arial Narrow" w:eastAsia="Times New Roman" w:cs="Times New Roman"/>
                <w:color w:val="000000"/>
                <w:lang w:eastAsia="zh-CN"/>
              </w:rPr>
            </w:pPr>
            <w:r>
              <w:rPr>
                <w:rFonts w:ascii="Arial Narrow" w:hAnsi="Arial Narrow" w:eastAsia="Times New Roman" w:cs="Times New Roman"/>
                <w:color w:val="000000"/>
                <w:lang w:eastAsia="zh-CN"/>
              </w:rPr>
            </w:r>
            <w:r>
              <w:rPr>
                <w:rFonts w:ascii="Arial Narrow" w:hAnsi="Arial Narrow" w:eastAsia="Times New Roman" w:cs="Times New Roman"/>
                <w:color w:val="000000"/>
                <w:lang w:eastAsia="zh-CN"/>
              </w:rPr>
            </w:r>
            <w:r>
              <w:rPr>
                <w:rFonts w:ascii="Arial Narrow" w:hAnsi="Arial Narrow" w:eastAsia="Times New Roman" w:cs="Times New Roman"/>
                <w:color w:val="000000"/>
                <w:lang w:eastAsia="zh-CN"/>
              </w:rPr>
            </w:r>
          </w:p>
        </w:tc>
        <w:tc>
          <w:tcPr>
            <w:shd w:val="clear" w:color="auto" w:fill="ffffff"/>
            <w:tcW w:w="1229"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184,072</w:t>
            </w:r>
            <w:r>
              <w:rPr>
                <w:rFonts w:ascii="Arial Narrow" w:hAnsi="Arial Narrow" w:eastAsia="Times New Roman" w:cs="Times New Roman"/>
                <w:lang w:eastAsia="zh-CN"/>
              </w:rPr>
            </w:r>
            <w:r>
              <w:rPr>
                <w:rFonts w:ascii="Arial Narrow" w:hAnsi="Arial Narrow" w:eastAsia="Times New Roman" w:cs="Times New Roman"/>
                <w:lang w:eastAsia="zh-CN"/>
              </w:rPr>
            </w:r>
          </w:p>
          <w:p>
            <w:pPr>
              <w:jc w:val="center"/>
              <w:widowControl w:val="off"/>
              <w:rPr>
                <w:rFonts w:ascii="Arial Narrow" w:hAnsi="Arial Narrow" w:eastAsia="Times New Roman" w:cs="Times New Roman"/>
                <w:color w:val="000000"/>
                <w:lang w:eastAsia="zh-CN"/>
              </w:rPr>
            </w:pPr>
            <w:r>
              <w:rPr>
                <w:rFonts w:ascii="Arial Narrow" w:hAnsi="Arial Narrow" w:eastAsia="Times New Roman" w:cs="Times New Roman"/>
                <w:color w:val="000000"/>
                <w:lang w:eastAsia="zh-CN"/>
              </w:rPr>
            </w:r>
            <w:r>
              <w:rPr>
                <w:rFonts w:ascii="Arial Narrow" w:hAnsi="Arial Narrow" w:eastAsia="Times New Roman" w:cs="Times New Roman"/>
                <w:color w:val="000000"/>
                <w:lang w:eastAsia="zh-CN"/>
              </w:rPr>
            </w:r>
            <w:r>
              <w:rPr>
                <w:rFonts w:ascii="Arial Narrow" w:hAnsi="Arial Narrow" w:eastAsia="Times New Roman" w:cs="Times New Roman"/>
                <w:color w:val="000000"/>
                <w:lang w:eastAsia="zh-CN"/>
              </w:rPr>
            </w:r>
          </w:p>
        </w:tc>
        <w:tc>
          <w:tcPr>
            <w:shd w:val="clear" w:color="auto" w:fill="ffffff"/>
            <w:tcW w:w="1122"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-27,892</w:t>
            </w:r>
            <w:r>
              <w:rPr>
                <w:rFonts w:ascii="Arial Narrow" w:hAnsi="Arial Narrow" w:eastAsia="Times New Roman" w:cs="Times New Roman"/>
                <w:lang w:eastAsia="zh-CN"/>
              </w:rPr>
            </w:r>
            <w:r>
              <w:rPr>
                <w:rFonts w:ascii="Arial Narrow" w:hAnsi="Arial Narrow" w:eastAsia="Times New Roman" w:cs="Times New Roman"/>
                <w:lang w:eastAsia="zh-CN"/>
              </w:rPr>
            </w:r>
          </w:p>
          <w:p>
            <w:pPr>
              <w:jc w:val="center"/>
              <w:widowControl w:val="off"/>
              <w:rPr>
                <w:rFonts w:ascii="Arial Narrow" w:hAnsi="Arial Narrow" w:eastAsia="Times New Roman" w:cs="Times New Roman"/>
                <w:color w:val="000000"/>
                <w:lang w:eastAsia="zh-CN"/>
              </w:rPr>
            </w:pPr>
            <w:r>
              <w:rPr>
                <w:rFonts w:ascii="Arial Narrow" w:hAnsi="Arial Narrow" w:eastAsia="Times New Roman" w:cs="Times New Roman"/>
                <w:color w:val="000000"/>
                <w:lang w:eastAsia="zh-CN"/>
              </w:rPr>
            </w:r>
            <w:r>
              <w:rPr>
                <w:rFonts w:ascii="Arial Narrow" w:hAnsi="Arial Narrow" w:eastAsia="Times New Roman" w:cs="Times New Roman"/>
                <w:color w:val="000000"/>
                <w:lang w:eastAsia="zh-CN"/>
              </w:rPr>
            </w:r>
            <w:r>
              <w:rPr>
                <w:rFonts w:ascii="Arial Narrow" w:hAnsi="Arial Narrow" w:eastAsia="Times New Roman" w:cs="Times New Roman"/>
                <w:color w:val="000000"/>
                <w:lang w:eastAsia="zh-CN"/>
              </w:rPr>
            </w:r>
          </w:p>
        </w:tc>
        <w:tc>
          <w:tcPr>
            <w:shd w:val="clear" w:color="auto" w:fill="ffffff"/>
            <w:tcW w:w="2268"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Работы выполнены в соответствии с условиями договора.</w:t>
            </w:r>
            <w:r>
              <w:rPr>
                <w:rFonts w:ascii="Arial Narrow" w:hAnsi="Arial Narrow" w:eastAsia="Times New Roman" w:cs="Times New Roman"/>
                <w:lang w:eastAsia="zh-CN"/>
              </w:rPr>
            </w:r>
            <w:r>
              <w:rPr>
                <w:rFonts w:ascii="Arial Narrow" w:hAnsi="Arial Narrow" w:eastAsia="Times New Roman" w:cs="Times New Roman"/>
                <w:lang w:eastAsia="zh-CN"/>
              </w:rPr>
            </w:r>
          </w:p>
        </w:tc>
      </w:tr>
      <w:tr>
        <w:trPr>
          <w:trHeight w:val="330"/>
        </w:trPr>
        <w:tc>
          <w:tcPr>
            <w:shd w:val="clear" w:color="auto" w:fill="ffffff"/>
            <w:tcW w:w="3054"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Реконструкция тягодутьевых механизмов котлов БКЗ-320 ГМ ст.№ 1,2,3 ТЭЦ-2</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78"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I_509-319</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7" w:type="dxa"/>
            <w:vAlign w:val="center"/>
            <w:textDirection w:val="lrTb"/>
            <w:noWrap w:val="false"/>
          </w:tcPr>
          <w:p>
            <w:pPr>
              <w:jc w:val="center"/>
              <w:widowControl w:val="off"/>
              <w:rPr>
                <w:rFonts w:ascii="Arial Narrow" w:hAnsi="Arial Narrow" w:eastAsia="Times New Roman" w:cs="Times New Roman"/>
                <w:color w:val="000000"/>
                <w:lang w:eastAsia="zh-CN"/>
              </w:rPr>
            </w:pPr>
            <w:r>
              <w:rPr>
                <w:rFonts w:ascii="Arial Narrow" w:hAnsi="Arial Narrow" w:eastAsia="Times New Roman" w:cs="Times New Roman"/>
                <w:color w:val="000000"/>
                <w:lang w:eastAsia="zh-CN"/>
              </w:rPr>
            </w:r>
            <w:r>
              <w:rPr>
                <w:rFonts w:ascii="Arial Narrow" w:hAnsi="Arial Narrow" w:eastAsia="Times New Roman" w:cs="Times New Roman"/>
                <w:color w:val="000000"/>
                <w:lang w:eastAsia="zh-CN"/>
              </w:rPr>
            </w:r>
            <w:r>
              <w:rPr>
                <w:rFonts w:ascii="Arial Narrow" w:hAnsi="Arial Narrow" w:eastAsia="Times New Roman" w:cs="Times New Roman"/>
                <w:color w:val="000000"/>
                <w:lang w:eastAsia="zh-CN"/>
              </w:rPr>
            </w:r>
          </w:p>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26,037</w:t>
            </w:r>
            <w:r>
              <w:rPr>
                <w:rFonts w:ascii="Arial Narrow" w:hAnsi="Arial Narrow" w:eastAsia="Times New Roman" w:cs="Times New Roman"/>
                <w:lang w:eastAsia="zh-CN"/>
              </w:rPr>
            </w:r>
            <w:r>
              <w:rPr>
                <w:rFonts w:ascii="Arial Narrow" w:hAnsi="Arial Narrow" w:eastAsia="Times New Roman" w:cs="Times New Roman"/>
                <w:lang w:eastAsia="zh-CN"/>
              </w:rPr>
            </w:r>
          </w:p>
          <w:p>
            <w:pPr>
              <w:jc w:val="center"/>
              <w:widowControl w:val="off"/>
              <w:rPr>
                <w:rFonts w:ascii="Arial Narrow" w:hAnsi="Arial Narrow" w:eastAsia="Times New Roman" w:cs="Times New Roman"/>
                <w:color w:val="000000"/>
                <w:lang w:eastAsia="zh-CN"/>
              </w:rPr>
            </w:pPr>
            <w:r>
              <w:rPr>
                <w:rFonts w:ascii="Arial Narrow" w:hAnsi="Arial Narrow" w:eastAsia="Times New Roman" w:cs="Times New Roman"/>
                <w:color w:val="000000"/>
                <w:lang w:eastAsia="zh-CN"/>
              </w:rPr>
            </w:r>
            <w:r>
              <w:rPr>
                <w:rFonts w:ascii="Arial Narrow" w:hAnsi="Arial Narrow" w:eastAsia="Times New Roman" w:cs="Times New Roman"/>
                <w:color w:val="000000"/>
                <w:lang w:eastAsia="zh-CN"/>
              </w:rPr>
            </w:r>
            <w:r>
              <w:rPr>
                <w:rFonts w:ascii="Arial Narrow" w:hAnsi="Arial Narrow" w:eastAsia="Times New Roman" w:cs="Times New Roman"/>
                <w:color w:val="000000"/>
                <w:lang w:eastAsia="zh-CN"/>
              </w:rPr>
            </w:r>
          </w:p>
        </w:tc>
        <w:tc>
          <w:tcPr>
            <w:shd w:val="clear" w:color="auto" w:fill="ffffff"/>
            <w:tcW w:w="1229"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0</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122"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- 26,037</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2268"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Отсутствие участников</w:t>
            </w:r>
            <w:r>
              <w:rPr>
                <w:rFonts w:ascii="Arial Narrow" w:hAnsi="Arial Narrow" w:eastAsia="Times New Roman" w:cs="Times New Roman"/>
                <w:lang w:eastAsia="zh-CN"/>
              </w:rPr>
            </w:r>
            <w:r>
              <w:rPr>
                <w:rFonts w:ascii="Arial Narrow" w:hAnsi="Arial Narrow" w:eastAsia="Times New Roman" w:cs="Times New Roman"/>
                <w:lang w:eastAsia="zh-CN"/>
              </w:rPr>
            </w:r>
          </w:p>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на торгово-закупочных процедурах.</w:t>
            </w:r>
            <w:r>
              <w:rPr>
                <w:rFonts w:ascii="Arial Narrow" w:hAnsi="Arial Narrow" w:eastAsia="Times New Roman" w:cs="Times New Roman"/>
                <w:lang w:eastAsia="zh-CN"/>
              </w:rPr>
            </w:r>
            <w:r>
              <w:rPr>
                <w:rFonts w:ascii="Arial Narrow" w:hAnsi="Arial Narrow" w:eastAsia="Times New Roman" w:cs="Times New Roman"/>
                <w:lang w:eastAsia="zh-CN"/>
              </w:rPr>
            </w:r>
          </w:p>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Договор заключен в декабре 2024 года.</w:t>
            </w:r>
            <w:r>
              <w:rPr>
                <w:rFonts w:ascii="Arial Narrow" w:hAnsi="Arial Narrow" w:eastAsia="Times New Roman" w:cs="Times New Roman"/>
                <w:lang w:eastAsia="zh-CN"/>
              </w:rPr>
            </w:r>
            <w:r>
              <w:rPr>
                <w:rFonts w:ascii="Arial Narrow" w:hAnsi="Arial Narrow" w:eastAsia="Times New Roman" w:cs="Times New Roman"/>
                <w:lang w:eastAsia="zh-CN"/>
              </w:rPr>
            </w:r>
          </w:p>
        </w:tc>
      </w:tr>
      <w:tr>
        <w:trPr>
          <w:trHeight w:val="330"/>
        </w:trPr>
        <w:tc>
          <w:tcPr>
            <w:shd w:val="clear" w:color="auto" w:fill="ffffff"/>
            <w:tcW w:w="3054"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Установка системы плавки гололеда на подстанции 110/35/10 кВ "Елизово"</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78"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I_509-1198</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7"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37,604</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9" w:type="dxa"/>
            <w:vAlign w:val="center"/>
            <w:textDirection w:val="lrTb"/>
            <w:noWrap w:val="false"/>
          </w:tcPr>
          <w:p>
            <w:pPr>
              <w:jc w:val="center"/>
              <w:widowControl w:val="off"/>
              <w:rPr>
                <w:rFonts w:ascii="Arial Narrow" w:hAnsi="Arial Narrow" w:eastAsia="Times New Roman" w:cs="Times New Roman"/>
                <w:color w:val="000000"/>
                <w:lang w:eastAsia="zh-CN"/>
              </w:rPr>
            </w:pPr>
            <w:r>
              <w:rPr>
                <w:rFonts w:ascii="Arial Narrow" w:hAnsi="Arial Narrow" w:eastAsia="Times New Roman" w:cs="Times New Roman"/>
                <w:color w:val="000000"/>
                <w:lang w:eastAsia="zh-CN"/>
              </w:rPr>
            </w:r>
            <w:r>
              <w:rPr>
                <w:rFonts w:ascii="Arial Narrow" w:hAnsi="Arial Narrow" w:eastAsia="Times New Roman" w:cs="Times New Roman"/>
                <w:color w:val="000000"/>
                <w:lang w:eastAsia="zh-CN"/>
              </w:rPr>
            </w:r>
            <w:r>
              <w:rPr>
                <w:rFonts w:ascii="Arial Narrow" w:hAnsi="Arial Narrow" w:eastAsia="Times New Roman" w:cs="Times New Roman"/>
                <w:color w:val="000000"/>
                <w:lang w:eastAsia="zh-CN"/>
              </w:rPr>
            </w:r>
          </w:p>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14,076</w:t>
            </w:r>
            <w:r>
              <w:rPr>
                <w:rFonts w:ascii="Arial Narrow" w:hAnsi="Arial Narrow" w:eastAsia="Times New Roman" w:cs="Times New Roman"/>
                <w:lang w:eastAsia="zh-CN"/>
              </w:rPr>
            </w:r>
            <w:r>
              <w:rPr>
                <w:rFonts w:ascii="Arial Narrow" w:hAnsi="Arial Narrow" w:eastAsia="Times New Roman" w:cs="Times New Roman"/>
                <w:lang w:eastAsia="zh-CN"/>
              </w:rPr>
            </w:r>
          </w:p>
          <w:p>
            <w:pPr>
              <w:jc w:val="center"/>
              <w:widowControl w:val="off"/>
              <w:rPr>
                <w:rFonts w:ascii="Arial Narrow" w:hAnsi="Arial Narrow" w:eastAsia="Times New Roman" w:cs="Times New Roman"/>
                <w:color w:val="000000"/>
                <w:lang w:eastAsia="zh-CN"/>
              </w:rPr>
            </w:pPr>
            <w:r>
              <w:rPr>
                <w:rFonts w:ascii="Arial Narrow" w:hAnsi="Arial Narrow" w:eastAsia="Times New Roman" w:cs="Times New Roman"/>
                <w:color w:val="000000"/>
                <w:lang w:eastAsia="zh-CN"/>
              </w:rPr>
            </w:r>
            <w:r>
              <w:rPr>
                <w:rFonts w:ascii="Arial Narrow" w:hAnsi="Arial Narrow" w:eastAsia="Times New Roman" w:cs="Times New Roman"/>
                <w:color w:val="000000"/>
                <w:lang w:eastAsia="zh-CN"/>
              </w:rPr>
            </w:r>
            <w:r>
              <w:rPr>
                <w:rFonts w:ascii="Arial Narrow" w:hAnsi="Arial Narrow" w:eastAsia="Times New Roman" w:cs="Times New Roman"/>
                <w:color w:val="000000"/>
                <w:lang w:eastAsia="zh-CN"/>
              </w:rPr>
            </w:r>
          </w:p>
        </w:tc>
        <w:tc>
          <w:tcPr>
            <w:shd w:val="clear" w:color="auto" w:fill="ffffff"/>
            <w:tcW w:w="1122"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- 23,528</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2268"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Переходящий объект на 2025 год. Оплата с условиями договора.  </w:t>
            </w:r>
            <w:r>
              <w:rPr>
                <w:rFonts w:ascii="Arial Narrow" w:hAnsi="Arial Narrow" w:eastAsia="Times New Roman" w:cs="Times New Roman"/>
                <w:lang w:eastAsia="zh-CN"/>
              </w:rPr>
            </w:r>
            <w:r>
              <w:rPr>
                <w:rFonts w:ascii="Arial Narrow" w:hAnsi="Arial Narrow" w:eastAsia="Times New Roman" w:cs="Times New Roman"/>
                <w:lang w:eastAsia="zh-CN"/>
              </w:rPr>
            </w:r>
          </w:p>
        </w:tc>
      </w:tr>
      <w:tr>
        <w:trPr>
          <w:trHeight w:val="330"/>
        </w:trPr>
        <w:tc>
          <w:tcPr>
            <w:shd w:val="clear" w:color="auto" w:fill="ffffff"/>
            <w:tcW w:w="3054"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Дооснащение силовых трансформаторов ТБ-1, ТБ-2, ТБ-4, ТБ-5, ТБ-6, ТБ-7 автоматическими установками пожаротушения (АУПТ)</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78"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M_ТЭЦ_509-3037</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7"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21,817</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9"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0</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122"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-21,817</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2268"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Договор на СМР расторгнут в связи с неисполнением обязательств.</w:t>
            </w:r>
            <w:r>
              <w:rPr>
                <w:rFonts w:ascii="Arial Narrow" w:hAnsi="Arial Narrow" w:eastAsia="Times New Roman" w:cs="Times New Roman"/>
                <w:lang w:eastAsia="zh-CN"/>
              </w:rPr>
            </w:r>
            <w:r>
              <w:rPr>
                <w:rFonts w:ascii="Arial Narrow" w:hAnsi="Arial Narrow" w:eastAsia="Times New Roman" w:cs="Times New Roman"/>
                <w:lang w:eastAsia="zh-CN"/>
              </w:rPr>
            </w:r>
          </w:p>
        </w:tc>
      </w:tr>
      <w:tr>
        <w:trPr>
          <w:trHeight w:val="330"/>
        </w:trPr>
        <w:tc>
          <w:tcPr>
            <w:shd w:val="clear" w:color="auto" w:fill="ffffff"/>
            <w:tcW w:w="3054"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Прочие проекты</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78"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368 проектов</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7" w:type="dxa"/>
            <w:vAlign w:val="center"/>
            <w:textDirection w:val="lrTb"/>
            <w:noWrap w:val="false"/>
          </w:tcPr>
          <w:p>
            <w:pPr>
              <w:jc w:val="center"/>
              <w:widowControl w:val="off"/>
              <w:rPr>
                <w:rFonts w:eastAsia="Times New Roman" w:cs="Times New Roman"/>
                <w:color w:val="000000"/>
                <w:lang w:eastAsia="zh-CN"/>
              </w:rPr>
            </w:pPr>
            <w:r>
              <w:rPr>
                <w:rFonts w:ascii="Arial Narrow" w:hAnsi="Arial Narrow" w:eastAsia="Times New Roman" w:cs="Times New Roman"/>
                <w:color w:val="000000"/>
                <w:lang w:eastAsia="zh-CN"/>
              </w:rPr>
              <w:t xml:space="preserve">1 188,742</w:t>
            </w:r>
            <w:r>
              <w:rPr>
                <w:rFonts w:eastAsia="Times New Roman" w:cs="Times New Roman"/>
                <w:color w:val="000000"/>
                <w:lang w:eastAsia="zh-CN"/>
              </w:rPr>
            </w:r>
            <w:r>
              <w:rPr>
                <w:rFonts w:eastAsia="Times New Roman" w:cs="Times New Roman"/>
                <w:color w:val="000000"/>
                <w:lang w:eastAsia="zh-CN"/>
              </w:rPr>
            </w:r>
          </w:p>
        </w:tc>
        <w:tc>
          <w:tcPr>
            <w:shd w:val="clear" w:color="auto" w:fill="ffffff"/>
            <w:tcW w:w="1229" w:type="dxa"/>
            <w:vAlign w:val="center"/>
            <w:textDirection w:val="lrTb"/>
            <w:noWrap w:val="false"/>
          </w:tcPr>
          <w:p>
            <w:pPr>
              <w:jc w:val="center"/>
              <w:widowControl w:val="off"/>
              <w:rPr>
                <w:rFonts w:eastAsia="Times New Roman" w:cs="Times New Roman"/>
                <w:color w:val="000000"/>
                <w:lang w:eastAsia="zh-CN"/>
              </w:rPr>
            </w:pPr>
            <w:r>
              <w:rPr>
                <w:rFonts w:ascii="Arial Narrow" w:hAnsi="Arial Narrow" w:eastAsia="Times New Roman" w:cs="Times New Roman"/>
                <w:color w:val="000000"/>
                <w:lang w:eastAsia="zh-CN"/>
              </w:rPr>
              <w:t xml:space="preserve">1 277,907</w:t>
            </w:r>
            <w:r>
              <w:rPr>
                <w:rFonts w:eastAsia="Times New Roman" w:cs="Times New Roman"/>
                <w:color w:val="000000"/>
                <w:lang w:eastAsia="zh-CN"/>
              </w:rPr>
            </w:r>
            <w:r>
              <w:rPr>
                <w:rFonts w:eastAsia="Times New Roman" w:cs="Times New Roman"/>
                <w:color w:val="000000"/>
                <w:lang w:eastAsia="zh-CN"/>
              </w:rPr>
            </w:r>
          </w:p>
        </w:tc>
        <w:tc>
          <w:tcPr>
            <w:shd w:val="clear" w:color="auto" w:fill="ffffff"/>
            <w:tcW w:w="1122" w:type="dxa"/>
            <w:vAlign w:val="center"/>
            <w:textDirection w:val="lrTb"/>
            <w:noWrap w:val="false"/>
          </w:tcPr>
          <w:p>
            <w:pPr>
              <w:jc w:val="center"/>
              <w:widowControl w:val="off"/>
              <w:rPr>
                <w:rFonts w:eastAsia="Times New Roman" w:cs="Times New Roman"/>
                <w:color w:val="000000"/>
                <w:lang w:eastAsia="zh-CN"/>
              </w:rPr>
            </w:pPr>
            <w:r>
              <w:rPr>
                <w:rFonts w:ascii="Arial Narrow" w:hAnsi="Arial Narrow" w:eastAsia="Times New Roman" w:cs="Times New Roman"/>
                <w:color w:val="000000"/>
                <w:lang w:eastAsia="zh-CN"/>
              </w:rPr>
              <w:t xml:space="preserve">89,165</w:t>
            </w:r>
            <w:r>
              <w:rPr>
                <w:rFonts w:eastAsia="Times New Roman" w:cs="Times New Roman"/>
                <w:color w:val="000000"/>
                <w:lang w:eastAsia="zh-CN"/>
              </w:rPr>
            </w:r>
            <w:r>
              <w:rPr>
                <w:rFonts w:eastAsia="Times New Roman" w:cs="Times New Roman"/>
                <w:color w:val="000000"/>
                <w:lang w:eastAsia="zh-CN"/>
              </w:rPr>
            </w:r>
          </w:p>
        </w:tc>
        <w:tc>
          <w:tcPr>
            <w:shd w:val="clear" w:color="auto" w:fill="ffffff"/>
            <w:tcW w:w="2268"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 </w:t>
            </w:r>
            <w:r>
              <w:rPr>
                <w:rFonts w:ascii="Arial Narrow" w:hAnsi="Arial Narrow" w:eastAsia="Times New Roman" w:cs="Times New Roman"/>
                <w:lang w:eastAsia="zh-CN"/>
              </w:rPr>
            </w:r>
            <w:r>
              <w:rPr>
                <w:rFonts w:ascii="Arial Narrow" w:hAnsi="Arial Narrow" w:eastAsia="Times New Roman" w:cs="Times New Roman"/>
                <w:lang w:eastAsia="zh-CN"/>
              </w:rPr>
            </w:r>
          </w:p>
        </w:tc>
      </w:tr>
      <w:tr>
        <w:trPr>
          <w:trHeight w:val="330"/>
        </w:trPr>
        <w:tc>
          <w:tcPr>
            <w:shd w:val="clear" w:color="auto" w:fill="ffffff"/>
            <w:tcW w:w="3054"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bCs/>
                <w:color w:val="000000"/>
                <w:lang w:eastAsia="zh-CN"/>
              </w:rPr>
              <w:t xml:space="preserve">2.    Новое строительство</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78"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bCs/>
                <w:color w:val="000000"/>
                <w:lang w:eastAsia="zh-CN"/>
              </w:rPr>
              <w:t xml:space="preserve">10 проектов</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7"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bCs/>
                <w:color w:val="000000"/>
                <w:lang w:eastAsia="zh-CN"/>
              </w:rPr>
              <w:t xml:space="preserve">97,796</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9"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bCs/>
                <w:color w:val="000000"/>
                <w:lang w:eastAsia="zh-CN"/>
              </w:rPr>
              <w:t xml:space="preserve">164,899</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122"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bCs/>
                <w:color w:val="000000"/>
                <w:lang w:eastAsia="zh-CN"/>
              </w:rPr>
              <w:t xml:space="preserve">67,103</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2268"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bCs/>
                <w:color w:val="000000"/>
                <w:lang w:eastAsia="zh-CN"/>
              </w:rPr>
              <w:t xml:space="preserve"> </w:t>
            </w:r>
            <w:r>
              <w:rPr>
                <w:rFonts w:ascii="Arial Narrow" w:hAnsi="Arial Narrow" w:eastAsia="Times New Roman" w:cs="Times New Roman"/>
                <w:lang w:eastAsia="zh-CN"/>
              </w:rPr>
            </w:r>
            <w:r>
              <w:rPr>
                <w:rFonts w:ascii="Arial Narrow" w:hAnsi="Arial Narrow" w:eastAsia="Times New Roman" w:cs="Times New Roman"/>
                <w:lang w:eastAsia="zh-CN"/>
              </w:rPr>
            </w:r>
          </w:p>
        </w:tc>
      </w:tr>
      <w:tr>
        <w:trPr>
          <w:trHeight w:val="330"/>
        </w:trPr>
        <w:tc>
          <w:tcPr>
            <w:shd w:val="clear" w:color="auto" w:fill="ffffff"/>
            <w:tcW w:w="3054"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Закольцовка тепловых сетей ТЭЦ-1 и ТЭЦ-2. Участок от УТ-22 до УТ-1</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78"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I_509-335</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7"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76,464</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9" w:type="dxa"/>
            <w:vAlign w:val="center"/>
            <w:textDirection w:val="lrTb"/>
            <w:noWrap w:val="false"/>
          </w:tcPr>
          <w:p>
            <w:pPr>
              <w:jc w:val="center"/>
              <w:widowControl w:val="off"/>
              <w:rPr>
                <w:rFonts w:ascii="Arial Narrow" w:hAnsi="Arial Narrow" w:eastAsia="Times New Roman" w:cs="Times New Roman"/>
                <w:color w:val="000000"/>
                <w:lang w:eastAsia="zh-CN"/>
              </w:rPr>
            </w:pPr>
            <w:r>
              <w:rPr>
                <w:rFonts w:ascii="Arial Narrow" w:hAnsi="Arial Narrow" w:eastAsia="Times New Roman" w:cs="Times New Roman"/>
                <w:color w:val="000000"/>
                <w:lang w:eastAsia="zh-CN"/>
              </w:rPr>
            </w:r>
            <w:r>
              <w:rPr>
                <w:rFonts w:ascii="Arial Narrow" w:hAnsi="Arial Narrow" w:eastAsia="Times New Roman" w:cs="Times New Roman"/>
                <w:color w:val="000000"/>
                <w:lang w:eastAsia="zh-CN"/>
              </w:rPr>
            </w:r>
            <w:r>
              <w:rPr>
                <w:rFonts w:ascii="Arial Narrow" w:hAnsi="Arial Narrow" w:eastAsia="Times New Roman" w:cs="Times New Roman"/>
                <w:color w:val="000000"/>
                <w:lang w:eastAsia="zh-CN"/>
              </w:rPr>
            </w:r>
          </w:p>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143,063</w:t>
            </w:r>
            <w:r>
              <w:rPr>
                <w:rFonts w:ascii="Arial Narrow" w:hAnsi="Arial Narrow" w:eastAsia="Times New Roman" w:cs="Times New Roman"/>
                <w:lang w:eastAsia="zh-CN"/>
              </w:rPr>
            </w:r>
            <w:r>
              <w:rPr>
                <w:rFonts w:ascii="Arial Narrow" w:hAnsi="Arial Narrow" w:eastAsia="Times New Roman" w:cs="Times New Roman"/>
                <w:lang w:eastAsia="zh-CN"/>
              </w:rPr>
            </w:r>
          </w:p>
          <w:p>
            <w:pPr>
              <w:jc w:val="center"/>
              <w:widowControl w:val="off"/>
              <w:rPr>
                <w:rFonts w:ascii="Arial Narrow" w:hAnsi="Arial Narrow" w:eastAsia="Times New Roman" w:cs="Times New Roman"/>
                <w:color w:val="000000"/>
                <w:lang w:eastAsia="zh-CN"/>
              </w:rPr>
            </w:pPr>
            <w:r>
              <w:rPr>
                <w:rFonts w:ascii="Arial Narrow" w:hAnsi="Arial Narrow" w:eastAsia="Times New Roman" w:cs="Times New Roman"/>
                <w:color w:val="000000"/>
                <w:lang w:eastAsia="zh-CN"/>
              </w:rPr>
            </w:r>
            <w:r>
              <w:rPr>
                <w:rFonts w:ascii="Arial Narrow" w:hAnsi="Arial Narrow" w:eastAsia="Times New Roman" w:cs="Times New Roman"/>
                <w:color w:val="000000"/>
                <w:lang w:eastAsia="zh-CN"/>
              </w:rPr>
            </w:r>
            <w:r>
              <w:rPr>
                <w:rFonts w:ascii="Arial Narrow" w:hAnsi="Arial Narrow" w:eastAsia="Times New Roman" w:cs="Times New Roman"/>
                <w:color w:val="000000"/>
                <w:lang w:eastAsia="zh-CN"/>
              </w:rPr>
            </w:r>
          </w:p>
        </w:tc>
        <w:tc>
          <w:tcPr>
            <w:shd w:val="clear" w:color="auto" w:fill="ffffff"/>
            <w:tcW w:w="1122"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66,599</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2268"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Оплата в соответствии с условиями договора на СМР.</w:t>
            </w:r>
            <w:r>
              <w:rPr>
                <w:rFonts w:ascii="Arial Narrow" w:hAnsi="Arial Narrow" w:eastAsia="Times New Roman" w:cs="Times New Roman"/>
                <w:lang w:eastAsia="zh-CN"/>
              </w:rPr>
            </w:r>
            <w:r>
              <w:rPr>
                <w:rFonts w:ascii="Arial Narrow" w:hAnsi="Arial Narrow" w:eastAsia="Times New Roman" w:cs="Times New Roman"/>
                <w:lang w:eastAsia="zh-CN"/>
              </w:rPr>
            </w:r>
          </w:p>
        </w:tc>
      </w:tr>
      <w:tr>
        <w:trPr>
          <w:trHeight w:val="330"/>
        </w:trPr>
        <w:tc>
          <w:tcPr>
            <w:shd w:val="clear" w:color="auto" w:fill="ffffff"/>
            <w:tcW w:w="3054"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Прочие проекты</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78"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Х проектов</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7" w:type="dxa"/>
            <w:vAlign w:val="center"/>
            <w:textDirection w:val="lrTb"/>
            <w:noWrap w:val="false"/>
          </w:tcPr>
          <w:p>
            <w:pPr>
              <w:jc w:val="center"/>
              <w:widowControl w:val="off"/>
              <w:rPr>
                <w:rFonts w:eastAsia="Times New Roman" w:cs="Times New Roman"/>
                <w:color w:val="000000"/>
                <w:lang w:eastAsia="zh-CN"/>
              </w:rPr>
            </w:pPr>
            <w:r>
              <w:rPr>
                <w:rFonts w:ascii="Arial Narrow" w:hAnsi="Arial Narrow" w:eastAsia="Times New Roman" w:cs="Times New Roman"/>
                <w:color w:val="000000"/>
                <w:lang w:eastAsia="zh-CN"/>
              </w:rPr>
              <w:t xml:space="preserve">21,332</w:t>
            </w:r>
            <w:r>
              <w:rPr>
                <w:rFonts w:eastAsia="Times New Roman" w:cs="Times New Roman"/>
                <w:color w:val="000000"/>
                <w:lang w:eastAsia="zh-CN"/>
              </w:rPr>
            </w:r>
            <w:r>
              <w:rPr>
                <w:rFonts w:eastAsia="Times New Roman" w:cs="Times New Roman"/>
                <w:color w:val="000000"/>
                <w:lang w:eastAsia="zh-CN"/>
              </w:rPr>
            </w:r>
          </w:p>
        </w:tc>
        <w:tc>
          <w:tcPr>
            <w:shd w:val="clear" w:color="auto" w:fill="ffffff"/>
            <w:tcW w:w="1229" w:type="dxa"/>
            <w:vAlign w:val="center"/>
            <w:textDirection w:val="lrTb"/>
            <w:noWrap w:val="false"/>
          </w:tcPr>
          <w:p>
            <w:pPr>
              <w:jc w:val="center"/>
              <w:widowControl w:val="off"/>
              <w:rPr>
                <w:rFonts w:eastAsia="Times New Roman" w:cs="Times New Roman"/>
                <w:color w:val="000000"/>
                <w:lang w:eastAsia="zh-CN"/>
              </w:rPr>
            </w:pPr>
            <w:r>
              <w:rPr>
                <w:rFonts w:ascii="Arial Narrow" w:hAnsi="Arial Narrow" w:eastAsia="Times New Roman" w:cs="Times New Roman"/>
                <w:color w:val="000000"/>
                <w:lang w:eastAsia="zh-CN"/>
              </w:rPr>
              <w:t xml:space="preserve">21,836</w:t>
            </w:r>
            <w:r>
              <w:rPr>
                <w:rFonts w:eastAsia="Times New Roman" w:cs="Times New Roman"/>
                <w:color w:val="000000"/>
                <w:lang w:eastAsia="zh-CN"/>
              </w:rPr>
            </w:r>
            <w:r>
              <w:rPr>
                <w:rFonts w:eastAsia="Times New Roman" w:cs="Times New Roman"/>
                <w:color w:val="000000"/>
                <w:lang w:eastAsia="zh-CN"/>
              </w:rPr>
            </w:r>
          </w:p>
        </w:tc>
        <w:tc>
          <w:tcPr>
            <w:shd w:val="clear" w:color="auto" w:fill="ffffff"/>
            <w:tcW w:w="1122" w:type="dxa"/>
            <w:vAlign w:val="center"/>
            <w:textDirection w:val="lrTb"/>
            <w:noWrap w:val="false"/>
          </w:tcPr>
          <w:p>
            <w:pPr>
              <w:jc w:val="center"/>
              <w:widowControl w:val="off"/>
              <w:rPr>
                <w:rFonts w:eastAsia="Times New Roman" w:cs="Times New Roman"/>
                <w:color w:val="000000"/>
                <w:lang w:eastAsia="zh-CN"/>
              </w:rPr>
            </w:pPr>
            <w:r>
              <w:rPr>
                <w:rFonts w:ascii="Arial Narrow" w:hAnsi="Arial Narrow" w:eastAsia="Times New Roman" w:cs="Times New Roman"/>
                <w:color w:val="000000"/>
                <w:lang w:eastAsia="zh-CN"/>
              </w:rPr>
              <w:t xml:space="preserve">0,504</w:t>
            </w:r>
            <w:r>
              <w:rPr>
                <w:rFonts w:eastAsia="Times New Roman" w:cs="Times New Roman"/>
                <w:color w:val="000000"/>
                <w:lang w:eastAsia="zh-CN"/>
              </w:rPr>
            </w:r>
            <w:r>
              <w:rPr>
                <w:rFonts w:eastAsia="Times New Roman" w:cs="Times New Roman"/>
                <w:color w:val="000000"/>
                <w:lang w:eastAsia="zh-CN"/>
              </w:rPr>
            </w:r>
          </w:p>
        </w:tc>
        <w:tc>
          <w:tcPr>
            <w:shd w:val="clear" w:color="auto" w:fill="ffffff"/>
            <w:tcW w:w="2268"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 </w:t>
            </w:r>
            <w:r>
              <w:rPr>
                <w:rFonts w:ascii="Arial Narrow" w:hAnsi="Arial Narrow" w:eastAsia="Times New Roman" w:cs="Times New Roman"/>
                <w:lang w:eastAsia="zh-CN"/>
              </w:rPr>
            </w:r>
            <w:r>
              <w:rPr>
                <w:rFonts w:ascii="Arial Narrow" w:hAnsi="Arial Narrow" w:eastAsia="Times New Roman" w:cs="Times New Roman"/>
                <w:lang w:eastAsia="zh-CN"/>
              </w:rPr>
            </w:r>
          </w:p>
        </w:tc>
      </w:tr>
      <w:tr>
        <w:trPr>
          <w:trHeight w:val="330"/>
        </w:trPr>
        <w:tc>
          <w:tcPr>
            <w:shd w:val="clear" w:color="auto" w:fill="ffffff"/>
            <w:tcW w:w="3054"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bCs/>
                <w:color w:val="000000"/>
                <w:lang w:eastAsia="zh-CN"/>
              </w:rPr>
              <w:t xml:space="preserve">3.    Технологическое присоединение</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78"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bCs/>
                <w:color w:val="000000"/>
                <w:lang w:eastAsia="zh-CN"/>
              </w:rPr>
              <w:t xml:space="preserve">40 проектов</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7"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bCs/>
                <w:color w:val="000000"/>
                <w:lang w:eastAsia="zh-CN"/>
              </w:rPr>
              <w:t xml:space="preserve">4 887,959</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9"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bCs/>
                <w:color w:val="000000"/>
                <w:lang w:eastAsia="zh-CN"/>
              </w:rPr>
              <w:t xml:space="preserve">3 146,523</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122" w:type="dxa"/>
            <w:vAlign w:val="center"/>
            <w:textDirection w:val="lrTb"/>
            <w:noWrap w:val="false"/>
          </w:tcPr>
          <w:p>
            <w:pPr>
              <w:jc w:val="center"/>
              <w:widowControl w:val="off"/>
              <w:rPr>
                <w:rFonts w:eastAsia="Times New Roman" w:cs="Times New Roman"/>
                <w:lang w:eastAsia="zh-CN"/>
              </w:rPr>
            </w:pPr>
            <w:r>
              <w:rPr>
                <w:rFonts w:ascii="Arial Narrow" w:hAnsi="Arial Narrow" w:eastAsia="Times New Roman" w:cs="Times New Roman"/>
                <w:bCs/>
                <w:color w:val="000000"/>
                <w:lang w:eastAsia="zh-CN"/>
              </w:rPr>
              <w:t xml:space="preserve">- 1 741,436  </w:t>
            </w:r>
            <w:r>
              <w:rPr>
                <w:rFonts w:eastAsia="Times New Roman" w:cs="Times New Roman"/>
                <w:lang w:eastAsia="zh-CN"/>
              </w:rPr>
            </w:r>
            <w:r>
              <w:rPr>
                <w:rFonts w:eastAsia="Times New Roman" w:cs="Times New Roman"/>
                <w:lang w:eastAsia="zh-CN"/>
              </w:rPr>
            </w:r>
          </w:p>
        </w:tc>
        <w:tc>
          <w:tcPr>
            <w:shd w:val="clear" w:color="auto" w:fill="ffffff"/>
            <w:tcW w:w="2268"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bCs/>
                <w:color w:val="000000"/>
                <w:lang w:eastAsia="zh-CN"/>
              </w:rPr>
              <w:t xml:space="preserve"> </w:t>
            </w:r>
            <w:r>
              <w:rPr>
                <w:rFonts w:ascii="Arial Narrow" w:hAnsi="Arial Narrow" w:eastAsia="Times New Roman" w:cs="Times New Roman"/>
                <w:lang w:eastAsia="zh-CN"/>
              </w:rPr>
            </w:r>
            <w:r>
              <w:rPr>
                <w:rFonts w:ascii="Arial Narrow" w:hAnsi="Arial Narrow" w:eastAsia="Times New Roman" w:cs="Times New Roman"/>
                <w:lang w:eastAsia="zh-CN"/>
              </w:rPr>
            </w:r>
          </w:p>
        </w:tc>
      </w:tr>
      <w:tr>
        <w:trPr>
          <w:trHeight w:val="330"/>
        </w:trPr>
        <w:tc>
          <w:tcPr>
            <w:shd w:val="clear" w:color="auto" w:fill="ffffff"/>
            <w:tcW w:w="3054"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Сооружение «ВЛ-110 кВ от ПС 220/110/35/10 к</w:t>
            </w:r>
            <w:r>
              <w:rPr>
                <w:rFonts w:ascii="Arial Narrow" w:hAnsi="Arial Narrow" w:eastAsia="Times New Roman" w:cs="Times New Roman"/>
                <w:color w:val="000000"/>
                <w:lang w:eastAsia="zh-CN"/>
              </w:rPr>
              <w:t xml:space="preserve">В Авача до ПС 110/35/10 кВ «Сопка Горячая», со строительством ПС 110/35/10 кВ «Сопка Горячая», КЛ 35 кВ от ПС 110/35/10 кВ до ПС 35/10 кВ «Горнолыжный комплекс», со строительством ПС 35/10 кВ «Горнолыжный комплекс» и ЛЭП 10 кВ до электроустановок Заявителя</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78"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M_ЦЭС_509-2741</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7"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4 188,725</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9"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2 105,362</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122"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- 2 083,363</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2268"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Неисполнение обязательств со стороны подрядной организации с нарушением срока выполнения этапов работ.</w:t>
            </w:r>
            <w:r>
              <w:rPr>
                <w:rFonts w:ascii="Arial Narrow" w:hAnsi="Arial Narrow" w:eastAsia="Times New Roman" w:cs="Times New Roman"/>
                <w:lang w:eastAsia="zh-CN"/>
              </w:rPr>
            </w:r>
            <w:r>
              <w:rPr>
                <w:rFonts w:ascii="Arial Narrow" w:hAnsi="Arial Narrow" w:eastAsia="Times New Roman" w:cs="Times New Roman"/>
                <w:lang w:eastAsia="zh-CN"/>
              </w:rPr>
            </w:r>
          </w:p>
        </w:tc>
      </w:tr>
      <w:tr>
        <w:trPr>
          <w:trHeight w:val="330"/>
        </w:trPr>
        <w:tc>
          <w:tcPr>
            <w:shd w:val="clear" w:color="auto" w:fill="ffffff"/>
            <w:tcW w:w="3054"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Технологическое присоединение энергопринимающих устройств потребителей максимальной мощностью от 15 до 150 кВт включительно, всего</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78"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Г-2</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7"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179,317</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9"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509,705</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122"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330,388</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2268"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Оплата в соответствии с условиями договоров на</w:t>
            </w:r>
            <w:r>
              <w:rPr>
                <w:rFonts w:ascii="Arial Narrow" w:hAnsi="Arial Narrow" w:eastAsia="Times New Roman" w:cs="Times New Roman"/>
                <w:lang w:eastAsia="zh-CN"/>
              </w:rPr>
            </w:r>
            <w:r>
              <w:rPr>
                <w:rFonts w:ascii="Arial Narrow" w:hAnsi="Arial Narrow" w:eastAsia="Times New Roman" w:cs="Times New Roman"/>
                <w:lang w:eastAsia="zh-CN"/>
              </w:rPr>
            </w:r>
          </w:p>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технологическое присоединение.</w:t>
            </w:r>
            <w:r>
              <w:rPr>
                <w:rFonts w:ascii="Arial Narrow" w:hAnsi="Arial Narrow" w:eastAsia="Times New Roman" w:cs="Times New Roman"/>
                <w:lang w:eastAsia="zh-CN"/>
              </w:rPr>
            </w:r>
            <w:r>
              <w:rPr>
                <w:rFonts w:ascii="Arial Narrow" w:hAnsi="Arial Narrow" w:eastAsia="Times New Roman" w:cs="Times New Roman"/>
                <w:lang w:eastAsia="zh-CN"/>
              </w:rPr>
            </w:r>
          </w:p>
        </w:tc>
      </w:tr>
      <w:tr>
        <w:trPr>
          <w:trHeight w:val="52"/>
        </w:trPr>
        <w:tc>
          <w:tcPr>
            <w:shd w:val="clear" w:color="auto" w:fill="ffffff"/>
            <w:tcW w:w="3054"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Прочие проекты</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78"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38 проектов</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7" w:type="dxa"/>
            <w:vAlign w:val="center"/>
            <w:textDirection w:val="lrTb"/>
            <w:noWrap w:val="false"/>
          </w:tcPr>
          <w:p>
            <w:pPr>
              <w:jc w:val="center"/>
              <w:widowControl w:val="off"/>
              <w:rPr>
                <w:rFonts w:eastAsia="Times New Roman" w:cs="Times New Roman"/>
                <w:color w:val="000000"/>
                <w:lang w:eastAsia="zh-CN"/>
              </w:rPr>
            </w:pPr>
            <w:r>
              <w:rPr>
                <w:rFonts w:ascii="Arial Narrow" w:hAnsi="Arial Narrow" w:eastAsia="Times New Roman" w:cs="Times New Roman"/>
                <w:color w:val="000000"/>
                <w:lang w:eastAsia="zh-CN"/>
              </w:rPr>
              <w:t xml:space="preserve">878,551</w:t>
            </w:r>
            <w:r>
              <w:rPr>
                <w:rFonts w:eastAsia="Times New Roman" w:cs="Times New Roman"/>
                <w:color w:val="000000"/>
                <w:lang w:eastAsia="zh-CN"/>
              </w:rPr>
            </w:r>
            <w:r>
              <w:rPr>
                <w:rFonts w:eastAsia="Times New Roman" w:cs="Times New Roman"/>
                <w:color w:val="000000"/>
                <w:lang w:eastAsia="zh-CN"/>
              </w:rPr>
            </w:r>
          </w:p>
        </w:tc>
        <w:tc>
          <w:tcPr>
            <w:shd w:val="clear" w:color="auto" w:fill="ffffff"/>
            <w:tcW w:w="1229" w:type="dxa"/>
            <w:vAlign w:val="center"/>
            <w:textDirection w:val="lrTb"/>
            <w:noWrap w:val="false"/>
          </w:tcPr>
          <w:p>
            <w:pPr>
              <w:jc w:val="center"/>
              <w:widowControl w:val="off"/>
              <w:rPr>
                <w:rFonts w:eastAsia="Times New Roman" w:cs="Times New Roman"/>
                <w:color w:val="000000"/>
                <w:lang w:eastAsia="zh-CN"/>
              </w:rPr>
            </w:pPr>
            <w:r>
              <w:rPr>
                <w:rFonts w:ascii="Arial Narrow" w:hAnsi="Arial Narrow" w:eastAsia="Times New Roman" w:cs="Times New Roman"/>
                <w:color w:val="000000"/>
                <w:lang w:eastAsia="zh-CN"/>
              </w:rPr>
              <w:t xml:space="preserve">531,456</w:t>
            </w:r>
            <w:r>
              <w:rPr>
                <w:rFonts w:eastAsia="Times New Roman" w:cs="Times New Roman"/>
                <w:color w:val="000000"/>
                <w:lang w:eastAsia="zh-CN"/>
              </w:rPr>
            </w:r>
            <w:r>
              <w:rPr>
                <w:rFonts w:eastAsia="Times New Roman" w:cs="Times New Roman"/>
                <w:color w:val="000000"/>
                <w:lang w:eastAsia="zh-CN"/>
              </w:rPr>
            </w:r>
          </w:p>
        </w:tc>
        <w:tc>
          <w:tcPr>
            <w:shd w:val="clear" w:color="auto" w:fill="ffffff"/>
            <w:tcW w:w="1122" w:type="dxa"/>
            <w:vAlign w:val="center"/>
            <w:textDirection w:val="lrTb"/>
            <w:noWrap w:val="false"/>
          </w:tcPr>
          <w:p>
            <w:pPr>
              <w:jc w:val="center"/>
              <w:widowControl w:val="off"/>
              <w:rPr>
                <w:rFonts w:eastAsia="Times New Roman" w:cs="Times New Roman"/>
                <w:color w:val="000000"/>
                <w:lang w:eastAsia="zh-CN"/>
              </w:rPr>
            </w:pPr>
            <w:r>
              <w:rPr>
                <w:rFonts w:ascii="Arial Narrow" w:hAnsi="Arial Narrow" w:eastAsia="Times New Roman" w:cs="Times New Roman"/>
                <w:color w:val="000000"/>
                <w:lang w:eastAsia="zh-CN"/>
              </w:rPr>
              <w:t xml:space="preserve">-347,095</w:t>
            </w:r>
            <w:r>
              <w:rPr>
                <w:rFonts w:eastAsia="Times New Roman" w:cs="Times New Roman"/>
                <w:color w:val="000000"/>
                <w:lang w:eastAsia="zh-CN"/>
              </w:rPr>
            </w:r>
            <w:r>
              <w:rPr>
                <w:rFonts w:eastAsia="Times New Roman" w:cs="Times New Roman"/>
                <w:color w:val="000000"/>
                <w:lang w:eastAsia="zh-CN"/>
              </w:rPr>
            </w:r>
          </w:p>
        </w:tc>
        <w:tc>
          <w:tcPr>
            <w:shd w:val="clear" w:color="auto" w:fill="ffffff"/>
            <w:tcW w:w="2268"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 </w:t>
            </w:r>
            <w:r>
              <w:rPr>
                <w:rFonts w:ascii="Arial Narrow" w:hAnsi="Arial Narrow" w:eastAsia="Times New Roman" w:cs="Times New Roman"/>
                <w:lang w:eastAsia="zh-CN"/>
              </w:rPr>
            </w:r>
            <w:r>
              <w:rPr>
                <w:rFonts w:ascii="Arial Narrow" w:hAnsi="Arial Narrow" w:eastAsia="Times New Roman" w:cs="Times New Roman"/>
                <w:lang w:eastAsia="zh-CN"/>
              </w:rPr>
            </w:r>
          </w:p>
        </w:tc>
      </w:tr>
      <w:tr>
        <w:trPr>
          <w:trHeight w:val="52"/>
        </w:trPr>
        <w:tc>
          <w:tcPr>
            <w:shd w:val="clear" w:color="auto" w:fill="ffffff"/>
            <w:tcW w:w="3054"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bCs/>
                <w:color w:val="000000"/>
                <w:lang w:eastAsia="zh-CN"/>
              </w:rPr>
              <w:t xml:space="preserve">4.    Прочие инвестиции</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78"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bCs/>
                <w:color w:val="000000"/>
                <w:lang w:eastAsia="zh-CN"/>
              </w:rPr>
              <w:t xml:space="preserve">8 проектов</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7"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bCs/>
                <w:color w:val="000000"/>
                <w:lang w:eastAsia="zh-CN"/>
              </w:rPr>
              <w:t xml:space="preserve">634,679</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9"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bCs/>
                <w:color w:val="000000"/>
                <w:lang w:eastAsia="zh-CN"/>
              </w:rPr>
              <w:t xml:space="preserve">472,488</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122"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bCs/>
                <w:color w:val="000000"/>
                <w:lang w:eastAsia="zh-CN"/>
              </w:rPr>
              <w:t xml:space="preserve">- 162,191</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2268"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bCs/>
                <w:color w:val="000000"/>
                <w:lang w:eastAsia="zh-CN"/>
              </w:rPr>
              <w:t xml:space="preserve"> </w:t>
            </w:r>
            <w:r>
              <w:rPr>
                <w:rFonts w:ascii="Arial Narrow" w:hAnsi="Arial Narrow" w:eastAsia="Times New Roman" w:cs="Times New Roman"/>
                <w:lang w:eastAsia="zh-CN"/>
              </w:rPr>
            </w:r>
            <w:r>
              <w:rPr>
                <w:rFonts w:ascii="Arial Narrow" w:hAnsi="Arial Narrow" w:eastAsia="Times New Roman" w:cs="Times New Roman"/>
                <w:lang w:eastAsia="zh-CN"/>
              </w:rPr>
            </w:r>
          </w:p>
        </w:tc>
      </w:tr>
      <w:tr>
        <w:trPr>
          <w:trHeight w:val="330"/>
        </w:trPr>
        <w:tc>
          <w:tcPr>
            <w:shd w:val="clear" w:color="auto" w:fill="ffffff"/>
            <w:tcW w:w="3054"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НИОКР Разработка и внедрение решений по мониторингу, выявлению, предотвращению содержания нефтепродуктов в сбросных водах станции</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78"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N_КТЭЦ_509-3765</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7"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3,936</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9"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11,825</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122"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7,889</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2268"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Оплата в соответствии с условиями договора.</w:t>
            </w:r>
            <w:r>
              <w:rPr>
                <w:rFonts w:ascii="Arial Narrow" w:hAnsi="Arial Narrow" w:eastAsia="Times New Roman" w:cs="Times New Roman"/>
                <w:lang w:eastAsia="zh-CN"/>
              </w:rPr>
            </w:r>
            <w:r>
              <w:rPr>
                <w:rFonts w:ascii="Arial Narrow" w:hAnsi="Arial Narrow" w:eastAsia="Times New Roman" w:cs="Times New Roman"/>
                <w:lang w:eastAsia="zh-CN"/>
              </w:rPr>
            </w:r>
          </w:p>
        </w:tc>
      </w:tr>
      <w:tr>
        <w:trPr>
          <w:trHeight w:val="330"/>
        </w:trPr>
        <w:tc>
          <w:tcPr>
            <w:shd w:val="clear" w:color="auto" w:fill="ffffff"/>
            <w:tcW w:w="3054"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Н</w:t>
            </w:r>
            <w:r>
              <w:rPr>
                <w:rFonts w:ascii="Arial Narrow" w:hAnsi="Arial Narrow" w:eastAsia="Times New Roman" w:cs="Times New Roman"/>
                <w:color w:val="000000"/>
                <w:lang w:eastAsia="zh-CN"/>
              </w:rPr>
              <w:t xml:space="preserve">ИОКР Разработка оптимизированной для Мутновского месторождения парогидротерм технологии  восстановления производительности геотермальных скважин, вышедших из строя в результате кольматации фильтровых участков стволов  и трещинных коллекторов подводящих зон</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78"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O_ФВЭ_509-4240</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7"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18,000</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9"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22,188</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122"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4,188</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2268"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Оплата в соответствии с условиями договора.</w:t>
            </w:r>
            <w:r>
              <w:rPr>
                <w:rFonts w:ascii="Arial Narrow" w:hAnsi="Arial Narrow" w:eastAsia="Times New Roman" w:cs="Times New Roman"/>
                <w:lang w:eastAsia="zh-CN"/>
              </w:rPr>
            </w:r>
            <w:r>
              <w:rPr>
                <w:rFonts w:ascii="Arial Narrow" w:hAnsi="Arial Narrow" w:eastAsia="Times New Roman" w:cs="Times New Roman"/>
                <w:lang w:eastAsia="zh-CN"/>
              </w:rPr>
            </w:r>
          </w:p>
        </w:tc>
      </w:tr>
      <w:tr>
        <w:trPr>
          <w:trHeight w:val="330"/>
        </w:trPr>
        <w:tc>
          <w:tcPr>
            <w:shd w:val="clear" w:color="auto" w:fill="ffffff"/>
            <w:tcW w:w="3054"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НИОКР Комплекс глубокой утилизации энергетического потенциала геотермального теплоносителя на базе органического цикла Ренкина</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78"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O_ФВЭ_509-4241</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7"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7,377</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9"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5,280</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122"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- 2,097</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2268"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Оплата в соответствии с условиями договора.</w:t>
            </w:r>
            <w:r>
              <w:rPr>
                <w:rFonts w:ascii="Arial Narrow" w:hAnsi="Arial Narrow" w:eastAsia="Times New Roman" w:cs="Times New Roman"/>
                <w:lang w:eastAsia="zh-CN"/>
              </w:rPr>
            </w:r>
            <w:r>
              <w:rPr>
                <w:rFonts w:ascii="Arial Narrow" w:hAnsi="Arial Narrow" w:eastAsia="Times New Roman" w:cs="Times New Roman"/>
                <w:lang w:eastAsia="zh-CN"/>
              </w:rPr>
            </w:r>
          </w:p>
        </w:tc>
      </w:tr>
      <w:tr>
        <w:trPr>
          <w:trHeight w:val="52"/>
        </w:trPr>
        <w:tc>
          <w:tcPr>
            <w:shd w:val="clear" w:color="auto" w:fill="ffffff"/>
            <w:tcW w:w="3054"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Прочие проекты</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78"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5 проекта</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7" w:type="dxa"/>
            <w:vAlign w:val="center"/>
            <w:textDirection w:val="lrTb"/>
            <w:noWrap w:val="false"/>
          </w:tcPr>
          <w:p>
            <w:pPr>
              <w:jc w:val="center"/>
              <w:widowControl w:val="off"/>
              <w:rPr>
                <w:rFonts w:eastAsia="Times New Roman" w:cs="Times New Roman"/>
                <w:lang w:eastAsia="zh-CN"/>
              </w:rPr>
            </w:pPr>
            <w:r>
              <w:rPr>
                <w:rFonts w:ascii="Arial Narrow" w:hAnsi="Arial Narrow" w:eastAsia="Times New Roman" w:cs="Times New Roman"/>
                <w:color w:val="000000"/>
                <w:lang w:eastAsia="zh-CN"/>
              </w:rPr>
              <w:t xml:space="preserve">605,366</w:t>
            </w:r>
            <w:r>
              <w:rPr>
                <w:rFonts w:eastAsia="Times New Roman" w:cs="Times New Roman"/>
                <w:lang w:eastAsia="zh-CN"/>
              </w:rPr>
            </w:r>
            <w:r>
              <w:rPr>
                <w:rFonts w:eastAsia="Times New Roman" w:cs="Times New Roman"/>
                <w:lang w:eastAsia="zh-CN"/>
              </w:rPr>
            </w:r>
          </w:p>
        </w:tc>
        <w:tc>
          <w:tcPr>
            <w:shd w:val="clear" w:color="auto" w:fill="ffffff"/>
            <w:tcW w:w="1229" w:type="dxa"/>
            <w:vAlign w:val="center"/>
            <w:textDirection w:val="lrTb"/>
            <w:noWrap w:val="false"/>
          </w:tcPr>
          <w:p>
            <w:pPr>
              <w:jc w:val="center"/>
              <w:widowControl w:val="off"/>
              <w:rPr>
                <w:rFonts w:eastAsia="Times New Roman" w:cs="Times New Roman"/>
                <w:lang w:eastAsia="zh-CN"/>
              </w:rPr>
            </w:pPr>
            <w:r>
              <w:rPr>
                <w:rFonts w:ascii="Arial Narrow" w:hAnsi="Arial Narrow" w:eastAsia="Times New Roman" w:cs="Times New Roman"/>
                <w:color w:val="000000"/>
                <w:lang w:eastAsia="zh-CN"/>
              </w:rPr>
              <w:t xml:space="preserve">433,195</w:t>
            </w:r>
            <w:r>
              <w:rPr>
                <w:rFonts w:eastAsia="Times New Roman" w:cs="Times New Roman"/>
                <w:lang w:eastAsia="zh-CN"/>
              </w:rPr>
            </w:r>
            <w:r>
              <w:rPr>
                <w:rFonts w:eastAsia="Times New Roman" w:cs="Times New Roman"/>
                <w:lang w:eastAsia="zh-CN"/>
              </w:rPr>
            </w:r>
          </w:p>
        </w:tc>
        <w:tc>
          <w:tcPr>
            <w:shd w:val="clear" w:color="auto" w:fill="ffffff"/>
            <w:tcW w:w="1122" w:type="dxa"/>
            <w:vAlign w:val="center"/>
            <w:textDirection w:val="lrTb"/>
            <w:noWrap w:val="false"/>
          </w:tcPr>
          <w:p>
            <w:pPr>
              <w:jc w:val="center"/>
              <w:widowControl w:val="off"/>
              <w:rPr>
                <w:rFonts w:eastAsia="Times New Roman" w:cs="Times New Roman"/>
                <w:lang w:eastAsia="zh-CN"/>
              </w:rPr>
            </w:pPr>
            <w:r>
              <w:rPr>
                <w:rFonts w:ascii="Arial Narrow" w:hAnsi="Arial Narrow" w:eastAsia="Times New Roman" w:cs="Times New Roman"/>
                <w:color w:val="000000"/>
                <w:lang w:eastAsia="zh-CN"/>
              </w:rPr>
              <w:t xml:space="preserve">- 172,171</w:t>
            </w:r>
            <w:r>
              <w:rPr>
                <w:rFonts w:eastAsia="Times New Roman" w:cs="Times New Roman"/>
                <w:lang w:eastAsia="zh-CN"/>
              </w:rPr>
            </w:r>
            <w:r>
              <w:rPr>
                <w:rFonts w:eastAsia="Times New Roman" w:cs="Times New Roman"/>
                <w:lang w:eastAsia="zh-CN"/>
              </w:rPr>
            </w:r>
          </w:p>
        </w:tc>
        <w:tc>
          <w:tcPr>
            <w:shd w:val="clear" w:color="auto" w:fill="ffffff"/>
            <w:tcW w:w="2268" w:type="dxa"/>
            <w:vAlign w:val="center"/>
            <w:textDirection w:val="lrTb"/>
            <w:noWrap w:val="false"/>
          </w:tcPr>
          <w:p>
            <w:pPr>
              <w:jc w:val="both"/>
              <w:widowControl w:val="off"/>
              <w:rPr>
                <w:rFonts w:ascii="Arial Narrow" w:hAnsi="Arial Narrow" w:eastAsia="Times New Roman" w:cs="Times New Roman"/>
                <w:color w:val="000000"/>
                <w:lang w:eastAsia="zh-CN"/>
              </w:rPr>
            </w:pPr>
            <w:r>
              <w:rPr>
                <w:rFonts w:ascii="Arial Narrow" w:hAnsi="Arial Narrow" w:eastAsia="Times New Roman" w:cs="Times New Roman"/>
                <w:color w:val="000000"/>
                <w:lang w:eastAsia="zh-CN"/>
              </w:rPr>
            </w:r>
            <w:r>
              <w:rPr>
                <w:rFonts w:ascii="Arial Narrow" w:hAnsi="Arial Narrow" w:eastAsia="Times New Roman" w:cs="Times New Roman"/>
                <w:color w:val="000000"/>
                <w:lang w:eastAsia="zh-CN"/>
              </w:rPr>
            </w:r>
            <w:r>
              <w:rPr>
                <w:rFonts w:ascii="Arial Narrow" w:hAnsi="Arial Narrow" w:eastAsia="Times New Roman" w:cs="Times New Roman"/>
                <w:color w:val="000000"/>
                <w:lang w:eastAsia="zh-CN"/>
              </w:rPr>
            </w:r>
          </w:p>
        </w:tc>
      </w:tr>
      <w:tr>
        <w:trPr>
          <w:trHeight w:val="52"/>
        </w:trPr>
        <w:tc>
          <w:tcPr>
            <w:shd w:val="clear" w:color="auto" w:fill="ffffff"/>
            <w:tcW w:w="3054"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bCs/>
                <w:color w:val="000000"/>
                <w:lang w:eastAsia="zh-CN"/>
              </w:rPr>
              <w:t xml:space="preserve">5.    Капитализируемые ремонты</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78"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bCs/>
                <w:color w:val="000000"/>
                <w:lang w:eastAsia="zh-CN"/>
              </w:rPr>
              <w:t xml:space="preserve">20 проектов</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7"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bCs/>
                <w:color w:val="000000"/>
                <w:lang w:eastAsia="zh-CN"/>
              </w:rPr>
              <w:t xml:space="preserve">241,408</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9"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bCs/>
                <w:color w:val="000000"/>
                <w:lang w:eastAsia="zh-CN"/>
              </w:rPr>
              <w:t xml:space="preserve">135,613</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122"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bCs/>
                <w:color w:val="000000"/>
                <w:lang w:eastAsia="zh-CN"/>
              </w:rPr>
              <w:t xml:space="preserve">- 105,795</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2268"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bCs/>
                <w:color w:val="000000"/>
                <w:lang w:eastAsia="zh-CN"/>
              </w:rPr>
              <w:t xml:space="preserve"> </w:t>
            </w:r>
            <w:r>
              <w:rPr>
                <w:rFonts w:ascii="Arial Narrow" w:hAnsi="Arial Narrow" w:eastAsia="Times New Roman" w:cs="Times New Roman"/>
                <w:lang w:eastAsia="zh-CN"/>
              </w:rPr>
            </w:r>
            <w:r>
              <w:rPr>
                <w:rFonts w:ascii="Arial Narrow" w:hAnsi="Arial Narrow" w:eastAsia="Times New Roman" w:cs="Times New Roman"/>
                <w:lang w:eastAsia="zh-CN"/>
              </w:rPr>
            </w:r>
          </w:p>
        </w:tc>
      </w:tr>
      <w:tr>
        <w:trPr>
          <w:trHeight w:val="330"/>
        </w:trPr>
        <w:tc>
          <w:tcPr>
            <w:shd w:val="clear" w:color="auto" w:fill="ffffff"/>
            <w:tcW w:w="3054"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Капитальный ремонт турбины Р-44-9,0/0,12ЛМЗ ст. № 4</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78"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O_КТЭЦ_РЕМ_509-4109</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7"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69,266</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9"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0</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122"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- 69,266</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2268"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Продление ремонта до 21.02.2025 </w:t>
            </w:r>
            <w:r>
              <w:rPr>
                <w:rFonts w:ascii="Arial Narrow" w:hAnsi="Arial Narrow" w:eastAsia="Arial Narrow" w:cs="Times New Roman"/>
                <w:color w:val="000000"/>
                <w:lang w:eastAsia="zh-CN"/>
              </w:rPr>
              <w:t xml:space="preserve"> </w:t>
            </w:r>
            <w:r>
              <w:rPr>
                <w:rFonts w:ascii="Arial Narrow" w:hAnsi="Arial Narrow" w:eastAsia="Times New Roman" w:cs="Times New Roman"/>
                <w:color w:val="000000"/>
                <w:lang w:eastAsia="zh-CN"/>
              </w:rPr>
              <w:t xml:space="preserve">по причине выполнения дополнительных объемов работ </w:t>
            </w:r>
            <w:r>
              <w:rPr>
                <w:rFonts w:ascii="Arial Narrow" w:hAnsi="Arial Narrow" w:eastAsia="Arial Narrow" w:cs="Times New Roman"/>
                <w:color w:val="000000"/>
                <w:lang w:eastAsia="zh-CN"/>
              </w:rPr>
              <w:t xml:space="preserve"> </w:t>
            </w:r>
            <w:r>
              <w:rPr>
                <w:rFonts w:ascii="Arial Narrow" w:hAnsi="Arial Narrow" w:eastAsia="Times New Roman" w:cs="Times New Roman"/>
                <w:color w:val="000000"/>
                <w:lang w:eastAsia="zh-CN"/>
              </w:rPr>
              <w:t xml:space="preserve">по ремонту ротора генератора </w:t>
            </w:r>
            <w:r>
              <w:rPr>
                <w:rFonts w:ascii="Arial Narrow" w:hAnsi="Arial Narrow" w:eastAsia="Arial Narrow" w:cs="Times New Roman"/>
                <w:color w:val="000000"/>
                <w:lang w:eastAsia="zh-CN"/>
              </w:rPr>
              <w:t xml:space="preserve"> </w:t>
            </w:r>
            <w:r>
              <w:rPr>
                <w:rFonts w:ascii="Arial Narrow" w:hAnsi="Arial Narrow" w:eastAsia="Times New Roman" w:cs="Times New Roman"/>
                <w:color w:val="000000"/>
                <w:lang w:eastAsia="zh-CN"/>
              </w:rPr>
              <w:t xml:space="preserve">№</w:t>
            </w:r>
            <w:r>
              <w:rPr>
                <w:rFonts w:ascii="Arial Narrow" w:hAnsi="Arial Narrow" w:eastAsia="Arial Narrow" w:cs="Times New Roman"/>
                <w:color w:val="000000"/>
                <w:lang w:eastAsia="zh-CN"/>
              </w:rPr>
              <w:t xml:space="preserve"> </w:t>
            </w:r>
            <w:r>
              <w:rPr>
                <w:rFonts w:ascii="Arial Narrow" w:hAnsi="Arial Narrow" w:eastAsia="Times New Roman" w:cs="Times New Roman"/>
                <w:color w:val="000000"/>
                <w:lang w:eastAsia="zh-CN"/>
              </w:rPr>
              <w:t xml:space="preserve">4, а также длительной доставкой ротора на завод.</w:t>
            </w:r>
            <w:r>
              <w:rPr>
                <w:rFonts w:ascii="Arial Narrow" w:hAnsi="Arial Narrow" w:eastAsia="Times New Roman" w:cs="Times New Roman"/>
                <w:lang w:eastAsia="zh-CN"/>
              </w:rPr>
            </w:r>
            <w:r>
              <w:rPr>
                <w:rFonts w:ascii="Arial Narrow" w:hAnsi="Arial Narrow" w:eastAsia="Times New Roman" w:cs="Times New Roman"/>
                <w:lang w:eastAsia="zh-CN"/>
              </w:rPr>
            </w:r>
          </w:p>
        </w:tc>
      </w:tr>
      <w:tr>
        <w:trPr>
          <w:trHeight w:val="330"/>
        </w:trPr>
        <w:tc>
          <w:tcPr>
            <w:shd w:val="clear" w:color="auto" w:fill="ffffff"/>
            <w:tcW w:w="3054"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Капитальный ремонт котла БКЗ-120-100ГМ-2 ст. № 6</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78"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N_КТЭЦ_РЕМ_509-3674</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7"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17,337</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9"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0</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122"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-17,337</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2268"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Корректировка срока завершения </w:t>
            </w:r>
            <w:r>
              <w:rPr>
                <w:rFonts w:ascii="Arial Narrow" w:hAnsi="Arial Narrow" w:eastAsia="Arial Narrow" w:cs="Times New Roman"/>
                <w:color w:val="000000"/>
                <w:lang w:eastAsia="zh-CN"/>
              </w:rPr>
              <w:t xml:space="preserve"> </w:t>
            </w:r>
            <w:r>
              <w:rPr>
                <w:rFonts w:ascii="Arial Narrow" w:hAnsi="Arial Narrow" w:eastAsia="Times New Roman" w:cs="Times New Roman"/>
                <w:color w:val="000000"/>
                <w:lang w:eastAsia="zh-CN"/>
              </w:rPr>
              <w:t xml:space="preserve">ремонта. Закрытие работ в 1 кв. 2025 года.  </w:t>
            </w:r>
            <w:r>
              <w:rPr>
                <w:rFonts w:ascii="Arial Narrow" w:hAnsi="Arial Narrow" w:eastAsia="Times New Roman" w:cs="Times New Roman"/>
                <w:lang w:eastAsia="zh-CN"/>
              </w:rPr>
            </w:r>
            <w:r>
              <w:rPr>
                <w:rFonts w:ascii="Arial Narrow" w:hAnsi="Arial Narrow" w:eastAsia="Times New Roman" w:cs="Times New Roman"/>
                <w:lang w:eastAsia="zh-CN"/>
              </w:rPr>
            </w:r>
          </w:p>
        </w:tc>
      </w:tr>
      <w:tr>
        <w:trPr>
          <w:trHeight w:val="330"/>
        </w:trPr>
        <w:tc>
          <w:tcPr>
            <w:shd w:val="clear" w:color="auto" w:fill="ffffff"/>
            <w:tcW w:w="3054"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Капитальный ремонт ВЛ-6 кВ ф.17 "Посёлок"</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78"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O_ЦЭС_РЕМ_509-4135</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7"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12,810</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9"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0</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122"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- 12,810</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2268"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Корректировка срока завершения </w:t>
            </w:r>
            <w:r>
              <w:rPr>
                <w:rFonts w:ascii="Arial Narrow" w:hAnsi="Arial Narrow" w:eastAsia="Arial Narrow" w:cs="Times New Roman"/>
                <w:color w:val="000000"/>
                <w:lang w:eastAsia="zh-CN"/>
              </w:rPr>
              <w:t xml:space="preserve"> </w:t>
            </w:r>
            <w:r>
              <w:rPr>
                <w:rFonts w:ascii="Arial Narrow" w:hAnsi="Arial Narrow" w:eastAsia="Times New Roman" w:cs="Times New Roman"/>
                <w:color w:val="000000"/>
                <w:lang w:eastAsia="zh-CN"/>
              </w:rPr>
              <w:t xml:space="preserve">ремонта. Закрытие работ в 1 кв. 2025 года.  </w:t>
            </w:r>
            <w:r>
              <w:rPr>
                <w:rFonts w:ascii="Arial Narrow" w:hAnsi="Arial Narrow" w:eastAsia="Times New Roman" w:cs="Times New Roman"/>
                <w:lang w:eastAsia="zh-CN"/>
              </w:rPr>
            </w:r>
            <w:r>
              <w:rPr>
                <w:rFonts w:ascii="Arial Narrow" w:hAnsi="Arial Narrow" w:eastAsia="Times New Roman" w:cs="Times New Roman"/>
                <w:lang w:eastAsia="zh-CN"/>
              </w:rPr>
            </w:r>
          </w:p>
        </w:tc>
      </w:tr>
      <w:tr>
        <w:trPr>
          <w:trHeight w:val="330"/>
        </w:trPr>
        <w:tc>
          <w:tcPr>
            <w:shd w:val="clear" w:color="auto" w:fill="ffffff"/>
            <w:tcW w:w="3054"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Капитальный ремонт КЛ от ПС "КСИ 10 КВ 475-К- 476</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78"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O_ЦЭС_РЕМ_509-4364</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7"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11,043</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9"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0</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122"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- 11,043</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2268"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Корректировка срока завершения </w:t>
            </w:r>
            <w:r>
              <w:rPr>
                <w:rFonts w:ascii="Arial Narrow" w:hAnsi="Arial Narrow" w:eastAsia="Arial Narrow" w:cs="Times New Roman"/>
                <w:color w:val="000000"/>
                <w:lang w:eastAsia="zh-CN"/>
              </w:rPr>
              <w:t xml:space="preserve"> </w:t>
            </w:r>
            <w:r>
              <w:rPr>
                <w:rFonts w:ascii="Arial Narrow" w:hAnsi="Arial Narrow" w:eastAsia="Times New Roman" w:cs="Times New Roman"/>
                <w:color w:val="000000"/>
                <w:lang w:eastAsia="zh-CN"/>
              </w:rPr>
              <w:t xml:space="preserve">ремонта. Закрытие работ в 1 кв. 2025 года.  </w:t>
            </w:r>
            <w:r>
              <w:rPr>
                <w:rFonts w:ascii="Arial Narrow" w:hAnsi="Arial Narrow" w:eastAsia="Times New Roman" w:cs="Times New Roman"/>
                <w:lang w:eastAsia="zh-CN"/>
              </w:rPr>
            </w:r>
            <w:r>
              <w:rPr>
                <w:rFonts w:ascii="Arial Narrow" w:hAnsi="Arial Narrow" w:eastAsia="Times New Roman" w:cs="Times New Roman"/>
                <w:lang w:eastAsia="zh-CN"/>
              </w:rPr>
            </w:r>
          </w:p>
        </w:tc>
      </w:tr>
      <w:tr>
        <w:trPr>
          <w:trHeight w:val="330"/>
        </w:trPr>
        <w:tc>
          <w:tcPr>
            <w:shd w:val="clear" w:color="auto" w:fill="ffffff"/>
            <w:tcW w:w="3054"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Капитальный ремонт котла № 3 марки ТВГ-4 котельной № 6 г. Елизово</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78"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O_ФКЭ_РЕМ_509-4361</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7"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10,192</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9"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0</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122"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- 10,192</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2268"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Корректировка срока завершения </w:t>
            </w:r>
            <w:r>
              <w:rPr>
                <w:rFonts w:ascii="Arial Narrow" w:hAnsi="Arial Narrow" w:eastAsia="Arial Narrow" w:cs="Times New Roman"/>
                <w:color w:val="000000"/>
                <w:lang w:eastAsia="zh-CN"/>
              </w:rPr>
              <w:t xml:space="preserve"> </w:t>
            </w:r>
            <w:r>
              <w:rPr>
                <w:rFonts w:ascii="Arial Narrow" w:hAnsi="Arial Narrow" w:eastAsia="Times New Roman" w:cs="Times New Roman"/>
                <w:color w:val="000000"/>
                <w:lang w:eastAsia="zh-CN"/>
              </w:rPr>
              <w:t xml:space="preserve">ремонта. Закрытие работ в 1 кв. 2025 года.  </w:t>
            </w:r>
            <w:r>
              <w:rPr>
                <w:rFonts w:ascii="Arial Narrow" w:hAnsi="Arial Narrow" w:eastAsia="Times New Roman" w:cs="Times New Roman"/>
                <w:lang w:eastAsia="zh-CN"/>
              </w:rPr>
            </w:r>
            <w:r>
              <w:rPr>
                <w:rFonts w:ascii="Arial Narrow" w:hAnsi="Arial Narrow" w:eastAsia="Times New Roman" w:cs="Times New Roman"/>
                <w:lang w:eastAsia="zh-CN"/>
              </w:rPr>
            </w:r>
          </w:p>
        </w:tc>
      </w:tr>
      <w:tr>
        <w:trPr>
          <w:trHeight w:val="330"/>
        </w:trPr>
        <w:tc>
          <w:tcPr>
            <w:shd w:val="clear" w:color="auto" w:fill="ffffff"/>
            <w:tcW w:w="3054"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Капитальный ремонт ВЛ-10 кВ. "Райпо" от ПС "Коряки" участок ТП-К-7-ТП-К-15 - 3 км. Оп. No 75-144</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78"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O_ЦЭС_РЕМ_509-4363</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7"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7,370</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9"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0</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122"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- 7,370</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2268"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Актуализация объема работ по факту ремонта и как следствие переход затрат из капитализированных в операционные</w:t>
            </w:r>
            <w:r>
              <w:rPr>
                <w:rFonts w:ascii="Arial Narrow" w:hAnsi="Arial Narrow" w:eastAsia="Times New Roman" w:cs="Times New Roman"/>
                <w:lang w:eastAsia="zh-CN"/>
              </w:rPr>
            </w:r>
            <w:r>
              <w:rPr>
                <w:rFonts w:ascii="Arial Narrow" w:hAnsi="Arial Narrow" w:eastAsia="Times New Roman" w:cs="Times New Roman"/>
                <w:lang w:eastAsia="zh-CN"/>
              </w:rPr>
            </w:r>
          </w:p>
        </w:tc>
      </w:tr>
      <w:tr>
        <w:trPr>
          <w:trHeight w:val="52"/>
        </w:trPr>
        <w:tc>
          <w:tcPr>
            <w:shd w:val="clear" w:color="auto" w:fill="ffffff"/>
            <w:tcW w:w="3054"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Капитальный ремонт КЛ-10 кВ  ПС "КСИ" яч.19-к - ТП-13-10</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78"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O_ЦЭС_РЕМ_509-4140</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7"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0</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9"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6,275</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122"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6,275</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2268"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 Актуализация объема работ по факту ремонта и как следствие переход затрат из операционных</w:t>
            </w:r>
            <w:r>
              <w:rPr>
                <w:rFonts w:ascii="Arial Narrow" w:hAnsi="Arial Narrow" w:eastAsia="Times New Roman" w:cs="Times New Roman"/>
                <w:lang w:eastAsia="zh-CN"/>
              </w:rPr>
            </w:r>
            <w:r>
              <w:rPr>
                <w:rFonts w:ascii="Arial Narrow" w:hAnsi="Arial Narrow" w:eastAsia="Times New Roman" w:cs="Times New Roman"/>
                <w:lang w:eastAsia="zh-CN"/>
              </w:rPr>
            </w:r>
          </w:p>
          <w:p>
            <w:pPr>
              <w:jc w:val="both"/>
              <w:widowControl w:val="off"/>
              <w:rPr>
                <w:rFonts w:ascii="Arial Narrow" w:hAnsi="Arial Narrow" w:eastAsia="Times New Roman" w:cs="Times New Roman"/>
                <w:lang w:eastAsia="zh-CN"/>
              </w:rPr>
            </w:pPr>
            <w:r>
              <w:rPr>
                <w:rFonts w:ascii="Arial Narrow" w:hAnsi="Arial Narrow" w:eastAsia="Arial Narrow" w:cs="Times New Roman"/>
                <w:color w:val="000000"/>
                <w:lang w:eastAsia="zh-CN"/>
              </w:rPr>
              <w:t xml:space="preserve"> </w:t>
            </w:r>
            <w:r>
              <w:rPr>
                <w:rFonts w:ascii="Arial Narrow" w:hAnsi="Arial Narrow" w:eastAsia="Times New Roman" w:cs="Times New Roman"/>
                <w:color w:val="000000"/>
                <w:lang w:eastAsia="zh-CN"/>
              </w:rPr>
              <w:t xml:space="preserve">в капитализированные</w:t>
            </w:r>
            <w:r>
              <w:rPr>
                <w:rFonts w:ascii="Arial Narrow" w:hAnsi="Arial Narrow" w:eastAsia="Times New Roman" w:cs="Times New Roman"/>
                <w:lang w:eastAsia="zh-CN"/>
              </w:rPr>
            </w:r>
            <w:r>
              <w:rPr>
                <w:rFonts w:ascii="Arial Narrow" w:hAnsi="Arial Narrow" w:eastAsia="Times New Roman" w:cs="Times New Roman"/>
                <w:lang w:eastAsia="zh-CN"/>
              </w:rPr>
            </w:r>
          </w:p>
        </w:tc>
      </w:tr>
      <w:tr>
        <w:trPr>
          <w:trHeight w:val="330"/>
        </w:trPr>
        <w:tc>
          <w:tcPr>
            <w:shd w:val="clear" w:color="auto" w:fill="ffffff"/>
            <w:tcW w:w="3054"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Капитальный ремонт турбины Т-50-90-4 ЛМЗ ст. № 6 Камчатской ТЭЦ-1</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78"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O_КТЭЦ_РЕМ_509-4110</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7"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0</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9"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30,538</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122"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30,538</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2268"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 Актуализация объема работ по факту ремонта и как следствие переход затрат из операционных</w:t>
            </w:r>
            <w:r>
              <w:rPr>
                <w:rFonts w:ascii="Arial Narrow" w:hAnsi="Arial Narrow" w:eastAsia="Times New Roman" w:cs="Times New Roman"/>
                <w:lang w:eastAsia="zh-CN"/>
              </w:rPr>
            </w:r>
            <w:r>
              <w:rPr>
                <w:rFonts w:ascii="Arial Narrow" w:hAnsi="Arial Narrow" w:eastAsia="Times New Roman" w:cs="Times New Roman"/>
                <w:lang w:eastAsia="zh-CN"/>
              </w:rPr>
            </w:r>
          </w:p>
          <w:p>
            <w:pPr>
              <w:jc w:val="both"/>
              <w:widowControl w:val="off"/>
              <w:rPr>
                <w:rFonts w:ascii="Arial Narrow" w:hAnsi="Arial Narrow" w:eastAsia="Times New Roman" w:cs="Times New Roman"/>
                <w:lang w:eastAsia="zh-CN"/>
              </w:rPr>
            </w:pPr>
            <w:r>
              <w:rPr>
                <w:rFonts w:ascii="Arial Narrow" w:hAnsi="Arial Narrow" w:eastAsia="Arial Narrow" w:cs="Times New Roman"/>
                <w:color w:val="000000"/>
                <w:lang w:eastAsia="zh-CN"/>
              </w:rPr>
              <w:t xml:space="preserve"> </w:t>
            </w:r>
            <w:r>
              <w:rPr>
                <w:rFonts w:ascii="Arial Narrow" w:hAnsi="Arial Narrow" w:eastAsia="Times New Roman" w:cs="Times New Roman"/>
                <w:color w:val="000000"/>
                <w:lang w:eastAsia="zh-CN"/>
              </w:rPr>
              <w:t xml:space="preserve">в капитализированные</w:t>
            </w:r>
            <w:r>
              <w:rPr>
                <w:rFonts w:ascii="Arial Narrow" w:hAnsi="Arial Narrow" w:eastAsia="Times New Roman" w:cs="Times New Roman"/>
                <w:lang w:eastAsia="zh-CN"/>
              </w:rPr>
            </w:r>
            <w:r>
              <w:rPr>
                <w:rFonts w:ascii="Arial Narrow" w:hAnsi="Arial Narrow" w:eastAsia="Times New Roman" w:cs="Times New Roman"/>
                <w:lang w:eastAsia="zh-CN"/>
              </w:rPr>
            </w:r>
          </w:p>
        </w:tc>
      </w:tr>
      <w:tr>
        <w:trPr>
          <w:trHeight w:val="330"/>
        </w:trPr>
        <w:tc>
          <w:tcPr>
            <w:shd w:val="clear" w:color="auto" w:fill="ffffff"/>
            <w:tcW w:w="3054"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Прочие проекты</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78"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12 проектов</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7"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113,390</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229"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98,800</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1122" w:type="dxa"/>
            <w:vAlign w:val="center"/>
            <w:textDirection w:val="lrTb"/>
            <w:noWrap w:val="false"/>
          </w:tcPr>
          <w:p>
            <w:pPr>
              <w:jc w:val="center"/>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- 14,590</w:t>
            </w:r>
            <w:r>
              <w:rPr>
                <w:rFonts w:ascii="Arial Narrow" w:hAnsi="Arial Narrow" w:eastAsia="Times New Roman" w:cs="Times New Roman"/>
                <w:lang w:eastAsia="zh-CN"/>
              </w:rPr>
            </w:r>
            <w:r>
              <w:rPr>
                <w:rFonts w:ascii="Arial Narrow" w:hAnsi="Arial Narrow" w:eastAsia="Times New Roman" w:cs="Times New Roman"/>
                <w:lang w:eastAsia="zh-CN"/>
              </w:rPr>
            </w:r>
          </w:p>
        </w:tc>
        <w:tc>
          <w:tcPr>
            <w:shd w:val="clear" w:color="auto" w:fill="ffffff"/>
            <w:tcW w:w="2268" w:type="dxa"/>
            <w:vAlign w:val="center"/>
            <w:textDirection w:val="lrTb"/>
            <w:noWrap w:val="false"/>
          </w:tcPr>
          <w:p>
            <w:pPr>
              <w:jc w:val="both"/>
              <w:widowControl w:val="off"/>
              <w:rPr>
                <w:rFonts w:ascii="Arial Narrow" w:hAnsi="Arial Narrow" w:eastAsia="Times New Roman" w:cs="Times New Roman"/>
                <w:lang w:eastAsia="zh-CN"/>
              </w:rPr>
            </w:pPr>
            <w:r>
              <w:rPr>
                <w:rFonts w:ascii="Arial Narrow" w:hAnsi="Arial Narrow" w:eastAsia="Times New Roman" w:cs="Times New Roman"/>
                <w:color w:val="000000"/>
                <w:lang w:eastAsia="zh-CN"/>
              </w:rPr>
              <w:t xml:space="preserve"> </w:t>
            </w:r>
            <w:r>
              <w:rPr>
                <w:rFonts w:ascii="Arial Narrow" w:hAnsi="Arial Narrow" w:eastAsia="Times New Roman" w:cs="Times New Roman"/>
                <w:lang w:eastAsia="zh-CN"/>
              </w:rPr>
            </w:r>
            <w:r>
              <w:rPr>
                <w:rFonts w:ascii="Arial Narrow" w:hAnsi="Arial Narrow" w:eastAsia="Times New Roman" w:cs="Times New Roman"/>
                <w:lang w:eastAsia="zh-CN"/>
              </w:rPr>
            </w:r>
          </w:p>
        </w:tc>
      </w:tr>
    </w:tbl>
    <w:p>
      <w:pPr>
        <w:pStyle w:val="1063"/>
        <w:jc w:val="both"/>
        <w:rPr>
          <w:rFonts w:ascii="Arial Narrow" w:hAnsi="Arial Narrow" w:eastAsia="Calibri" w:cs="Calibri"/>
          <w:color w:val="314e87"/>
          <w:sz w:val="12"/>
          <w:szCs w:val="12"/>
          <w:lang w:eastAsia="ja-JP"/>
        </w:rPr>
      </w:pPr>
      <w:r>
        <w:rPr>
          <w:rFonts w:ascii="Arial Narrow" w:hAnsi="Arial Narrow" w:eastAsia="Calibri" w:cs="Calibri"/>
          <w:color w:val="314e87"/>
          <w:sz w:val="12"/>
          <w:szCs w:val="12"/>
          <w:lang w:eastAsia="ja-JP"/>
        </w:rPr>
      </w:r>
      <w:r>
        <w:rPr>
          <w:rFonts w:ascii="Arial Narrow" w:hAnsi="Arial Narrow" w:eastAsia="Calibri" w:cs="Calibri"/>
          <w:color w:val="314e87"/>
          <w:sz w:val="12"/>
          <w:szCs w:val="12"/>
          <w:lang w:eastAsia="ja-JP"/>
        </w:rPr>
      </w:r>
      <w:r>
        <w:rPr>
          <w:rFonts w:ascii="Arial Narrow" w:hAnsi="Arial Narrow" w:eastAsia="Calibri" w:cs="Calibri"/>
          <w:color w:val="314e87"/>
          <w:sz w:val="12"/>
          <w:szCs w:val="12"/>
          <w:lang w:eastAsia="ja-JP"/>
        </w:rPr>
      </w:r>
    </w:p>
    <w:p>
      <w:pPr>
        <w:pStyle w:val="1063"/>
        <w:jc w:val="both"/>
        <w:rPr>
          <w:rFonts w:ascii="Arial Narrow" w:hAnsi="Arial Narrow" w:eastAsia="Calibri" w:cs="Calibri"/>
          <w:b/>
          <w:color w:val="314e87"/>
          <w:lang w:eastAsia="ja-JP"/>
        </w:rPr>
      </w:pPr>
      <w:r>
        <w:rPr>
          <w:rFonts w:ascii="Arial Narrow" w:hAnsi="Arial Narrow" w:eastAsia="Calibri" w:cs="Calibri"/>
          <w:b/>
          <w:color w:val="314e87"/>
          <w:lang w:eastAsia="ja-JP"/>
        </w:rPr>
        <w:t xml:space="preserve">Принятие к учету основных средств и НМА в 2024 году</w:t>
      </w:r>
      <w:r>
        <w:rPr>
          <w:rFonts w:ascii="Arial Narrow" w:hAnsi="Arial Narrow" w:eastAsia="Calibri" w:cs="Calibri"/>
          <w:b/>
          <w:color w:val="314e87"/>
          <w:lang w:eastAsia="ja-JP"/>
        </w:rPr>
      </w:r>
      <w:r>
        <w:rPr>
          <w:rFonts w:ascii="Arial Narrow" w:hAnsi="Arial Narrow" w:eastAsia="Calibri" w:cs="Calibri"/>
          <w:b/>
          <w:color w:val="314e87"/>
          <w:lang w:eastAsia="ja-JP"/>
        </w:rPr>
      </w:r>
    </w:p>
    <w:p>
      <w:pPr>
        <w:pStyle w:val="1063"/>
        <w:jc w:val="right"/>
        <w:rPr>
          <w:lang w:val="en-US"/>
        </w:rPr>
      </w:pPr>
      <w:r>
        <w:rPr>
          <w:rFonts w:ascii="Arial Narrow" w:hAnsi="Arial Narrow" w:eastAsia="Calibri" w:cs="Calibri"/>
          <w:i/>
          <w:lang w:eastAsia="ja-JP"/>
        </w:rPr>
        <w:t xml:space="preserve">Таблица № 27</w:t>
      </w:r>
      <w:r>
        <w:rPr>
          <w:lang w:val="en-US"/>
        </w:rPr>
      </w:r>
      <w:r>
        <w:rPr>
          <w:lang w:val="en-US"/>
        </w:rPr>
      </w:r>
    </w:p>
    <w:tbl>
      <w:tblPr>
        <w:tblW w:w="5000" w:type="pct"/>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5" w:type="dxa"/>
          <w:top w:w="15" w:type="dxa"/>
          <w:right w:w="15" w:type="dxa"/>
        </w:tblCellMar>
        <w:tblLook w:val="04A0" w:firstRow="1" w:lastRow="0" w:firstColumn="1" w:lastColumn="0" w:noHBand="0" w:noVBand="1"/>
      </w:tblPr>
      <w:tblGrid>
        <w:gridCol w:w="2809"/>
        <w:gridCol w:w="847"/>
        <w:gridCol w:w="969"/>
        <w:gridCol w:w="833"/>
        <w:gridCol w:w="1247"/>
        <w:gridCol w:w="554"/>
        <w:gridCol w:w="2834"/>
      </w:tblGrid>
      <w:tr>
        <w:trPr>
          <w:trHeight w:val="25"/>
        </w:trPr>
        <w:tc>
          <w:tcPr>
            <w:shd w:val="clear" w:color="auto" w:fill="ffffff"/>
            <w:tcW w:w="2801" w:type="dxa"/>
            <w:vAlign w:val="center"/>
            <w:vMerge w:val="restart"/>
            <w:textDirection w:val="lrTb"/>
            <w:noWrap w:val="false"/>
          </w:tcPr>
          <w:p>
            <w:pPr>
              <w:pStyle w:val="1063"/>
              <w:jc w:val="center"/>
              <w:widowControl w:val="off"/>
              <w:rPr>
                <w:rFonts w:ascii="Arial Narrow" w:hAnsi="Arial Narrow"/>
                <w:sz w:val="20"/>
                <w:szCs w:val="20"/>
              </w:rPr>
            </w:pPr>
            <w:r>
              <w:rPr>
                <w:rFonts w:ascii="Arial Narrow" w:hAnsi="Arial Narrow"/>
                <w:bCs/>
                <w:color w:val="000000"/>
                <w:sz w:val="20"/>
                <w:szCs w:val="20"/>
              </w:rPr>
              <w:t xml:space="preserve">Показатель</w:t>
            </w:r>
            <w:r>
              <w:rPr>
                <w:rFonts w:ascii="Arial Narrow" w:hAnsi="Arial Narrow"/>
                <w:sz w:val="20"/>
                <w:szCs w:val="20"/>
              </w:rPr>
            </w:r>
            <w:r>
              <w:rPr>
                <w:rFonts w:ascii="Arial Narrow" w:hAnsi="Arial Narrow"/>
                <w:sz w:val="20"/>
                <w:szCs w:val="20"/>
              </w:rPr>
            </w:r>
          </w:p>
        </w:tc>
        <w:tc>
          <w:tcPr>
            <w:shd w:val="clear" w:color="auto" w:fill="ffffff"/>
            <w:tcW w:w="845" w:type="dxa"/>
            <w:vAlign w:val="center"/>
            <w:vMerge w:val="restart"/>
            <w:textDirection w:val="lrTb"/>
            <w:noWrap w:val="false"/>
          </w:tcPr>
          <w:p>
            <w:pPr>
              <w:pStyle w:val="1063"/>
              <w:jc w:val="center"/>
              <w:widowControl w:val="off"/>
              <w:rPr>
                <w:rFonts w:ascii="Arial Narrow" w:hAnsi="Arial Narrow"/>
                <w:sz w:val="20"/>
                <w:szCs w:val="20"/>
              </w:rPr>
            </w:pPr>
            <w:r>
              <w:rPr>
                <w:rFonts w:ascii="Arial Narrow" w:hAnsi="Arial Narrow"/>
                <w:bCs/>
                <w:color w:val="000000"/>
                <w:sz w:val="20"/>
                <w:szCs w:val="20"/>
              </w:rPr>
              <w:t xml:space="preserve">ID</w:t>
            </w:r>
            <w:r>
              <w:rPr>
                <w:rFonts w:ascii="Arial Narrow" w:hAnsi="Arial Narrow"/>
                <w:sz w:val="20"/>
                <w:szCs w:val="20"/>
              </w:rPr>
            </w:r>
            <w:r>
              <w:rPr>
                <w:rFonts w:ascii="Arial Narrow" w:hAnsi="Arial Narrow"/>
                <w:sz w:val="20"/>
                <w:szCs w:val="20"/>
              </w:rPr>
            </w:r>
          </w:p>
        </w:tc>
        <w:tc>
          <w:tcPr>
            <w:gridSpan w:val="2"/>
            <w:shd w:val="clear" w:color="auto" w:fill="ffffff"/>
            <w:tcW w:w="1796" w:type="dxa"/>
            <w:vAlign w:val="center"/>
            <w:textDirection w:val="lrTb"/>
            <w:noWrap w:val="false"/>
          </w:tcPr>
          <w:p>
            <w:pPr>
              <w:pStyle w:val="1063"/>
              <w:jc w:val="center"/>
              <w:widowControl w:val="off"/>
              <w:rPr>
                <w:rFonts w:ascii="Arial Narrow" w:hAnsi="Arial Narrow"/>
                <w:sz w:val="20"/>
                <w:szCs w:val="20"/>
              </w:rPr>
            </w:pPr>
            <w:r>
              <w:rPr>
                <w:rFonts w:ascii="Arial Narrow" w:hAnsi="Arial Narrow"/>
                <w:bCs/>
                <w:color w:val="000000"/>
                <w:sz w:val="20"/>
                <w:szCs w:val="20"/>
              </w:rPr>
              <w:t xml:space="preserve">2024 год</w:t>
            </w:r>
            <w:r>
              <w:rPr>
                <w:rFonts w:ascii="Arial Narrow" w:hAnsi="Arial Narrow"/>
                <w:sz w:val="20"/>
                <w:szCs w:val="20"/>
              </w:rPr>
            </w:r>
            <w:r>
              <w:rPr>
                <w:rFonts w:ascii="Arial Narrow" w:hAnsi="Arial Narrow"/>
                <w:sz w:val="20"/>
                <w:szCs w:val="20"/>
              </w:rPr>
            </w:r>
          </w:p>
        </w:tc>
        <w:tc>
          <w:tcPr>
            <w:gridSpan w:val="2"/>
            <w:shd w:val="clear" w:color="auto" w:fill="ffffff"/>
            <w:tcW w:w="1795" w:type="dxa"/>
            <w:vAlign w:val="center"/>
            <w:textDirection w:val="lrTb"/>
            <w:noWrap w:val="false"/>
          </w:tcPr>
          <w:p>
            <w:pPr>
              <w:pStyle w:val="1063"/>
              <w:jc w:val="center"/>
              <w:widowControl w:val="off"/>
              <w:rPr>
                <w:rFonts w:ascii="Arial Narrow" w:hAnsi="Arial Narrow"/>
                <w:sz w:val="20"/>
                <w:szCs w:val="20"/>
              </w:rPr>
            </w:pPr>
            <w:r>
              <w:rPr>
                <w:rFonts w:ascii="Arial Narrow" w:hAnsi="Arial Narrow"/>
                <w:bCs/>
                <w:color w:val="000000"/>
                <w:sz w:val="20"/>
                <w:szCs w:val="20"/>
              </w:rPr>
              <w:t xml:space="preserve">Отклонение</w:t>
            </w:r>
            <w:r>
              <w:rPr>
                <w:rFonts w:ascii="Arial Narrow" w:hAnsi="Arial Narrow"/>
                <w:sz w:val="20"/>
                <w:szCs w:val="20"/>
              </w:rPr>
            </w:r>
            <w:r>
              <w:rPr>
                <w:rFonts w:ascii="Arial Narrow" w:hAnsi="Arial Narrow"/>
                <w:sz w:val="20"/>
                <w:szCs w:val="20"/>
              </w:rPr>
            </w:r>
          </w:p>
        </w:tc>
        <w:tc>
          <w:tcPr>
            <w:shd w:val="clear" w:color="auto" w:fill="ffffff"/>
            <w:tcW w:w="2825" w:type="dxa"/>
            <w:vAlign w:val="center"/>
            <w:vMerge w:val="restart"/>
            <w:textDirection w:val="lrTb"/>
            <w:noWrap w:val="false"/>
          </w:tcPr>
          <w:p>
            <w:pPr>
              <w:pStyle w:val="1063"/>
              <w:jc w:val="center"/>
              <w:widowControl w:val="off"/>
              <w:rPr>
                <w:rFonts w:ascii="Arial Narrow" w:hAnsi="Arial Narrow"/>
                <w:bCs/>
                <w:color w:val="000000"/>
                <w:sz w:val="20"/>
                <w:szCs w:val="20"/>
              </w:rPr>
            </w:pPr>
            <w:r>
              <w:rPr>
                <w:rFonts w:ascii="Arial Narrow" w:hAnsi="Arial Narrow"/>
                <w:bCs/>
                <w:color w:val="000000"/>
                <w:sz w:val="20"/>
                <w:szCs w:val="20"/>
              </w:rPr>
              <w:t xml:space="preserve">Причины отклонений</w:t>
            </w:r>
            <w:r>
              <w:rPr>
                <w:rFonts w:ascii="Arial Narrow" w:hAnsi="Arial Narrow"/>
                <w:bCs/>
                <w:color w:val="000000"/>
                <w:sz w:val="20"/>
                <w:szCs w:val="20"/>
              </w:rPr>
            </w:r>
            <w:r>
              <w:rPr>
                <w:rFonts w:ascii="Arial Narrow" w:hAnsi="Arial Narrow"/>
                <w:bCs/>
                <w:color w:val="000000"/>
                <w:sz w:val="20"/>
                <w:szCs w:val="20"/>
              </w:rPr>
            </w:r>
          </w:p>
        </w:tc>
      </w:tr>
      <w:tr>
        <w:trPr>
          <w:trHeight w:val="23"/>
        </w:trPr>
        <w:tc>
          <w:tcPr>
            <w:shd w:val="clear" w:color="auto" w:fill="ffffff"/>
            <w:tcW w:w="2801" w:type="dxa"/>
            <w:vAlign w:val="center"/>
            <w:vMerge w:val="continue"/>
            <w:textDirection w:val="lrTb"/>
            <w:noWrap w:val="false"/>
          </w:tcPr>
          <w:p>
            <w:pPr>
              <w:pStyle w:val="1062"/>
              <w:rPr>
                <w:rFonts w:ascii="Arial Narrow" w:hAnsi="Arial Narrow"/>
                <w:sz w:val="20"/>
                <w:szCs w:val="20"/>
              </w:rPr>
            </w:pPr>
            <w:r>
              <w:rPr>
                <w:rFonts w:ascii="Arial Narrow" w:hAnsi="Arial Narrow"/>
                <w:sz w:val="20"/>
                <w:szCs w:val="20"/>
              </w:rPr>
            </w:r>
            <w:r>
              <w:rPr>
                <w:rFonts w:ascii="Arial Narrow" w:hAnsi="Arial Narrow"/>
                <w:sz w:val="20"/>
                <w:szCs w:val="20"/>
              </w:rPr>
            </w:r>
            <w:r>
              <w:rPr>
                <w:rFonts w:ascii="Arial Narrow" w:hAnsi="Arial Narrow"/>
                <w:sz w:val="20"/>
                <w:szCs w:val="20"/>
              </w:rPr>
            </w:r>
          </w:p>
        </w:tc>
        <w:tc>
          <w:tcPr>
            <w:shd w:val="clear" w:color="auto" w:fill="ffffff"/>
            <w:tcW w:w="845" w:type="dxa"/>
            <w:vAlign w:val="center"/>
            <w:vMerge w:val="continue"/>
            <w:textDirection w:val="lrTb"/>
            <w:noWrap w:val="false"/>
          </w:tcPr>
          <w:p>
            <w:pPr>
              <w:pStyle w:val="1062"/>
              <w:rPr>
                <w:rFonts w:ascii="Arial Narrow" w:hAnsi="Arial Narrow"/>
                <w:sz w:val="20"/>
                <w:szCs w:val="20"/>
              </w:rPr>
            </w:pPr>
            <w:r>
              <w:rPr>
                <w:rFonts w:ascii="Arial Narrow" w:hAnsi="Arial Narrow"/>
                <w:sz w:val="20"/>
                <w:szCs w:val="20"/>
              </w:rPr>
            </w:r>
            <w:r>
              <w:rPr>
                <w:rFonts w:ascii="Arial Narrow" w:hAnsi="Arial Narrow"/>
                <w:sz w:val="20"/>
                <w:szCs w:val="20"/>
              </w:rPr>
            </w:r>
            <w:r>
              <w:rPr>
                <w:rFonts w:ascii="Arial Narrow" w:hAnsi="Arial Narrow"/>
                <w:sz w:val="20"/>
                <w:szCs w:val="20"/>
              </w:rPr>
            </w:r>
          </w:p>
        </w:tc>
        <w:tc>
          <w:tcPr>
            <w:shd w:val="clear" w:color="auto" w:fill="ffffff"/>
            <w:tcW w:w="966" w:type="dxa"/>
            <w:vAlign w:val="center"/>
            <w:textDirection w:val="lrTb"/>
            <w:noWrap w:val="false"/>
          </w:tcPr>
          <w:p>
            <w:pPr>
              <w:pStyle w:val="1063"/>
              <w:jc w:val="center"/>
              <w:widowControl w:val="off"/>
              <w:rPr>
                <w:rFonts w:ascii="Arial Narrow" w:hAnsi="Arial Narrow"/>
                <w:sz w:val="20"/>
                <w:szCs w:val="20"/>
              </w:rPr>
            </w:pPr>
            <w:r>
              <w:rPr>
                <w:rFonts w:ascii="Arial Narrow" w:hAnsi="Arial Narrow"/>
                <w:bCs/>
                <w:color w:val="000000"/>
                <w:sz w:val="20"/>
                <w:szCs w:val="20"/>
              </w:rPr>
              <w:t xml:space="preserve">План</w:t>
            </w:r>
            <w:r>
              <w:rPr>
                <w:rFonts w:ascii="Arial Narrow" w:hAnsi="Arial Narrow"/>
                <w:sz w:val="20"/>
                <w:szCs w:val="20"/>
              </w:rPr>
            </w:r>
            <w:r>
              <w:rPr>
                <w:rFonts w:ascii="Arial Narrow" w:hAnsi="Arial Narrow"/>
                <w:sz w:val="20"/>
                <w:szCs w:val="20"/>
              </w:rPr>
            </w:r>
          </w:p>
        </w:tc>
        <w:tc>
          <w:tcPr>
            <w:shd w:val="clear" w:color="auto" w:fill="ffffff"/>
            <w:tcW w:w="830" w:type="dxa"/>
            <w:vAlign w:val="center"/>
            <w:textDirection w:val="lrTb"/>
            <w:noWrap w:val="false"/>
          </w:tcPr>
          <w:p>
            <w:pPr>
              <w:pStyle w:val="1063"/>
              <w:jc w:val="center"/>
              <w:widowControl w:val="off"/>
              <w:rPr>
                <w:rFonts w:ascii="Arial Narrow" w:hAnsi="Arial Narrow"/>
                <w:sz w:val="20"/>
                <w:szCs w:val="20"/>
              </w:rPr>
            </w:pPr>
            <w:r>
              <w:rPr>
                <w:rFonts w:ascii="Arial Narrow" w:hAnsi="Arial Narrow"/>
                <w:bCs/>
                <w:color w:val="000000"/>
                <w:sz w:val="20"/>
                <w:szCs w:val="20"/>
              </w:rPr>
              <w:t xml:space="preserve">Факт</w:t>
            </w:r>
            <w:r>
              <w:rPr>
                <w:rFonts w:ascii="Arial Narrow" w:hAnsi="Arial Narrow"/>
                <w:sz w:val="20"/>
                <w:szCs w:val="20"/>
              </w:rPr>
            </w:r>
            <w:r>
              <w:rPr>
                <w:rFonts w:ascii="Arial Narrow" w:hAnsi="Arial Narrow"/>
                <w:sz w:val="20"/>
                <w:szCs w:val="20"/>
              </w:rPr>
            </w:r>
          </w:p>
        </w:tc>
        <w:tc>
          <w:tcPr>
            <w:shd w:val="clear" w:color="auto" w:fill="ffffff"/>
            <w:tcW w:w="1243" w:type="dxa"/>
            <w:vAlign w:val="center"/>
            <w:textDirection w:val="lrTb"/>
            <w:noWrap w:val="false"/>
          </w:tcPr>
          <w:p>
            <w:pPr>
              <w:pStyle w:val="1063"/>
              <w:jc w:val="center"/>
              <w:widowControl w:val="off"/>
              <w:rPr>
                <w:rFonts w:ascii="Arial Narrow" w:hAnsi="Arial Narrow"/>
                <w:sz w:val="20"/>
                <w:szCs w:val="20"/>
              </w:rPr>
            </w:pPr>
            <w:r>
              <w:rPr>
                <w:rFonts w:ascii="Arial Narrow" w:hAnsi="Arial Narrow"/>
                <w:bCs/>
                <w:color w:val="000000"/>
                <w:sz w:val="20"/>
                <w:szCs w:val="20"/>
              </w:rPr>
              <w:t xml:space="preserve">Абсолютное</w:t>
            </w:r>
            <w:r>
              <w:rPr>
                <w:rFonts w:ascii="Arial Narrow" w:hAnsi="Arial Narrow"/>
                <w:sz w:val="20"/>
                <w:szCs w:val="20"/>
              </w:rPr>
            </w:r>
            <w:r>
              <w:rPr>
                <w:rFonts w:ascii="Arial Narrow" w:hAnsi="Arial Narrow"/>
                <w:sz w:val="20"/>
                <w:szCs w:val="20"/>
              </w:rPr>
            </w:r>
          </w:p>
        </w:tc>
        <w:tc>
          <w:tcPr>
            <w:shd w:val="clear" w:color="auto" w:fill="ffffff"/>
            <w:tcW w:w="552" w:type="dxa"/>
            <w:vAlign w:val="center"/>
            <w:textDirection w:val="lrTb"/>
            <w:noWrap w:val="false"/>
          </w:tcPr>
          <w:p>
            <w:pPr>
              <w:pStyle w:val="1063"/>
              <w:jc w:val="center"/>
              <w:widowControl w:val="off"/>
              <w:rPr>
                <w:rFonts w:ascii="Arial Narrow" w:hAnsi="Arial Narrow"/>
                <w:sz w:val="20"/>
                <w:szCs w:val="20"/>
              </w:rPr>
            </w:pPr>
            <w:r>
              <w:rPr>
                <w:rFonts w:ascii="Arial Narrow" w:hAnsi="Arial Narrow"/>
                <w:bCs/>
                <w:color w:val="000000"/>
                <w:sz w:val="20"/>
                <w:szCs w:val="20"/>
              </w:rPr>
              <w:t xml:space="preserve">%</w:t>
            </w:r>
            <w:r>
              <w:rPr>
                <w:rFonts w:ascii="Arial Narrow" w:hAnsi="Arial Narrow"/>
                <w:sz w:val="20"/>
                <w:szCs w:val="20"/>
              </w:rPr>
            </w:r>
            <w:r>
              <w:rPr>
                <w:rFonts w:ascii="Arial Narrow" w:hAnsi="Arial Narrow"/>
                <w:sz w:val="20"/>
                <w:szCs w:val="20"/>
              </w:rPr>
            </w:r>
          </w:p>
        </w:tc>
        <w:tc>
          <w:tcPr>
            <w:shd w:val="clear" w:color="auto" w:fill="ffffff"/>
            <w:tcW w:w="2825" w:type="dxa"/>
            <w:vAlign w:val="center"/>
            <w:vMerge w:val="continue"/>
            <w:textDirection w:val="lrTb"/>
            <w:noWrap w:val="false"/>
          </w:tcPr>
          <w:p>
            <w:pPr>
              <w:pStyle w:val="1062"/>
              <w:jc w:val="both"/>
              <w:rPr>
                <w:rFonts w:ascii="Arial Narrow" w:hAnsi="Arial Narrow"/>
                <w:sz w:val="20"/>
                <w:szCs w:val="20"/>
              </w:rPr>
            </w:pPr>
            <w:r>
              <w:rPr>
                <w:rFonts w:ascii="Arial Narrow" w:hAnsi="Arial Narrow"/>
                <w:sz w:val="20"/>
                <w:szCs w:val="20"/>
              </w:rPr>
            </w:r>
            <w:r>
              <w:rPr>
                <w:rFonts w:ascii="Arial Narrow" w:hAnsi="Arial Narrow"/>
                <w:sz w:val="20"/>
                <w:szCs w:val="20"/>
              </w:rPr>
            </w:r>
            <w:r>
              <w:rPr>
                <w:rFonts w:ascii="Arial Narrow" w:hAnsi="Arial Narrow"/>
                <w:sz w:val="20"/>
                <w:szCs w:val="20"/>
              </w:rPr>
            </w:r>
          </w:p>
        </w:tc>
      </w:tr>
      <w:tr>
        <w:trPr>
          <w:trHeight w:val="23"/>
        </w:trPr>
        <w:tc>
          <w:tcPr>
            <w:gridSpan w:val="7"/>
            <w:shd w:val="clear" w:color="auto" w:fill="ffffff"/>
            <w:tcW w:w="10062" w:type="dxa"/>
            <w:vAlign w:val="center"/>
            <w:textDirection w:val="lrTb"/>
            <w:noWrap w:val="false"/>
          </w:tcPr>
          <w:p>
            <w:pPr>
              <w:pStyle w:val="1063"/>
              <w:jc w:val="center"/>
              <w:widowControl w:val="off"/>
              <w:rPr>
                <w:rFonts w:ascii="Arial Narrow" w:hAnsi="Arial Narrow"/>
                <w:sz w:val="20"/>
                <w:szCs w:val="20"/>
              </w:rPr>
            </w:pPr>
            <w:r>
              <w:rPr>
                <w:rFonts w:ascii="Arial Narrow" w:hAnsi="Arial Narrow"/>
                <w:bCs/>
                <w:color w:val="000000"/>
                <w:sz w:val="20"/>
                <w:szCs w:val="20"/>
              </w:rPr>
              <w:t xml:space="preserve">Принятие к учету основных средств и НМА</w:t>
            </w:r>
            <w:r>
              <w:rPr>
                <w:rFonts w:ascii="Arial Narrow" w:hAnsi="Arial Narrow"/>
                <w:sz w:val="20"/>
                <w:szCs w:val="20"/>
              </w:rPr>
            </w:r>
            <w:r>
              <w:rPr>
                <w:rFonts w:ascii="Arial Narrow" w:hAnsi="Arial Narrow"/>
                <w:sz w:val="20"/>
                <w:szCs w:val="20"/>
              </w:rPr>
            </w:r>
          </w:p>
        </w:tc>
      </w:tr>
      <w:tr>
        <w:trPr>
          <w:trHeight w:val="23"/>
        </w:trPr>
        <w:tc>
          <w:tcPr>
            <w:shd w:val="clear" w:color="auto" w:fill="ffffff"/>
            <w:tcW w:w="2801" w:type="dxa"/>
            <w:vAlign w:val="center"/>
            <w:textDirection w:val="lrTb"/>
            <w:noWrap w:val="false"/>
          </w:tcPr>
          <w:p>
            <w:pPr>
              <w:pStyle w:val="1063"/>
              <w:jc w:val="both"/>
              <w:widowControl w:val="off"/>
              <w:rPr>
                <w:rFonts w:ascii="Arial Narrow" w:hAnsi="Arial Narrow"/>
                <w:sz w:val="20"/>
                <w:szCs w:val="20"/>
              </w:rPr>
            </w:pPr>
            <w:r>
              <w:rPr>
                <w:rFonts w:ascii="Arial Narrow" w:hAnsi="Arial Narrow"/>
                <w:bCs/>
                <w:color w:val="000000"/>
                <w:sz w:val="20"/>
                <w:szCs w:val="20"/>
              </w:rPr>
              <w:t xml:space="preserve">Всего по ПАО «Камчатскэнерго», </w:t>
            </w:r>
            <w:r>
              <w:rPr>
                <w:rFonts w:ascii="Arial Narrow" w:hAnsi="Arial Narrow"/>
                <w:bCs/>
                <w:color w:val="000000"/>
                <w:sz w:val="20"/>
                <w:szCs w:val="20"/>
              </w:rPr>
              <w:br/>
              <w:t xml:space="preserve">в том числе:</w:t>
            </w:r>
            <w:r>
              <w:rPr>
                <w:rFonts w:ascii="Arial Narrow" w:hAnsi="Arial Narrow"/>
                <w:sz w:val="20"/>
                <w:szCs w:val="20"/>
              </w:rPr>
            </w:r>
            <w:r>
              <w:rPr>
                <w:rFonts w:ascii="Arial Narrow" w:hAnsi="Arial Narrow"/>
                <w:sz w:val="20"/>
                <w:szCs w:val="20"/>
              </w:rPr>
            </w:r>
          </w:p>
        </w:tc>
        <w:tc>
          <w:tcPr>
            <w:shd w:val="clear" w:color="auto" w:fill="ffffff"/>
            <w:tcW w:w="845" w:type="dxa"/>
            <w:vAlign w:val="center"/>
            <w:textDirection w:val="lrTb"/>
            <w:noWrap w:val="false"/>
          </w:tcPr>
          <w:p>
            <w:pPr>
              <w:pStyle w:val="1063"/>
              <w:jc w:val="center"/>
              <w:widowControl w:val="off"/>
              <w:rPr>
                <w:rFonts w:ascii="Arial Narrow" w:hAnsi="Arial Narrow"/>
                <w:sz w:val="20"/>
                <w:szCs w:val="20"/>
              </w:rPr>
            </w:pPr>
            <w:r>
              <w:rPr>
                <w:rFonts w:ascii="Arial Narrow" w:hAnsi="Arial Narrow"/>
                <w:bCs/>
                <w:color w:val="000000"/>
                <w:sz w:val="20"/>
                <w:szCs w:val="20"/>
              </w:rPr>
              <w:t xml:space="preserve">224 проекта</w:t>
            </w:r>
            <w:r>
              <w:rPr>
                <w:rFonts w:ascii="Arial Narrow" w:hAnsi="Arial Narrow"/>
                <w:sz w:val="20"/>
                <w:szCs w:val="20"/>
              </w:rPr>
            </w:r>
            <w:r>
              <w:rPr>
                <w:rFonts w:ascii="Arial Narrow" w:hAnsi="Arial Narrow"/>
                <w:sz w:val="20"/>
                <w:szCs w:val="20"/>
              </w:rPr>
            </w:r>
          </w:p>
        </w:tc>
        <w:tc>
          <w:tcPr>
            <w:shd w:val="clear" w:color="auto" w:fill="ffffff"/>
            <w:tcW w:w="966" w:type="dxa"/>
            <w:vAlign w:val="center"/>
            <w:textDirection w:val="lrTb"/>
            <w:noWrap w:val="false"/>
          </w:tcPr>
          <w:p>
            <w:pPr>
              <w:pStyle w:val="1063"/>
              <w:jc w:val="center"/>
              <w:widowControl w:val="off"/>
              <w:rPr>
                <w:rFonts w:ascii="Arial Narrow" w:hAnsi="Arial Narrow"/>
                <w:sz w:val="20"/>
                <w:szCs w:val="20"/>
              </w:rPr>
            </w:pPr>
            <w:r>
              <w:rPr>
                <w:rFonts w:ascii="Arial Narrow" w:hAnsi="Arial Narrow"/>
                <w:bCs/>
                <w:color w:val="000000"/>
                <w:sz w:val="20"/>
                <w:szCs w:val="20"/>
              </w:rPr>
              <w:t xml:space="preserve">6 787,182</w:t>
            </w:r>
            <w:r>
              <w:rPr>
                <w:rFonts w:ascii="Arial Narrow" w:hAnsi="Arial Narrow"/>
                <w:sz w:val="20"/>
                <w:szCs w:val="20"/>
              </w:rPr>
            </w:r>
            <w:r>
              <w:rPr>
                <w:rFonts w:ascii="Arial Narrow" w:hAnsi="Arial Narrow"/>
                <w:sz w:val="20"/>
                <w:szCs w:val="20"/>
              </w:rPr>
            </w:r>
          </w:p>
        </w:tc>
        <w:tc>
          <w:tcPr>
            <w:shd w:val="clear" w:color="auto" w:fill="ffffff"/>
            <w:tcW w:w="830" w:type="dxa"/>
            <w:vAlign w:val="center"/>
            <w:textDirection w:val="lrTb"/>
            <w:noWrap w:val="false"/>
          </w:tcPr>
          <w:p>
            <w:pPr>
              <w:pStyle w:val="1063"/>
              <w:jc w:val="center"/>
              <w:widowControl w:val="off"/>
              <w:rPr>
                <w:rFonts w:ascii="Arial Narrow" w:hAnsi="Arial Narrow"/>
                <w:sz w:val="20"/>
                <w:szCs w:val="20"/>
              </w:rPr>
            </w:pPr>
            <w:r>
              <w:rPr>
                <w:rFonts w:ascii="Arial Narrow" w:hAnsi="Arial Narrow"/>
                <w:bCs/>
                <w:color w:val="000000"/>
                <w:sz w:val="20"/>
                <w:szCs w:val="20"/>
              </w:rPr>
              <w:t xml:space="preserve">2 325,289</w:t>
            </w:r>
            <w:r>
              <w:rPr>
                <w:rFonts w:ascii="Arial Narrow" w:hAnsi="Arial Narrow"/>
                <w:sz w:val="20"/>
                <w:szCs w:val="20"/>
              </w:rPr>
            </w:r>
            <w:r>
              <w:rPr>
                <w:rFonts w:ascii="Arial Narrow" w:hAnsi="Arial Narrow"/>
                <w:sz w:val="20"/>
                <w:szCs w:val="20"/>
              </w:rPr>
            </w:r>
          </w:p>
        </w:tc>
        <w:tc>
          <w:tcPr>
            <w:shd w:val="clear" w:color="auto" w:fill="ffffff"/>
            <w:tcW w:w="1243" w:type="dxa"/>
            <w:vAlign w:val="center"/>
            <w:textDirection w:val="lrTb"/>
            <w:noWrap w:val="false"/>
          </w:tcPr>
          <w:p>
            <w:pPr>
              <w:pStyle w:val="1063"/>
              <w:jc w:val="center"/>
              <w:widowControl w:val="off"/>
              <w:rPr>
                <w:rFonts w:ascii="Arial Narrow" w:hAnsi="Arial Narrow"/>
                <w:sz w:val="20"/>
                <w:szCs w:val="20"/>
              </w:rPr>
            </w:pPr>
            <w:r>
              <w:rPr>
                <w:rFonts w:ascii="Arial Narrow" w:hAnsi="Arial Narrow"/>
                <w:bCs/>
                <w:color w:val="000000"/>
                <w:sz w:val="20"/>
                <w:szCs w:val="20"/>
              </w:rPr>
              <w:t xml:space="preserve">- 4 461,893</w:t>
            </w:r>
            <w:r>
              <w:rPr>
                <w:rFonts w:ascii="Arial Narrow" w:hAnsi="Arial Narrow"/>
                <w:sz w:val="20"/>
                <w:szCs w:val="20"/>
              </w:rPr>
            </w:r>
            <w:r>
              <w:rPr>
                <w:rFonts w:ascii="Arial Narrow" w:hAnsi="Arial Narrow"/>
                <w:sz w:val="20"/>
                <w:szCs w:val="20"/>
              </w:rPr>
            </w:r>
          </w:p>
        </w:tc>
        <w:tc>
          <w:tcPr>
            <w:shd w:val="clear" w:color="auto" w:fill="ffffff"/>
            <w:tcW w:w="552" w:type="dxa"/>
            <w:vAlign w:val="center"/>
            <w:textDirection w:val="lrTb"/>
            <w:noWrap w:val="false"/>
          </w:tcPr>
          <w:p>
            <w:pPr>
              <w:pStyle w:val="1063"/>
              <w:jc w:val="center"/>
              <w:widowControl w:val="off"/>
              <w:rPr>
                <w:rFonts w:ascii="Arial Narrow" w:hAnsi="Arial Narrow"/>
                <w:sz w:val="20"/>
                <w:szCs w:val="20"/>
              </w:rPr>
            </w:pPr>
            <w:r>
              <w:rPr>
                <w:rFonts w:ascii="Arial Narrow" w:hAnsi="Arial Narrow"/>
                <w:bCs/>
                <w:color w:val="000000"/>
                <w:sz w:val="20"/>
                <w:szCs w:val="20"/>
              </w:rPr>
              <w:t xml:space="preserve">34</w:t>
            </w:r>
            <w:r>
              <w:rPr>
                <w:rFonts w:ascii="Arial Narrow" w:hAnsi="Arial Narrow"/>
                <w:sz w:val="20"/>
                <w:szCs w:val="20"/>
              </w:rPr>
            </w:r>
            <w:r>
              <w:rPr>
                <w:rFonts w:ascii="Arial Narrow" w:hAnsi="Arial Narrow"/>
                <w:sz w:val="20"/>
                <w:szCs w:val="20"/>
              </w:rPr>
            </w:r>
          </w:p>
        </w:tc>
        <w:tc>
          <w:tcPr>
            <w:shd w:val="clear" w:color="auto" w:fill="ffffff"/>
            <w:tcW w:w="2825" w:type="dxa"/>
            <w:vAlign w:val="center"/>
            <w:textDirection w:val="lrTb"/>
            <w:noWrap w:val="false"/>
          </w:tcPr>
          <w:p>
            <w:pPr>
              <w:pStyle w:val="1063"/>
              <w:jc w:val="both"/>
              <w:widowControl w:val="off"/>
              <w:rPr>
                <w:rFonts w:ascii="Arial Narrow" w:hAnsi="Arial Narrow"/>
                <w:sz w:val="20"/>
                <w:szCs w:val="20"/>
              </w:rPr>
            </w:pPr>
            <w:r>
              <w:rPr>
                <w:rFonts w:ascii="Arial Narrow" w:hAnsi="Arial Narrow"/>
                <w:sz w:val="20"/>
                <w:szCs w:val="20"/>
              </w:rPr>
            </w:r>
            <w:r>
              <w:rPr>
                <w:rFonts w:ascii="Arial Narrow" w:hAnsi="Arial Narrow"/>
                <w:sz w:val="20"/>
                <w:szCs w:val="20"/>
              </w:rPr>
            </w:r>
            <w:r>
              <w:rPr>
                <w:rFonts w:ascii="Arial Narrow" w:hAnsi="Arial Narrow"/>
                <w:sz w:val="20"/>
                <w:szCs w:val="20"/>
              </w:rPr>
            </w:r>
          </w:p>
        </w:tc>
      </w:tr>
      <w:tr>
        <w:trPr>
          <w:trHeight w:val="23"/>
        </w:trPr>
        <w:tc>
          <w:tcPr>
            <w:shd w:val="clear" w:color="auto" w:fill="ffffff"/>
            <w:tcW w:w="2801" w:type="dxa"/>
            <w:vAlign w:val="center"/>
            <w:textDirection w:val="lrTb"/>
            <w:noWrap w:val="false"/>
          </w:tcPr>
          <w:p>
            <w:pPr>
              <w:pStyle w:val="1063"/>
              <w:jc w:val="both"/>
              <w:widowControl w:val="off"/>
              <w:rPr>
                <w:rFonts w:ascii="Arial Narrow" w:hAnsi="Arial Narrow"/>
                <w:sz w:val="20"/>
                <w:szCs w:val="20"/>
              </w:rPr>
            </w:pPr>
            <w:r>
              <w:rPr>
                <w:rFonts w:ascii="Arial Narrow" w:hAnsi="Arial Narrow"/>
                <w:bCs/>
                <w:color w:val="000000"/>
                <w:sz w:val="20"/>
                <w:szCs w:val="20"/>
              </w:rPr>
              <w:t xml:space="preserve">Основные фонды и НМА, </w:t>
            </w:r>
            <w:r>
              <w:rPr>
                <w:rFonts w:ascii="Arial Narrow" w:hAnsi="Arial Narrow"/>
                <w:bCs/>
                <w:color w:val="000000"/>
                <w:sz w:val="20"/>
                <w:szCs w:val="20"/>
              </w:rPr>
              <w:br/>
              <w:t xml:space="preserve">млн. рублей</w:t>
            </w:r>
            <w:r>
              <w:rPr>
                <w:rFonts w:ascii="Arial Narrow" w:hAnsi="Arial Narrow"/>
                <w:sz w:val="20"/>
                <w:szCs w:val="20"/>
              </w:rPr>
            </w:r>
            <w:r>
              <w:rPr>
                <w:rFonts w:ascii="Arial Narrow" w:hAnsi="Arial Narrow"/>
                <w:sz w:val="20"/>
                <w:szCs w:val="20"/>
              </w:rPr>
            </w:r>
          </w:p>
        </w:tc>
        <w:tc>
          <w:tcPr>
            <w:shd w:val="clear" w:color="auto" w:fill="ffffff"/>
            <w:tcW w:w="845" w:type="dxa"/>
            <w:vAlign w:val="center"/>
            <w:textDirection w:val="lrTb"/>
            <w:noWrap w:val="false"/>
          </w:tcPr>
          <w:p>
            <w:pPr>
              <w:pStyle w:val="1063"/>
              <w:jc w:val="center"/>
              <w:widowControl w:val="off"/>
              <w:rPr>
                <w:rFonts w:ascii="Arial Narrow" w:hAnsi="Arial Narrow"/>
                <w:sz w:val="20"/>
                <w:szCs w:val="20"/>
              </w:rPr>
            </w:pPr>
            <w:r>
              <w:rPr>
                <w:rFonts w:ascii="Arial Narrow" w:hAnsi="Arial Narrow"/>
                <w:bCs/>
                <w:color w:val="000000"/>
                <w:sz w:val="20"/>
                <w:szCs w:val="20"/>
              </w:rPr>
              <w:t xml:space="preserve">224 проекта</w:t>
            </w:r>
            <w:r>
              <w:rPr>
                <w:rFonts w:ascii="Arial Narrow" w:hAnsi="Arial Narrow"/>
                <w:sz w:val="20"/>
                <w:szCs w:val="20"/>
              </w:rPr>
            </w:r>
            <w:r>
              <w:rPr>
                <w:rFonts w:ascii="Arial Narrow" w:hAnsi="Arial Narrow"/>
                <w:sz w:val="20"/>
                <w:szCs w:val="20"/>
              </w:rPr>
            </w:r>
          </w:p>
        </w:tc>
        <w:tc>
          <w:tcPr>
            <w:shd w:val="clear" w:color="auto" w:fill="ffffff"/>
            <w:tcW w:w="966" w:type="dxa"/>
            <w:vAlign w:val="center"/>
            <w:textDirection w:val="lrTb"/>
            <w:noWrap w:val="false"/>
          </w:tcPr>
          <w:p>
            <w:pPr>
              <w:pStyle w:val="1063"/>
              <w:jc w:val="center"/>
              <w:widowControl w:val="off"/>
              <w:rPr>
                <w:rFonts w:ascii="Arial Narrow" w:hAnsi="Arial Narrow"/>
                <w:sz w:val="20"/>
                <w:szCs w:val="20"/>
              </w:rPr>
            </w:pPr>
            <w:r>
              <w:rPr>
                <w:rFonts w:ascii="Arial Narrow" w:hAnsi="Arial Narrow"/>
                <w:bCs/>
                <w:color w:val="000000"/>
                <w:sz w:val="20"/>
                <w:szCs w:val="20"/>
              </w:rPr>
              <w:t xml:space="preserve">6 787,182</w:t>
            </w:r>
            <w:r>
              <w:rPr>
                <w:rFonts w:ascii="Arial Narrow" w:hAnsi="Arial Narrow"/>
                <w:sz w:val="20"/>
                <w:szCs w:val="20"/>
              </w:rPr>
            </w:r>
            <w:r>
              <w:rPr>
                <w:rFonts w:ascii="Arial Narrow" w:hAnsi="Arial Narrow"/>
                <w:sz w:val="20"/>
                <w:szCs w:val="20"/>
              </w:rPr>
            </w:r>
          </w:p>
        </w:tc>
        <w:tc>
          <w:tcPr>
            <w:shd w:val="clear" w:color="auto" w:fill="ffffff"/>
            <w:tcW w:w="830" w:type="dxa"/>
            <w:vAlign w:val="center"/>
            <w:textDirection w:val="lrTb"/>
            <w:noWrap w:val="false"/>
          </w:tcPr>
          <w:p>
            <w:pPr>
              <w:pStyle w:val="1063"/>
              <w:jc w:val="center"/>
              <w:widowControl w:val="off"/>
              <w:rPr>
                <w:rFonts w:ascii="Arial Narrow" w:hAnsi="Arial Narrow"/>
                <w:sz w:val="20"/>
                <w:szCs w:val="20"/>
              </w:rPr>
            </w:pPr>
            <w:r>
              <w:rPr>
                <w:rFonts w:ascii="Arial Narrow" w:hAnsi="Arial Narrow"/>
                <w:bCs/>
                <w:color w:val="000000"/>
                <w:sz w:val="20"/>
                <w:szCs w:val="20"/>
              </w:rPr>
              <w:t xml:space="preserve">2 325,289</w:t>
            </w:r>
            <w:r>
              <w:rPr>
                <w:rFonts w:ascii="Arial Narrow" w:hAnsi="Arial Narrow"/>
                <w:sz w:val="20"/>
                <w:szCs w:val="20"/>
              </w:rPr>
            </w:r>
            <w:r>
              <w:rPr>
                <w:rFonts w:ascii="Arial Narrow" w:hAnsi="Arial Narrow"/>
                <w:sz w:val="20"/>
                <w:szCs w:val="20"/>
              </w:rPr>
            </w:r>
          </w:p>
        </w:tc>
        <w:tc>
          <w:tcPr>
            <w:shd w:val="clear" w:color="auto" w:fill="ffffff"/>
            <w:tcW w:w="1243" w:type="dxa"/>
            <w:vAlign w:val="center"/>
            <w:textDirection w:val="lrTb"/>
            <w:noWrap w:val="false"/>
          </w:tcPr>
          <w:p>
            <w:pPr>
              <w:pStyle w:val="1063"/>
              <w:jc w:val="center"/>
              <w:widowControl w:val="off"/>
              <w:rPr>
                <w:rFonts w:ascii="Arial Narrow" w:hAnsi="Arial Narrow"/>
                <w:sz w:val="20"/>
                <w:szCs w:val="20"/>
              </w:rPr>
            </w:pPr>
            <w:r>
              <w:rPr>
                <w:rFonts w:ascii="Arial Narrow" w:hAnsi="Arial Narrow"/>
                <w:bCs/>
                <w:color w:val="000000"/>
                <w:sz w:val="20"/>
                <w:szCs w:val="20"/>
              </w:rPr>
              <w:t xml:space="preserve">- 4 461,893</w:t>
            </w:r>
            <w:r>
              <w:rPr>
                <w:rFonts w:ascii="Arial Narrow" w:hAnsi="Arial Narrow"/>
                <w:sz w:val="20"/>
                <w:szCs w:val="20"/>
              </w:rPr>
            </w:r>
            <w:r>
              <w:rPr>
                <w:rFonts w:ascii="Arial Narrow" w:hAnsi="Arial Narrow"/>
                <w:sz w:val="20"/>
                <w:szCs w:val="20"/>
              </w:rPr>
            </w:r>
          </w:p>
        </w:tc>
        <w:tc>
          <w:tcPr>
            <w:shd w:val="clear" w:color="auto" w:fill="ffffff"/>
            <w:tcW w:w="552" w:type="dxa"/>
            <w:vAlign w:val="center"/>
            <w:textDirection w:val="lrTb"/>
            <w:noWrap w:val="false"/>
          </w:tcPr>
          <w:p>
            <w:pPr>
              <w:pStyle w:val="1063"/>
              <w:jc w:val="center"/>
              <w:widowControl w:val="off"/>
              <w:rPr>
                <w:rFonts w:ascii="Arial Narrow" w:hAnsi="Arial Narrow"/>
                <w:sz w:val="20"/>
                <w:szCs w:val="20"/>
              </w:rPr>
            </w:pPr>
            <w:r>
              <w:rPr>
                <w:rFonts w:ascii="Arial Narrow" w:hAnsi="Arial Narrow"/>
                <w:bCs/>
                <w:color w:val="000000"/>
                <w:sz w:val="20"/>
                <w:szCs w:val="20"/>
              </w:rPr>
              <w:t xml:space="preserve">34</w:t>
            </w:r>
            <w:r>
              <w:rPr>
                <w:rFonts w:ascii="Arial Narrow" w:hAnsi="Arial Narrow"/>
                <w:sz w:val="20"/>
                <w:szCs w:val="20"/>
              </w:rPr>
            </w:r>
            <w:r>
              <w:rPr>
                <w:rFonts w:ascii="Arial Narrow" w:hAnsi="Arial Narrow"/>
                <w:sz w:val="20"/>
                <w:szCs w:val="20"/>
              </w:rPr>
            </w:r>
          </w:p>
        </w:tc>
        <w:tc>
          <w:tcPr>
            <w:shd w:val="clear" w:color="auto" w:fill="ffffff"/>
            <w:tcW w:w="2825" w:type="dxa"/>
            <w:vAlign w:val="center"/>
            <w:textDirection w:val="lrTb"/>
            <w:noWrap w:val="false"/>
          </w:tcPr>
          <w:p>
            <w:pPr>
              <w:pStyle w:val="1063"/>
              <w:jc w:val="both"/>
              <w:widowControl w:val="off"/>
              <w:rPr>
                <w:rFonts w:ascii="Arial Narrow" w:hAnsi="Arial Narrow"/>
                <w:sz w:val="20"/>
                <w:szCs w:val="20"/>
              </w:rPr>
            </w:pPr>
            <w:r>
              <w:rPr>
                <w:rFonts w:ascii="Arial Narrow" w:hAnsi="Arial Narrow"/>
                <w:sz w:val="20"/>
                <w:szCs w:val="20"/>
              </w:rPr>
            </w:r>
            <w:r>
              <w:rPr>
                <w:rFonts w:ascii="Arial Narrow" w:hAnsi="Arial Narrow"/>
                <w:sz w:val="20"/>
                <w:szCs w:val="20"/>
              </w:rPr>
            </w:r>
            <w:r>
              <w:rPr>
                <w:rFonts w:ascii="Arial Narrow" w:hAnsi="Arial Narrow"/>
                <w:sz w:val="20"/>
                <w:szCs w:val="20"/>
              </w:rPr>
            </w:r>
          </w:p>
        </w:tc>
      </w:tr>
      <w:tr>
        <w:trPr>
          <w:trHeight w:val="23"/>
        </w:trPr>
        <w:tc>
          <w:tcPr>
            <w:shd w:val="clear" w:color="auto" w:fill="ffffff"/>
            <w:tcW w:w="2801" w:type="dxa"/>
            <w:vAlign w:val="center"/>
            <w:textDirection w:val="lrTb"/>
            <w:noWrap w:val="false"/>
          </w:tcPr>
          <w:p>
            <w:pPr>
              <w:pStyle w:val="1063"/>
              <w:jc w:val="both"/>
              <w:widowControl w:val="off"/>
              <w:rPr>
                <w:rFonts w:ascii="Arial Narrow" w:hAnsi="Arial Narrow"/>
                <w:sz w:val="20"/>
                <w:szCs w:val="20"/>
              </w:rPr>
            </w:pPr>
            <w:r>
              <w:rPr>
                <w:rFonts w:ascii="Arial Narrow" w:hAnsi="Arial Narrow"/>
                <w:color w:val="000000"/>
                <w:sz w:val="20"/>
                <w:szCs w:val="20"/>
              </w:rPr>
              <w:t xml:space="preserve">Сооружение «ВЛ-110 кВ от ПС 220/110/35/10 к</w:t>
            </w:r>
            <w:r>
              <w:rPr>
                <w:rFonts w:ascii="Arial Narrow" w:hAnsi="Arial Narrow"/>
                <w:color w:val="000000"/>
                <w:sz w:val="20"/>
                <w:szCs w:val="20"/>
              </w:rPr>
              <w:t xml:space="preserve">В Авача до ПС 110/35/10 кВ «Сопка Горячая», со строительством ПС 110/35/10 кВ «Сопка Горячая», КЛ 35 кВ от ПС 110/35/10 кВ до ПС 35/10 кВ «Горнолыжный комплекс», со строительством ПС 35/10 кВ «Горнолыжный комплекс» и ЛЭП 10 кВ до электроустановок Заявителя</w:t>
            </w:r>
            <w:r>
              <w:rPr>
                <w:rFonts w:ascii="Arial Narrow" w:hAnsi="Arial Narrow"/>
                <w:sz w:val="20"/>
                <w:szCs w:val="20"/>
              </w:rPr>
            </w:r>
            <w:r>
              <w:rPr>
                <w:rFonts w:ascii="Arial Narrow" w:hAnsi="Arial Narrow"/>
                <w:sz w:val="20"/>
                <w:szCs w:val="20"/>
              </w:rPr>
            </w:r>
          </w:p>
        </w:tc>
        <w:tc>
          <w:tcPr>
            <w:shd w:val="clear" w:color="auto" w:fill="ffffff"/>
            <w:tcW w:w="845"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M_ЦЭС_509-2741</w:t>
            </w:r>
            <w:r>
              <w:rPr>
                <w:rFonts w:ascii="Arial Narrow" w:hAnsi="Arial Narrow"/>
                <w:sz w:val="20"/>
                <w:szCs w:val="20"/>
              </w:rPr>
            </w:r>
            <w:r>
              <w:rPr>
                <w:rFonts w:ascii="Arial Narrow" w:hAnsi="Arial Narrow"/>
                <w:sz w:val="20"/>
                <w:szCs w:val="20"/>
              </w:rPr>
            </w:r>
          </w:p>
        </w:tc>
        <w:tc>
          <w:tcPr>
            <w:shd w:val="clear" w:color="auto" w:fill="ffffff"/>
            <w:tcW w:w="966"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4 366,581</w:t>
            </w:r>
            <w:r>
              <w:rPr>
                <w:rFonts w:ascii="Arial Narrow" w:hAnsi="Arial Narrow"/>
                <w:sz w:val="20"/>
                <w:szCs w:val="20"/>
              </w:rPr>
            </w:r>
            <w:r>
              <w:rPr>
                <w:rFonts w:ascii="Arial Narrow" w:hAnsi="Arial Narrow"/>
                <w:sz w:val="20"/>
                <w:szCs w:val="20"/>
              </w:rPr>
            </w:r>
          </w:p>
        </w:tc>
        <w:tc>
          <w:tcPr>
            <w:shd w:val="clear" w:color="auto" w:fill="ffffff"/>
            <w:tcW w:w="830"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0</w:t>
            </w:r>
            <w:r>
              <w:rPr>
                <w:rFonts w:ascii="Arial Narrow" w:hAnsi="Arial Narrow"/>
                <w:sz w:val="20"/>
                <w:szCs w:val="20"/>
              </w:rPr>
            </w:r>
            <w:r>
              <w:rPr>
                <w:rFonts w:ascii="Arial Narrow" w:hAnsi="Arial Narrow"/>
                <w:sz w:val="20"/>
                <w:szCs w:val="20"/>
              </w:rPr>
            </w:r>
          </w:p>
        </w:tc>
        <w:tc>
          <w:tcPr>
            <w:shd w:val="clear" w:color="auto" w:fill="ffffff"/>
            <w:tcW w:w="1243"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- 4 366,581</w:t>
            </w:r>
            <w:r>
              <w:rPr>
                <w:rFonts w:ascii="Arial Narrow" w:hAnsi="Arial Narrow"/>
                <w:sz w:val="20"/>
                <w:szCs w:val="20"/>
              </w:rPr>
            </w:r>
            <w:r>
              <w:rPr>
                <w:rFonts w:ascii="Arial Narrow" w:hAnsi="Arial Narrow"/>
                <w:sz w:val="20"/>
                <w:szCs w:val="20"/>
              </w:rPr>
            </w:r>
          </w:p>
        </w:tc>
        <w:tc>
          <w:tcPr>
            <w:shd w:val="clear" w:color="auto" w:fill="ffffff"/>
            <w:tcW w:w="552"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0</w:t>
            </w:r>
            <w:r>
              <w:rPr>
                <w:rFonts w:ascii="Arial Narrow" w:hAnsi="Arial Narrow"/>
                <w:sz w:val="20"/>
                <w:szCs w:val="20"/>
              </w:rPr>
            </w:r>
            <w:r>
              <w:rPr>
                <w:rFonts w:ascii="Arial Narrow" w:hAnsi="Arial Narrow"/>
                <w:sz w:val="20"/>
                <w:szCs w:val="20"/>
              </w:rPr>
            </w:r>
          </w:p>
        </w:tc>
        <w:tc>
          <w:tcPr>
            <w:shd w:val="clear" w:color="auto" w:fill="ffffff"/>
            <w:tcW w:w="2825" w:type="dxa"/>
            <w:vAlign w:val="center"/>
            <w:textDirection w:val="lrTb"/>
            <w:noWrap w:val="false"/>
          </w:tcPr>
          <w:p>
            <w:pPr>
              <w:pStyle w:val="1063"/>
              <w:jc w:val="both"/>
              <w:widowControl w:val="off"/>
              <w:rPr>
                <w:rFonts w:ascii="Arial Narrow" w:hAnsi="Arial Narrow"/>
                <w:sz w:val="20"/>
                <w:szCs w:val="20"/>
              </w:rPr>
            </w:pPr>
            <w:r>
              <w:rPr>
                <w:rFonts w:ascii="Arial Narrow" w:hAnsi="Arial Narrow"/>
                <w:color w:val="000000"/>
                <w:sz w:val="20"/>
                <w:szCs w:val="20"/>
              </w:rPr>
              <w:t xml:space="preserve">Неисполнение обязательств со стороны подрядной организации с нарушением срока </w:t>
            </w:r>
            <w:r>
              <w:rPr>
                <w:rFonts w:ascii="Arial Narrow" w:hAnsi="Arial Narrow" w:eastAsia="Arial Narrow"/>
                <w:color w:val="000000"/>
                <w:sz w:val="20"/>
                <w:szCs w:val="20"/>
              </w:rPr>
              <w:t xml:space="preserve"> </w:t>
            </w:r>
            <w:r>
              <w:rPr>
                <w:rFonts w:ascii="Arial Narrow" w:hAnsi="Arial Narrow"/>
                <w:color w:val="000000"/>
                <w:sz w:val="20"/>
                <w:szCs w:val="20"/>
              </w:rPr>
              <w:t xml:space="preserve">выполнения этапов работ. Ввод объекта планируется в 2025 году.</w:t>
            </w:r>
            <w:r>
              <w:rPr>
                <w:rFonts w:ascii="Arial Narrow" w:hAnsi="Arial Narrow"/>
                <w:sz w:val="20"/>
                <w:szCs w:val="20"/>
              </w:rPr>
            </w:r>
            <w:r>
              <w:rPr>
                <w:rFonts w:ascii="Arial Narrow" w:hAnsi="Arial Narrow"/>
                <w:sz w:val="20"/>
                <w:szCs w:val="20"/>
              </w:rPr>
            </w:r>
          </w:p>
        </w:tc>
      </w:tr>
      <w:tr>
        <w:trPr>
          <w:trHeight w:val="23"/>
        </w:trPr>
        <w:tc>
          <w:tcPr>
            <w:shd w:val="clear" w:color="auto" w:fill="ffffff"/>
            <w:tcW w:w="2801" w:type="dxa"/>
            <w:vAlign w:val="center"/>
            <w:textDirection w:val="lrTb"/>
            <w:noWrap w:val="false"/>
          </w:tcPr>
          <w:p>
            <w:pPr>
              <w:pStyle w:val="1063"/>
              <w:jc w:val="both"/>
              <w:widowControl w:val="off"/>
              <w:rPr>
                <w:rFonts w:ascii="Arial Narrow" w:hAnsi="Arial Narrow"/>
                <w:sz w:val="20"/>
                <w:szCs w:val="20"/>
              </w:rPr>
            </w:pPr>
            <w:r>
              <w:rPr>
                <w:rFonts w:ascii="Arial Narrow" w:hAnsi="Arial Narrow"/>
                <w:color w:val="000000"/>
                <w:sz w:val="20"/>
                <w:szCs w:val="20"/>
              </w:rPr>
              <w:t xml:space="preserve">Прочие проекты</w:t>
            </w:r>
            <w:r>
              <w:rPr>
                <w:rFonts w:ascii="Arial Narrow" w:hAnsi="Arial Narrow"/>
                <w:sz w:val="20"/>
                <w:szCs w:val="20"/>
              </w:rPr>
            </w:r>
            <w:r>
              <w:rPr>
                <w:rFonts w:ascii="Arial Narrow" w:hAnsi="Arial Narrow"/>
                <w:sz w:val="20"/>
                <w:szCs w:val="20"/>
              </w:rPr>
            </w:r>
          </w:p>
        </w:tc>
        <w:tc>
          <w:tcPr>
            <w:shd w:val="clear" w:color="auto" w:fill="ffffff"/>
            <w:tcW w:w="845"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223 проекта</w:t>
            </w:r>
            <w:r>
              <w:rPr>
                <w:rFonts w:ascii="Arial Narrow" w:hAnsi="Arial Narrow"/>
                <w:sz w:val="20"/>
                <w:szCs w:val="20"/>
              </w:rPr>
            </w:r>
            <w:r>
              <w:rPr>
                <w:rFonts w:ascii="Arial Narrow" w:hAnsi="Arial Narrow"/>
                <w:sz w:val="20"/>
                <w:szCs w:val="20"/>
              </w:rPr>
            </w:r>
          </w:p>
        </w:tc>
        <w:tc>
          <w:tcPr>
            <w:shd w:val="clear" w:color="auto" w:fill="ffffff"/>
            <w:tcW w:w="966"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2 420,601</w:t>
            </w:r>
            <w:r>
              <w:rPr>
                <w:rFonts w:ascii="Arial Narrow" w:hAnsi="Arial Narrow"/>
                <w:sz w:val="20"/>
                <w:szCs w:val="20"/>
              </w:rPr>
            </w:r>
            <w:r>
              <w:rPr>
                <w:rFonts w:ascii="Arial Narrow" w:hAnsi="Arial Narrow"/>
                <w:sz w:val="20"/>
                <w:szCs w:val="20"/>
              </w:rPr>
            </w:r>
          </w:p>
        </w:tc>
        <w:tc>
          <w:tcPr>
            <w:shd w:val="clear" w:color="auto" w:fill="ffffff"/>
            <w:tcW w:w="830"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2 352,289</w:t>
            </w:r>
            <w:r>
              <w:rPr>
                <w:rFonts w:ascii="Arial Narrow" w:hAnsi="Arial Narrow"/>
                <w:sz w:val="20"/>
                <w:szCs w:val="20"/>
              </w:rPr>
            </w:r>
            <w:r>
              <w:rPr>
                <w:rFonts w:ascii="Arial Narrow" w:hAnsi="Arial Narrow"/>
                <w:sz w:val="20"/>
                <w:szCs w:val="20"/>
              </w:rPr>
            </w:r>
          </w:p>
        </w:tc>
        <w:tc>
          <w:tcPr>
            <w:shd w:val="clear" w:color="auto" w:fill="ffffff"/>
            <w:tcW w:w="1243"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- 68,312</w:t>
            </w:r>
            <w:r>
              <w:rPr>
                <w:rFonts w:ascii="Arial Narrow" w:hAnsi="Arial Narrow"/>
                <w:sz w:val="20"/>
                <w:szCs w:val="20"/>
              </w:rPr>
            </w:r>
            <w:r>
              <w:rPr>
                <w:rFonts w:ascii="Arial Narrow" w:hAnsi="Arial Narrow"/>
                <w:sz w:val="20"/>
                <w:szCs w:val="20"/>
              </w:rPr>
            </w:r>
          </w:p>
        </w:tc>
        <w:tc>
          <w:tcPr>
            <w:shd w:val="clear" w:color="auto" w:fill="ffffff"/>
            <w:tcW w:w="552"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97</w:t>
            </w:r>
            <w:r>
              <w:rPr>
                <w:rFonts w:ascii="Arial Narrow" w:hAnsi="Arial Narrow"/>
                <w:sz w:val="20"/>
                <w:szCs w:val="20"/>
              </w:rPr>
            </w:r>
            <w:r>
              <w:rPr>
                <w:rFonts w:ascii="Arial Narrow" w:hAnsi="Arial Narrow"/>
                <w:sz w:val="20"/>
                <w:szCs w:val="20"/>
              </w:rPr>
            </w:r>
          </w:p>
        </w:tc>
        <w:tc>
          <w:tcPr>
            <w:shd w:val="clear" w:color="auto" w:fill="ffffff"/>
            <w:tcW w:w="2825" w:type="dxa"/>
            <w:vAlign w:val="center"/>
            <w:textDirection w:val="lrTb"/>
            <w:noWrap w:val="false"/>
          </w:tcPr>
          <w:p>
            <w:pPr>
              <w:pStyle w:val="1063"/>
              <w:jc w:val="both"/>
              <w:widowControl w:val="off"/>
              <w:rPr>
                <w:rFonts w:ascii="Arial Narrow" w:hAnsi="Arial Narrow"/>
                <w:sz w:val="20"/>
                <w:szCs w:val="20"/>
              </w:rPr>
            </w:pPr>
            <w:r>
              <w:rPr>
                <w:rFonts w:ascii="Arial Narrow" w:hAnsi="Arial Narrow"/>
                <w:sz w:val="20"/>
                <w:szCs w:val="20"/>
              </w:rPr>
            </w:r>
            <w:r>
              <w:rPr>
                <w:rFonts w:ascii="Arial Narrow" w:hAnsi="Arial Narrow"/>
                <w:sz w:val="20"/>
                <w:szCs w:val="20"/>
              </w:rPr>
            </w:r>
            <w:r>
              <w:rPr>
                <w:rFonts w:ascii="Arial Narrow" w:hAnsi="Arial Narrow"/>
                <w:sz w:val="20"/>
                <w:szCs w:val="20"/>
              </w:rPr>
            </w:r>
          </w:p>
        </w:tc>
      </w:tr>
      <w:tr>
        <w:trPr>
          <w:trHeight w:val="23"/>
        </w:trPr>
        <w:tc>
          <w:tcPr>
            <w:shd w:val="clear" w:color="auto" w:fill="ffffff"/>
            <w:tcW w:w="2801" w:type="dxa"/>
            <w:vAlign w:val="center"/>
            <w:textDirection w:val="lrTb"/>
            <w:noWrap w:val="false"/>
          </w:tcPr>
          <w:p>
            <w:pPr>
              <w:pStyle w:val="1063"/>
              <w:jc w:val="both"/>
              <w:widowControl w:val="off"/>
              <w:rPr>
                <w:rFonts w:ascii="Arial Narrow" w:hAnsi="Arial Narrow"/>
                <w:sz w:val="20"/>
                <w:szCs w:val="20"/>
              </w:rPr>
            </w:pPr>
            <w:r>
              <w:rPr>
                <w:rFonts w:ascii="Arial Narrow" w:hAnsi="Arial Narrow"/>
                <w:bCs/>
                <w:color w:val="000000"/>
                <w:sz w:val="20"/>
                <w:szCs w:val="20"/>
              </w:rPr>
              <w:t xml:space="preserve">Трансформаторные мощности, МВхА</w:t>
            </w:r>
            <w:r>
              <w:rPr>
                <w:rFonts w:ascii="Arial Narrow" w:hAnsi="Arial Narrow"/>
                <w:sz w:val="20"/>
                <w:szCs w:val="20"/>
              </w:rPr>
            </w:r>
            <w:r>
              <w:rPr>
                <w:rFonts w:ascii="Arial Narrow" w:hAnsi="Arial Narrow"/>
                <w:sz w:val="20"/>
                <w:szCs w:val="20"/>
              </w:rPr>
            </w:r>
          </w:p>
        </w:tc>
        <w:tc>
          <w:tcPr>
            <w:shd w:val="clear" w:color="auto" w:fill="ffffff"/>
            <w:tcW w:w="845" w:type="dxa"/>
            <w:vAlign w:val="center"/>
            <w:textDirection w:val="lrTb"/>
            <w:noWrap w:val="false"/>
          </w:tcPr>
          <w:p>
            <w:pPr>
              <w:pStyle w:val="1063"/>
              <w:jc w:val="center"/>
              <w:widowControl w:val="off"/>
              <w:rPr>
                <w:rFonts w:ascii="Arial Narrow" w:hAnsi="Arial Narrow"/>
                <w:sz w:val="20"/>
                <w:szCs w:val="20"/>
              </w:rPr>
            </w:pPr>
            <w:r>
              <w:rPr>
                <w:rFonts w:ascii="Arial Narrow" w:hAnsi="Arial Narrow"/>
                <w:bCs/>
                <w:color w:val="000000"/>
                <w:sz w:val="20"/>
                <w:szCs w:val="20"/>
              </w:rPr>
              <w:t xml:space="preserve">4 проекта</w:t>
            </w:r>
            <w:r>
              <w:rPr>
                <w:rFonts w:ascii="Arial Narrow" w:hAnsi="Arial Narrow"/>
                <w:sz w:val="20"/>
                <w:szCs w:val="20"/>
              </w:rPr>
            </w:r>
            <w:r>
              <w:rPr>
                <w:rFonts w:ascii="Arial Narrow" w:hAnsi="Arial Narrow"/>
                <w:sz w:val="20"/>
                <w:szCs w:val="20"/>
              </w:rPr>
            </w:r>
          </w:p>
        </w:tc>
        <w:tc>
          <w:tcPr>
            <w:shd w:val="clear" w:color="auto" w:fill="ffffff"/>
            <w:tcW w:w="966" w:type="dxa"/>
            <w:vAlign w:val="center"/>
            <w:textDirection w:val="lrTb"/>
            <w:noWrap w:val="false"/>
          </w:tcPr>
          <w:p>
            <w:pPr>
              <w:pStyle w:val="1063"/>
              <w:jc w:val="center"/>
              <w:widowControl w:val="off"/>
              <w:rPr>
                <w:rFonts w:ascii="Arial Narrow" w:hAnsi="Arial Narrow"/>
                <w:sz w:val="20"/>
                <w:szCs w:val="20"/>
              </w:rPr>
            </w:pPr>
            <w:r>
              <w:rPr>
                <w:rFonts w:ascii="Arial Narrow" w:hAnsi="Arial Narrow"/>
                <w:bCs/>
                <w:color w:val="000000"/>
                <w:sz w:val="20"/>
                <w:szCs w:val="20"/>
              </w:rPr>
              <w:t xml:space="preserve">94,08</w:t>
            </w:r>
            <w:r>
              <w:rPr>
                <w:rFonts w:ascii="Arial Narrow" w:hAnsi="Arial Narrow"/>
                <w:sz w:val="20"/>
                <w:szCs w:val="20"/>
              </w:rPr>
            </w:r>
            <w:r>
              <w:rPr>
                <w:rFonts w:ascii="Arial Narrow" w:hAnsi="Arial Narrow"/>
                <w:sz w:val="20"/>
                <w:szCs w:val="20"/>
              </w:rPr>
            </w:r>
          </w:p>
        </w:tc>
        <w:tc>
          <w:tcPr>
            <w:shd w:val="clear" w:color="auto" w:fill="ffffff"/>
            <w:tcW w:w="830" w:type="dxa"/>
            <w:vAlign w:val="center"/>
            <w:textDirection w:val="lrTb"/>
            <w:noWrap w:val="false"/>
          </w:tcPr>
          <w:p>
            <w:pPr>
              <w:pStyle w:val="1063"/>
              <w:jc w:val="center"/>
              <w:widowControl w:val="off"/>
              <w:rPr>
                <w:rFonts w:ascii="Arial Narrow" w:hAnsi="Arial Narrow"/>
                <w:sz w:val="20"/>
                <w:szCs w:val="20"/>
              </w:rPr>
            </w:pPr>
            <w:r>
              <w:rPr>
                <w:rFonts w:ascii="Arial Narrow" w:hAnsi="Arial Narrow"/>
                <w:bCs/>
                <w:color w:val="000000"/>
                <w:sz w:val="20"/>
                <w:szCs w:val="20"/>
              </w:rPr>
              <w:t xml:space="preserve">8,47</w:t>
            </w:r>
            <w:r>
              <w:rPr>
                <w:rFonts w:ascii="Arial Narrow" w:hAnsi="Arial Narrow"/>
                <w:sz w:val="20"/>
                <w:szCs w:val="20"/>
              </w:rPr>
            </w:r>
            <w:r>
              <w:rPr>
                <w:rFonts w:ascii="Arial Narrow" w:hAnsi="Arial Narrow"/>
                <w:sz w:val="20"/>
                <w:szCs w:val="20"/>
              </w:rPr>
            </w:r>
          </w:p>
        </w:tc>
        <w:tc>
          <w:tcPr>
            <w:shd w:val="clear" w:color="auto" w:fill="ffffff"/>
            <w:tcW w:w="1243" w:type="dxa"/>
            <w:vAlign w:val="center"/>
            <w:textDirection w:val="lrTb"/>
            <w:noWrap w:val="false"/>
          </w:tcPr>
          <w:p>
            <w:pPr>
              <w:pStyle w:val="1063"/>
              <w:jc w:val="center"/>
              <w:widowControl w:val="off"/>
              <w:rPr>
                <w:rFonts w:ascii="Arial Narrow" w:hAnsi="Arial Narrow"/>
                <w:sz w:val="20"/>
                <w:szCs w:val="20"/>
              </w:rPr>
            </w:pPr>
            <w:r>
              <w:rPr>
                <w:rFonts w:ascii="Arial Narrow" w:hAnsi="Arial Narrow"/>
                <w:bCs/>
                <w:color w:val="000000"/>
                <w:sz w:val="20"/>
                <w:szCs w:val="20"/>
              </w:rPr>
              <w:t xml:space="preserve">- 85,61</w:t>
            </w:r>
            <w:r>
              <w:rPr>
                <w:rFonts w:ascii="Arial Narrow" w:hAnsi="Arial Narrow"/>
                <w:sz w:val="20"/>
                <w:szCs w:val="20"/>
              </w:rPr>
            </w:r>
            <w:r>
              <w:rPr>
                <w:rFonts w:ascii="Arial Narrow" w:hAnsi="Arial Narrow"/>
                <w:sz w:val="20"/>
                <w:szCs w:val="20"/>
              </w:rPr>
            </w:r>
          </w:p>
        </w:tc>
        <w:tc>
          <w:tcPr>
            <w:shd w:val="clear" w:color="auto" w:fill="ffffff"/>
            <w:tcW w:w="552" w:type="dxa"/>
            <w:vAlign w:val="center"/>
            <w:textDirection w:val="lrTb"/>
            <w:noWrap w:val="false"/>
          </w:tcPr>
          <w:p>
            <w:pPr>
              <w:pStyle w:val="1063"/>
              <w:jc w:val="center"/>
              <w:widowControl w:val="off"/>
              <w:rPr>
                <w:rFonts w:ascii="Arial Narrow" w:hAnsi="Arial Narrow"/>
                <w:sz w:val="20"/>
                <w:szCs w:val="20"/>
              </w:rPr>
            </w:pPr>
            <w:r>
              <w:rPr>
                <w:rFonts w:ascii="Arial Narrow" w:hAnsi="Arial Narrow"/>
                <w:bCs/>
                <w:color w:val="000000"/>
                <w:sz w:val="20"/>
                <w:szCs w:val="20"/>
              </w:rPr>
              <w:t xml:space="preserve">9</w:t>
            </w:r>
            <w:r>
              <w:rPr>
                <w:rFonts w:ascii="Arial Narrow" w:hAnsi="Arial Narrow"/>
                <w:sz w:val="20"/>
                <w:szCs w:val="20"/>
              </w:rPr>
            </w:r>
            <w:r>
              <w:rPr>
                <w:rFonts w:ascii="Arial Narrow" w:hAnsi="Arial Narrow"/>
                <w:sz w:val="20"/>
                <w:szCs w:val="20"/>
              </w:rPr>
            </w:r>
          </w:p>
        </w:tc>
        <w:tc>
          <w:tcPr>
            <w:shd w:val="clear" w:color="auto" w:fill="ffffff"/>
            <w:tcW w:w="2825" w:type="dxa"/>
            <w:vAlign w:val="center"/>
            <w:textDirection w:val="lrTb"/>
            <w:noWrap w:val="false"/>
          </w:tcPr>
          <w:p>
            <w:pPr>
              <w:pStyle w:val="1063"/>
              <w:jc w:val="both"/>
              <w:widowControl w:val="off"/>
              <w:rPr>
                <w:rFonts w:ascii="Arial Narrow" w:hAnsi="Arial Narrow"/>
                <w:sz w:val="20"/>
                <w:szCs w:val="20"/>
              </w:rPr>
            </w:pPr>
            <w:r>
              <w:rPr>
                <w:rFonts w:ascii="Arial Narrow" w:hAnsi="Arial Narrow"/>
                <w:sz w:val="20"/>
                <w:szCs w:val="20"/>
              </w:rPr>
            </w:r>
            <w:r>
              <w:rPr>
                <w:rFonts w:ascii="Arial Narrow" w:hAnsi="Arial Narrow"/>
                <w:sz w:val="20"/>
                <w:szCs w:val="20"/>
              </w:rPr>
            </w:r>
            <w:r>
              <w:rPr>
                <w:rFonts w:ascii="Arial Narrow" w:hAnsi="Arial Narrow"/>
                <w:sz w:val="20"/>
                <w:szCs w:val="20"/>
              </w:rPr>
            </w:r>
          </w:p>
        </w:tc>
      </w:tr>
      <w:tr>
        <w:trPr>
          <w:trHeight w:val="23"/>
        </w:trPr>
        <w:tc>
          <w:tcPr>
            <w:shd w:val="clear" w:color="auto" w:fill="ffffff"/>
            <w:tcW w:w="2801" w:type="dxa"/>
            <w:vAlign w:val="center"/>
            <w:textDirection w:val="lrTb"/>
            <w:noWrap w:val="false"/>
          </w:tcPr>
          <w:p>
            <w:pPr>
              <w:pStyle w:val="1063"/>
              <w:jc w:val="both"/>
              <w:widowControl w:val="off"/>
              <w:rPr>
                <w:rFonts w:ascii="Arial Narrow" w:hAnsi="Arial Narrow"/>
                <w:sz w:val="20"/>
                <w:szCs w:val="20"/>
              </w:rPr>
            </w:pPr>
            <w:r>
              <w:rPr>
                <w:rFonts w:ascii="Arial Narrow" w:hAnsi="Arial Narrow"/>
                <w:color w:val="000000"/>
                <w:sz w:val="20"/>
                <w:szCs w:val="20"/>
              </w:rPr>
              <w:t xml:space="preserve">Сооружение «ВЛ-110 кВ от ПС 220/110/35/10 к</w:t>
            </w:r>
            <w:r>
              <w:rPr>
                <w:rFonts w:ascii="Arial Narrow" w:hAnsi="Arial Narrow"/>
                <w:color w:val="000000"/>
                <w:sz w:val="20"/>
                <w:szCs w:val="20"/>
              </w:rPr>
              <w:t xml:space="preserve">В Авача до ПС 110/35/10 кВ «Сопка Горячая», со строительством ПС 110/35/10 кВ «Сопка Горячая», КЛ 35 кВ от ПС 110/35/10 кВ до ПС 35/10 кВ «Горнолыжный комплекс», со строительством ПС 35/10 кВ «Горнолыжный комплекс» и ЛЭП 10 кВ до электроустановок Заявителя</w:t>
            </w:r>
            <w:r>
              <w:rPr>
                <w:rFonts w:ascii="Arial Narrow" w:hAnsi="Arial Narrow"/>
                <w:sz w:val="20"/>
                <w:szCs w:val="20"/>
              </w:rPr>
            </w:r>
            <w:r>
              <w:rPr>
                <w:rFonts w:ascii="Arial Narrow" w:hAnsi="Arial Narrow"/>
                <w:sz w:val="20"/>
                <w:szCs w:val="20"/>
              </w:rPr>
            </w:r>
          </w:p>
        </w:tc>
        <w:tc>
          <w:tcPr>
            <w:shd w:val="clear" w:color="auto" w:fill="ffffff"/>
            <w:tcW w:w="845"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M_ЦЭС_509-2741</w:t>
            </w:r>
            <w:r>
              <w:rPr>
                <w:rFonts w:ascii="Arial Narrow" w:hAnsi="Arial Narrow"/>
                <w:sz w:val="20"/>
                <w:szCs w:val="20"/>
              </w:rPr>
            </w:r>
            <w:r>
              <w:rPr>
                <w:rFonts w:ascii="Arial Narrow" w:hAnsi="Arial Narrow"/>
                <w:sz w:val="20"/>
                <w:szCs w:val="20"/>
              </w:rPr>
            </w:r>
          </w:p>
        </w:tc>
        <w:tc>
          <w:tcPr>
            <w:shd w:val="clear" w:color="auto" w:fill="ffffff"/>
            <w:tcW w:w="966"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82,65</w:t>
            </w:r>
            <w:r>
              <w:rPr>
                <w:rFonts w:ascii="Arial Narrow" w:hAnsi="Arial Narrow"/>
                <w:sz w:val="20"/>
                <w:szCs w:val="20"/>
              </w:rPr>
            </w:r>
            <w:r>
              <w:rPr>
                <w:rFonts w:ascii="Arial Narrow" w:hAnsi="Arial Narrow"/>
                <w:sz w:val="20"/>
                <w:szCs w:val="20"/>
              </w:rPr>
            </w:r>
          </w:p>
        </w:tc>
        <w:tc>
          <w:tcPr>
            <w:shd w:val="clear" w:color="auto" w:fill="ffffff"/>
            <w:tcW w:w="830"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0</w:t>
            </w:r>
            <w:r>
              <w:rPr>
                <w:rFonts w:ascii="Arial Narrow" w:hAnsi="Arial Narrow"/>
                <w:sz w:val="20"/>
                <w:szCs w:val="20"/>
              </w:rPr>
            </w:r>
            <w:r>
              <w:rPr>
                <w:rFonts w:ascii="Arial Narrow" w:hAnsi="Arial Narrow"/>
                <w:sz w:val="20"/>
                <w:szCs w:val="20"/>
              </w:rPr>
            </w:r>
          </w:p>
        </w:tc>
        <w:tc>
          <w:tcPr>
            <w:shd w:val="clear" w:color="auto" w:fill="ffffff"/>
            <w:tcW w:w="1243"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- 82,65</w:t>
            </w:r>
            <w:r>
              <w:rPr>
                <w:rFonts w:ascii="Arial Narrow" w:hAnsi="Arial Narrow"/>
                <w:sz w:val="20"/>
                <w:szCs w:val="20"/>
              </w:rPr>
            </w:r>
            <w:r>
              <w:rPr>
                <w:rFonts w:ascii="Arial Narrow" w:hAnsi="Arial Narrow"/>
                <w:sz w:val="20"/>
                <w:szCs w:val="20"/>
              </w:rPr>
            </w:r>
          </w:p>
        </w:tc>
        <w:tc>
          <w:tcPr>
            <w:shd w:val="clear" w:color="auto" w:fill="ffffff"/>
            <w:tcW w:w="552"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0</w:t>
            </w:r>
            <w:r>
              <w:rPr>
                <w:rFonts w:ascii="Arial Narrow" w:hAnsi="Arial Narrow"/>
                <w:sz w:val="20"/>
                <w:szCs w:val="20"/>
              </w:rPr>
            </w:r>
            <w:r>
              <w:rPr>
                <w:rFonts w:ascii="Arial Narrow" w:hAnsi="Arial Narrow"/>
                <w:sz w:val="20"/>
                <w:szCs w:val="20"/>
              </w:rPr>
            </w:r>
          </w:p>
        </w:tc>
        <w:tc>
          <w:tcPr>
            <w:shd w:val="clear" w:color="auto" w:fill="ffffff"/>
            <w:tcW w:w="2825" w:type="dxa"/>
            <w:vAlign w:val="center"/>
            <w:textDirection w:val="lrTb"/>
            <w:noWrap w:val="false"/>
          </w:tcPr>
          <w:p>
            <w:pPr>
              <w:pStyle w:val="1063"/>
              <w:jc w:val="both"/>
              <w:widowControl w:val="off"/>
              <w:rPr>
                <w:rFonts w:ascii="Arial Narrow" w:hAnsi="Arial Narrow"/>
                <w:sz w:val="20"/>
                <w:szCs w:val="20"/>
              </w:rPr>
            </w:pPr>
            <w:r>
              <w:rPr>
                <w:rFonts w:ascii="Arial Narrow" w:hAnsi="Arial Narrow"/>
                <w:color w:val="000000"/>
                <w:sz w:val="20"/>
                <w:szCs w:val="20"/>
              </w:rPr>
              <w:t xml:space="preserve">Неисполнение обязательств со стороны подрядной организации с нарушением срока </w:t>
            </w:r>
            <w:r>
              <w:rPr>
                <w:rFonts w:ascii="Arial Narrow" w:hAnsi="Arial Narrow" w:eastAsia="Arial Narrow"/>
                <w:color w:val="000000"/>
                <w:sz w:val="20"/>
                <w:szCs w:val="20"/>
              </w:rPr>
              <w:t xml:space="preserve"> </w:t>
            </w:r>
            <w:r>
              <w:rPr>
                <w:rFonts w:ascii="Arial Narrow" w:hAnsi="Arial Narrow"/>
                <w:color w:val="000000"/>
                <w:sz w:val="20"/>
                <w:szCs w:val="20"/>
              </w:rPr>
              <w:t xml:space="preserve">выполнения этапов работ. Ввод объекта планируется в 2025 году.</w:t>
            </w:r>
            <w:r>
              <w:rPr>
                <w:rFonts w:ascii="Arial Narrow" w:hAnsi="Arial Narrow"/>
                <w:sz w:val="20"/>
                <w:szCs w:val="20"/>
              </w:rPr>
            </w:r>
            <w:r>
              <w:rPr>
                <w:rFonts w:ascii="Arial Narrow" w:hAnsi="Arial Narrow"/>
                <w:sz w:val="20"/>
                <w:szCs w:val="20"/>
              </w:rPr>
            </w:r>
          </w:p>
        </w:tc>
      </w:tr>
      <w:tr>
        <w:trPr>
          <w:trHeight w:val="23"/>
        </w:trPr>
        <w:tc>
          <w:tcPr>
            <w:shd w:val="clear" w:color="auto" w:fill="ffffff"/>
            <w:tcW w:w="2801" w:type="dxa"/>
            <w:vAlign w:val="center"/>
            <w:textDirection w:val="lrTb"/>
            <w:noWrap w:val="false"/>
          </w:tcPr>
          <w:p>
            <w:pPr>
              <w:pStyle w:val="1063"/>
              <w:jc w:val="both"/>
              <w:widowControl w:val="off"/>
              <w:rPr>
                <w:rFonts w:ascii="Arial Narrow" w:hAnsi="Arial Narrow"/>
                <w:sz w:val="20"/>
                <w:szCs w:val="20"/>
              </w:rPr>
            </w:pPr>
            <w:r>
              <w:rPr>
                <w:rFonts w:ascii="Arial Narrow" w:hAnsi="Arial Narrow"/>
                <w:color w:val="000000"/>
                <w:sz w:val="20"/>
                <w:szCs w:val="20"/>
              </w:rPr>
              <w:t xml:space="preserve">Строительство КЛ-10 кВ протяженностью 13,4 км, ВЛ-10 кВ протяженностью 34,2 км, РТП-10/0,4 кВ и ТП-10/0,4кВ мощностью 14.77 МВА (РТП-2х3150кВА-10/0,4 кВ- 1 шт., РТП-2х2500кВА-10/0,4 кВ- 1 шт. , КТПН-2х63 кВА-10/0,4 кВ - 1 шт., КТПН-2х630кВ</w:t>
            </w:r>
            <w:r>
              <w:rPr>
                <w:rFonts w:ascii="Arial Narrow" w:hAnsi="Arial Narrow"/>
                <w:color w:val="000000"/>
                <w:sz w:val="20"/>
                <w:szCs w:val="20"/>
              </w:rPr>
              <w:t xml:space="preserve">А-10/0,4 кВ - 2 шт., КТПН-2х160кВА-10/0,4 кВ - 1 шт., КТПН-2х250кВА-10/0,4 кВ - 1 шт.), КЛ-0,4 кВ протяженностью 12 км для технологического присоединения объектов резидентов площадки «Зеленовские озерки», Елизовского муниципального района, Камчатского края</w:t>
            </w:r>
            <w:r>
              <w:rPr>
                <w:rFonts w:ascii="Arial Narrow" w:hAnsi="Arial Narrow"/>
                <w:sz w:val="20"/>
                <w:szCs w:val="20"/>
              </w:rPr>
            </w:r>
            <w:r>
              <w:rPr>
                <w:rFonts w:ascii="Arial Narrow" w:hAnsi="Arial Narrow"/>
                <w:sz w:val="20"/>
                <w:szCs w:val="20"/>
              </w:rPr>
            </w:r>
          </w:p>
        </w:tc>
        <w:tc>
          <w:tcPr>
            <w:shd w:val="clear" w:color="auto" w:fill="ffffff"/>
            <w:tcW w:w="845"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I_509-1120</w:t>
            </w:r>
            <w:r>
              <w:rPr>
                <w:rFonts w:ascii="Arial Narrow" w:hAnsi="Arial Narrow"/>
                <w:sz w:val="20"/>
                <w:szCs w:val="20"/>
              </w:rPr>
            </w:r>
            <w:r>
              <w:rPr>
                <w:rFonts w:ascii="Arial Narrow" w:hAnsi="Arial Narrow"/>
                <w:sz w:val="20"/>
                <w:szCs w:val="20"/>
              </w:rPr>
            </w:r>
          </w:p>
        </w:tc>
        <w:tc>
          <w:tcPr>
            <w:shd w:val="clear" w:color="auto" w:fill="ffffff"/>
            <w:tcW w:w="966"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8,47</w:t>
            </w:r>
            <w:r>
              <w:rPr>
                <w:rFonts w:ascii="Arial Narrow" w:hAnsi="Arial Narrow"/>
                <w:sz w:val="20"/>
                <w:szCs w:val="20"/>
              </w:rPr>
            </w:r>
            <w:r>
              <w:rPr>
                <w:rFonts w:ascii="Arial Narrow" w:hAnsi="Arial Narrow"/>
                <w:sz w:val="20"/>
                <w:szCs w:val="20"/>
              </w:rPr>
            </w:r>
          </w:p>
        </w:tc>
        <w:tc>
          <w:tcPr>
            <w:shd w:val="clear" w:color="auto" w:fill="ffffff"/>
            <w:tcW w:w="830"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8,47</w:t>
            </w:r>
            <w:r>
              <w:rPr>
                <w:rFonts w:ascii="Arial Narrow" w:hAnsi="Arial Narrow"/>
                <w:sz w:val="20"/>
                <w:szCs w:val="20"/>
              </w:rPr>
            </w:r>
            <w:r>
              <w:rPr>
                <w:rFonts w:ascii="Arial Narrow" w:hAnsi="Arial Narrow"/>
                <w:sz w:val="20"/>
                <w:szCs w:val="20"/>
              </w:rPr>
            </w:r>
          </w:p>
        </w:tc>
        <w:tc>
          <w:tcPr>
            <w:shd w:val="clear" w:color="auto" w:fill="ffffff"/>
            <w:tcW w:w="1243"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0</w:t>
            </w:r>
            <w:r>
              <w:rPr>
                <w:rFonts w:ascii="Arial Narrow" w:hAnsi="Arial Narrow"/>
                <w:sz w:val="20"/>
                <w:szCs w:val="20"/>
              </w:rPr>
            </w:r>
            <w:r>
              <w:rPr>
                <w:rFonts w:ascii="Arial Narrow" w:hAnsi="Arial Narrow"/>
                <w:sz w:val="20"/>
                <w:szCs w:val="20"/>
              </w:rPr>
            </w:r>
          </w:p>
        </w:tc>
        <w:tc>
          <w:tcPr>
            <w:shd w:val="clear" w:color="auto" w:fill="ffffff"/>
            <w:tcW w:w="552"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100</w:t>
            </w:r>
            <w:r>
              <w:rPr>
                <w:rFonts w:ascii="Arial Narrow" w:hAnsi="Arial Narrow"/>
                <w:sz w:val="20"/>
                <w:szCs w:val="20"/>
              </w:rPr>
            </w:r>
            <w:r>
              <w:rPr>
                <w:rFonts w:ascii="Arial Narrow" w:hAnsi="Arial Narrow"/>
                <w:sz w:val="20"/>
                <w:szCs w:val="20"/>
              </w:rPr>
            </w:r>
          </w:p>
        </w:tc>
        <w:tc>
          <w:tcPr>
            <w:shd w:val="clear" w:color="auto" w:fill="ffffff"/>
            <w:tcW w:w="2825" w:type="dxa"/>
            <w:vAlign w:val="center"/>
            <w:textDirection w:val="lrTb"/>
            <w:noWrap w:val="false"/>
          </w:tcPr>
          <w:p>
            <w:pPr>
              <w:pStyle w:val="1063"/>
              <w:jc w:val="both"/>
              <w:widowControl w:val="off"/>
              <w:rPr>
                <w:rFonts w:ascii="Arial Narrow" w:hAnsi="Arial Narrow"/>
                <w:sz w:val="20"/>
                <w:szCs w:val="20"/>
              </w:rPr>
            </w:pPr>
            <w:r>
              <w:rPr>
                <w:rFonts w:ascii="Arial Narrow" w:hAnsi="Arial Narrow"/>
                <w:sz w:val="20"/>
                <w:szCs w:val="20"/>
              </w:rPr>
            </w:r>
            <w:r>
              <w:rPr>
                <w:rFonts w:ascii="Arial Narrow" w:hAnsi="Arial Narrow"/>
                <w:sz w:val="20"/>
                <w:szCs w:val="20"/>
              </w:rPr>
            </w:r>
            <w:r>
              <w:rPr>
                <w:rFonts w:ascii="Arial Narrow" w:hAnsi="Arial Narrow"/>
                <w:sz w:val="20"/>
                <w:szCs w:val="20"/>
              </w:rPr>
            </w:r>
          </w:p>
        </w:tc>
      </w:tr>
      <w:tr>
        <w:trPr>
          <w:trHeight w:val="23"/>
        </w:trPr>
        <w:tc>
          <w:tcPr>
            <w:shd w:val="clear" w:color="auto" w:fill="ffffff"/>
            <w:tcW w:w="2801" w:type="dxa"/>
            <w:vAlign w:val="center"/>
            <w:textDirection w:val="lrTb"/>
            <w:noWrap w:val="false"/>
          </w:tcPr>
          <w:p>
            <w:pPr>
              <w:pStyle w:val="1063"/>
              <w:jc w:val="both"/>
              <w:widowControl w:val="off"/>
              <w:rPr>
                <w:rFonts w:ascii="Arial Narrow" w:hAnsi="Arial Narrow"/>
                <w:sz w:val="20"/>
                <w:szCs w:val="20"/>
              </w:rPr>
            </w:pPr>
            <w:r>
              <w:rPr>
                <w:rFonts w:ascii="Arial Narrow" w:hAnsi="Arial Narrow"/>
                <w:color w:val="000000"/>
                <w:sz w:val="20"/>
                <w:szCs w:val="20"/>
              </w:rPr>
              <w:t xml:space="preserve">Прочие проекты</w:t>
            </w:r>
            <w:r>
              <w:rPr>
                <w:rFonts w:ascii="Arial Narrow" w:hAnsi="Arial Narrow"/>
                <w:sz w:val="20"/>
                <w:szCs w:val="20"/>
              </w:rPr>
            </w:r>
            <w:r>
              <w:rPr>
                <w:rFonts w:ascii="Arial Narrow" w:hAnsi="Arial Narrow"/>
                <w:sz w:val="20"/>
                <w:szCs w:val="20"/>
              </w:rPr>
            </w:r>
          </w:p>
        </w:tc>
        <w:tc>
          <w:tcPr>
            <w:shd w:val="clear" w:color="auto" w:fill="ffffff"/>
            <w:tcW w:w="845"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2 проекта</w:t>
            </w:r>
            <w:r>
              <w:rPr>
                <w:rFonts w:ascii="Arial Narrow" w:hAnsi="Arial Narrow"/>
                <w:sz w:val="20"/>
                <w:szCs w:val="20"/>
              </w:rPr>
            </w:r>
            <w:r>
              <w:rPr>
                <w:rFonts w:ascii="Arial Narrow" w:hAnsi="Arial Narrow"/>
                <w:sz w:val="20"/>
                <w:szCs w:val="20"/>
              </w:rPr>
            </w:r>
          </w:p>
        </w:tc>
        <w:tc>
          <w:tcPr>
            <w:shd w:val="clear" w:color="auto" w:fill="ffffff"/>
            <w:tcW w:w="966"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2,96</w:t>
            </w:r>
            <w:r>
              <w:rPr>
                <w:rFonts w:ascii="Arial Narrow" w:hAnsi="Arial Narrow"/>
                <w:sz w:val="20"/>
                <w:szCs w:val="20"/>
              </w:rPr>
            </w:r>
            <w:r>
              <w:rPr>
                <w:rFonts w:ascii="Arial Narrow" w:hAnsi="Arial Narrow"/>
                <w:sz w:val="20"/>
                <w:szCs w:val="20"/>
              </w:rPr>
            </w:r>
          </w:p>
        </w:tc>
        <w:tc>
          <w:tcPr>
            <w:shd w:val="clear" w:color="auto" w:fill="ffffff"/>
            <w:tcW w:w="830"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0</w:t>
            </w:r>
            <w:r>
              <w:rPr>
                <w:rFonts w:ascii="Arial Narrow" w:hAnsi="Arial Narrow"/>
                <w:sz w:val="20"/>
                <w:szCs w:val="20"/>
              </w:rPr>
            </w:r>
            <w:r>
              <w:rPr>
                <w:rFonts w:ascii="Arial Narrow" w:hAnsi="Arial Narrow"/>
                <w:sz w:val="20"/>
                <w:szCs w:val="20"/>
              </w:rPr>
            </w:r>
          </w:p>
        </w:tc>
        <w:tc>
          <w:tcPr>
            <w:shd w:val="clear" w:color="auto" w:fill="ffffff"/>
            <w:tcW w:w="1243"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- 2,96</w:t>
            </w:r>
            <w:r>
              <w:rPr>
                <w:rFonts w:ascii="Arial Narrow" w:hAnsi="Arial Narrow"/>
                <w:sz w:val="20"/>
                <w:szCs w:val="20"/>
              </w:rPr>
            </w:r>
            <w:r>
              <w:rPr>
                <w:rFonts w:ascii="Arial Narrow" w:hAnsi="Arial Narrow"/>
                <w:sz w:val="20"/>
                <w:szCs w:val="20"/>
              </w:rPr>
            </w:r>
          </w:p>
        </w:tc>
        <w:tc>
          <w:tcPr>
            <w:shd w:val="clear" w:color="auto" w:fill="ffffff"/>
            <w:tcW w:w="552"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0</w:t>
            </w:r>
            <w:r>
              <w:rPr>
                <w:rFonts w:ascii="Arial Narrow" w:hAnsi="Arial Narrow"/>
                <w:sz w:val="20"/>
                <w:szCs w:val="20"/>
              </w:rPr>
            </w:r>
            <w:r>
              <w:rPr>
                <w:rFonts w:ascii="Arial Narrow" w:hAnsi="Arial Narrow"/>
                <w:sz w:val="20"/>
                <w:szCs w:val="20"/>
              </w:rPr>
            </w:r>
          </w:p>
        </w:tc>
        <w:tc>
          <w:tcPr>
            <w:shd w:val="clear" w:color="auto" w:fill="ffffff"/>
            <w:tcW w:w="2825" w:type="dxa"/>
            <w:vAlign w:val="center"/>
            <w:textDirection w:val="lrTb"/>
            <w:noWrap w:val="false"/>
          </w:tcPr>
          <w:p>
            <w:pPr>
              <w:pStyle w:val="1063"/>
              <w:jc w:val="both"/>
              <w:widowControl w:val="off"/>
              <w:rPr>
                <w:rFonts w:ascii="Arial Narrow" w:hAnsi="Arial Narrow"/>
                <w:bCs/>
                <w:color w:val="000000"/>
                <w:sz w:val="20"/>
                <w:szCs w:val="20"/>
              </w:rPr>
            </w:pPr>
            <w:r>
              <w:rPr>
                <w:rFonts w:ascii="Arial Narrow" w:hAnsi="Arial Narrow"/>
                <w:bCs/>
                <w:color w:val="000000"/>
                <w:sz w:val="20"/>
                <w:szCs w:val="20"/>
              </w:rPr>
            </w:r>
            <w:r>
              <w:rPr>
                <w:rFonts w:ascii="Arial Narrow" w:hAnsi="Arial Narrow"/>
                <w:bCs/>
                <w:color w:val="000000"/>
                <w:sz w:val="20"/>
                <w:szCs w:val="20"/>
              </w:rPr>
            </w:r>
            <w:r>
              <w:rPr>
                <w:rFonts w:ascii="Arial Narrow" w:hAnsi="Arial Narrow"/>
                <w:bCs/>
                <w:color w:val="000000"/>
                <w:sz w:val="20"/>
                <w:szCs w:val="20"/>
              </w:rPr>
            </w:r>
          </w:p>
        </w:tc>
      </w:tr>
      <w:tr>
        <w:trPr>
          <w:trHeight w:val="23"/>
        </w:trPr>
        <w:tc>
          <w:tcPr>
            <w:shd w:val="clear" w:color="auto" w:fill="ffffff"/>
            <w:tcW w:w="2801" w:type="dxa"/>
            <w:vAlign w:val="center"/>
            <w:textDirection w:val="lrTb"/>
            <w:noWrap w:val="false"/>
          </w:tcPr>
          <w:p>
            <w:pPr>
              <w:pStyle w:val="1063"/>
              <w:jc w:val="both"/>
              <w:widowControl w:val="off"/>
              <w:rPr>
                <w:rFonts w:ascii="Arial Narrow" w:hAnsi="Arial Narrow"/>
                <w:sz w:val="20"/>
                <w:szCs w:val="20"/>
              </w:rPr>
            </w:pPr>
            <w:r>
              <w:rPr>
                <w:rFonts w:ascii="Arial Narrow" w:hAnsi="Arial Narrow"/>
                <w:bCs/>
                <w:color w:val="000000"/>
                <w:sz w:val="20"/>
                <w:szCs w:val="20"/>
              </w:rPr>
              <w:t xml:space="preserve">Воздушные линии электропередачи, км ВЛ</w:t>
            </w:r>
            <w:r>
              <w:rPr>
                <w:rFonts w:ascii="Arial Narrow" w:hAnsi="Arial Narrow"/>
                <w:sz w:val="20"/>
                <w:szCs w:val="20"/>
              </w:rPr>
            </w:r>
            <w:r>
              <w:rPr>
                <w:rFonts w:ascii="Arial Narrow" w:hAnsi="Arial Narrow"/>
                <w:sz w:val="20"/>
                <w:szCs w:val="20"/>
              </w:rPr>
            </w:r>
          </w:p>
        </w:tc>
        <w:tc>
          <w:tcPr>
            <w:shd w:val="clear" w:color="auto" w:fill="ffffff"/>
            <w:tcW w:w="845" w:type="dxa"/>
            <w:vAlign w:val="center"/>
            <w:textDirection w:val="lrTb"/>
            <w:noWrap w:val="false"/>
          </w:tcPr>
          <w:p>
            <w:pPr>
              <w:pStyle w:val="1063"/>
              <w:jc w:val="center"/>
              <w:widowControl w:val="off"/>
              <w:rPr>
                <w:rFonts w:ascii="Arial Narrow" w:hAnsi="Arial Narrow"/>
                <w:sz w:val="20"/>
                <w:szCs w:val="20"/>
              </w:rPr>
            </w:pPr>
            <w:r>
              <w:rPr>
                <w:rFonts w:ascii="Arial Narrow" w:hAnsi="Arial Narrow"/>
                <w:bCs/>
                <w:color w:val="000000"/>
                <w:sz w:val="20"/>
                <w:szCs w:val="20"/>
              </w:rPr>
              <w:t xml:space="preserve">4 проекта</w:t>
            </w:r>
            <w:r>
              <w:rPr>
                <w:rFonts w:ascii="Arial Narrow" w:hAnsi="Arial Narrow"/>
                <w:sz w:val="20"/>
                <w:szCs w:val="20"/>
              </w:rPr>
            </w:r>
            <w:r>
              <w:rPr>
                <w:rFonts w:ascii="Arial Narrow" w:hAnsi="Arial Narrow"/>
                <w:sz w:val="20"/>
                <w:szCs w:val="20"/>
              </w:rPr>
            </w:r>
          </w:p>
        </w:tc>
        <w:tc>
          <w:tcPr>
            <w:shd w:val="clear" w:color="auto" w:fill="ffffff"/>
            <w:tcW w:w="966" w:type="dxa"/>
            <w:vAlign w:val="center"/>
            <w:textDirection w:val="lrTb"/>
            <w:noWrap w:val="false"/>
          </w:tcPr>
          <w:p>
            <w:pPr>
              <w:pStyle w:val="1063"/>
              <w:jc w:val="center"/>
              <w:widowControl w:val="off"/>
              <w:rPr>
                <w:rFonts w:ascii="Arial Narrow" w:hAnsi="Arial Narrow"/>
                <w:sz w:val="20"/>
                <w:szCs w:val="20"/>
              </w:rPr>
            </w:pPr>
            <w:r>
              <w:rPr>
                <w:rFonts w:ascii="Arial Narrow" w:hAnsi="Arial Narrow"/>
                <w:bCs/>
                <w:color w:val="000000"/>
                <w:sz w:val="20"/>
                <w:szCs w:val="20"/>
              </w:rPr>
              <w:t xml:space="preserve">140,56</w:t>
            </w:r>
            <w:r>
              <w:rPr>
                <w:rFonts w:ascii="Arial Narrow" w:hAnsi="Arial Narrow"/>
                <w:sz w:val="20"/>
                <w:szCs w:val="20"/>
              </w:rPr>
            </w:r>
            <w:r>
              <w:rPr>
                <w:rFonts w:ascii="Arial Narrow" w:hAnsi="Arial Narrow"/>
                <w:sz w:val="20"/>
                <w:szCs w:val="20"/>
              </w:rPr>
            </w:r>
          </w:p>
        </w:tc>
        <w:tc>
          <w:tcPr>
            <w:shd w:val="clear" w:color="auto" w:fill="ffffff"/>
            <w:tcW w:w="830" w:type="dxa"/>
            <w:vAlign w:val="center"/>
            <w:textDirection w:val="lrTb"/>
            <w:noWrap w:val="false"/>
          </w:tcPr>
          <w:p>
            <w:pPr>
              <w:pStyle w:val="1063"/>
              <w:jc w:val="center"/>
              <w:widowControl w:val="off"/>
              <w:rPr>
                <w:rFonts w:ascii="Arial Narrow" w:hAnsi="Arial Narrow"/>
                <w:sz w:val="20"/>
                <w:szCs w:val="20"/>
              </w:rPr>
            </w:pPr>
            <w:r>
              <w:rPr>
                <w:rFonts w:ascii="Arial Narrow" w:hAnsi="Arial Narrow"/>
                <w:bCs/>
                <w:color w:val="000000"/>
                <w:sz w:val="20"/>
                <w:szCs w:val="20"/>
              </w:rPr>
              <w:t xml:space="preserve">42,508</w:t>
            </w:r>
            <w:r>
              <w:rPr>
                <w:rFonts w:ascii="Arial Narrow" w:hAnsi="Arial Narrow"/>
                <w:sz w:val="20"/>
                <w:szCs w:val="20"/>
              </w:rPr>
            </w:r>
            <w:r>
              <w:rPr>
                <w:rFonts w:ascii="Arial Narrow" w:hAnsi="Arial Narrow"/>
                <w:sz w:val="20"/>
                <w:szCs w:val="20"/>
              </w:rPr>
            </w:r>
          </w:p>
        </w:tc>
        <w:tc>
          <w:tcPr>
            <w:shd w:val="clear" w:color="auto" w:fill="ffffff"/>
            <w:tcW w:w="1243" w:type="dxa"/>
            <w:vAlign w:val="center"/>
            <w:textDirection w:val="lrTb"/>
            <w:noWrap w:val="false"/>
          </w:tcPr>
          <w:p>
            <w:pPr>
              <w:pStyle w:val="1063"/>
              <w:jc w:val="center"/>
              <w:widowControl w:val="off"/>
              <w:rPr>
                <w:rFonts w:ascii="Arial Narrow" w:hAnsi="Arial Narrow"/>
                <w:sz w:val="20"/>
                <w:szCs w:val="20"/>
              </w:rPr>
            </w:pPr>
            <w:r>
              <w:rPr>
                <w:rFonts w:ascii="Arial Narrow" w:hAnsi="Arial Narrow"/>
                <w:bCs/>
                <w:color w:val="000000"/>
                <w:sz w:val="20"/>
                <w:szCs w:val="20"/>
              </w:rPr>
              <w:t xml:space="preserve">- 98,052</w:t>
            </w:r>
            <w:r>
              <w:rPr>
                <w:rFonts w:ascii="Arial Narrow" w:hAnsi="Arial Narrow"/>
                <w:sz w:val="20"/>
                <w:szCs w:val="20"/>
              </w:rPr>
            </w:r>
            <w:r>
              <w:rPr>
                <w:rFonts w:ascii="Arial Narrow" w:hAnsi="Arial Narrow"/>
                <w:sz w:val="20"/>
                <w:szCs w:val="20"/>
              </w:rPr>
            </w:r>
          </w:p>
        </w:tc>
        <w:tc>
          <w:tcPr>
            <w:shd w:val="clear" w:color="auto" w:fill="ffffff"/>
            <w:tcW w:w="552" w:type="dxa"/>
            <w:vAlign w:val="center"/>
            <w:textDirection w:val="lrTb"/>
            <w:noWrap w:val="false"/>
          </w:tcPr>
          <w:p>
            <w:pPr>
              <w:pStyle w:val="1063"/>
              <w:jc w:val="center"/>
              <w:widowControl w:val="off"/>
              <w:rPr>
                <w:rFonts w:ascii="Arial Narrow" w:hAnsi="Arial Narrow"/>
                <w:sz w:val="20"/>
                <w:szCs w:val="20"/>
              </w:rPr>
            </w:pPr>
            <w:r>
              <w:rPr>
                <w:rFonts w:ascii="Arial Narrow" w:hAnsi="Arial Narrow"/>
                <w:bCs/>
                <w:color w:val="000000"/>
                <w:sz w:val="20"/>
                <w:szCs w:val="20"/>
              </w:rPr>
              <w:t xml:space="preserve">30</w:t>
            </w:r>
            <w:r>
              <w:rPr>
                <w:rFonts w:ascii="Arial Narrow" w:hAnsi="Arial Narrow"/>
                <w:sz w:val="20"/>
                <w:szCs w:val="20"/>
              </w:rPr>
            </w:r>
            <w:r>
              <w:rPr>
                <w:rFonts w:ascii="Arial Narrow" w:hAnsi="Arial Narrow"/>
                <w:sz w:val="20"/>
                <w:szCs w:val="20"/>
              </w:rPr>
            </w:r>
          </w:p>
        </w:tc>
        <w:tc>
          <w:tcPr>
            <w:shd w:val="clear" w:color="auto" w:fill="ffffff"/>
            <w:tcW w:w="2825" w:type="dxa"/>
            <w:vAlign w:val="center"/>
            <w:textDirection w:val="lrTb"/>
            <w:noWrap w:val="false"/>
          </w:tcPr>
          <w:p>
            <w:pPr>
              <w:pStyle w:val="1063"/>
              <w:jc w:val="both"/>
              <w:widowControl w:val="off"/>
              <w:rPr>
                <w:rFonts w:ascii="Arial Narrow" w:hAnsi="Arial Narrow"/>
                <w:sz w:val="20"/>
                <w:szCs w:val="20"/>
              </w:rPr>
            </w:pPr>
            <w:r>
              <w:rPr>
                <w:rFonts w:ascii="Arial Narrow" w:hAnsi="Arial Narrow"/>
                <w:sz w:val="20"/>
                <w:szCs w:val="20"/>
              </w:rPr>
            </w:r>
            <w:r>
              <w:rPr>
                <w:rFonts w:ascii="Arial Narrow" w:hAnsi="Arial Narrow"/>
                <w:sz w:val="20"/>
                <w:szCs w:val="20"/>
              </w:rPr>
            </w:r>
            <w:r>
              <w:rPr>
                <w:rFonts w:ascii="Arial Narrow" w:hAnsi="Arial Narrow"/>
                <w:sz w:val="20"/>
                <w:szCs w:val="20"/>
              </w:rPr>
            </w:r>
          </w:p>
        </w:tc>
      </w:tr>
      <w:tr>
        <w:trPr>
          <w:trHeight w:val="23"/>
        </w:trPr>
        <w:tc>
          <w:tcPr>
            <w:shd w:val="clear" w:color="auto" w:fill="ffffff"/>
            <w:tcW w:w="2801" w:type="dxa"/>
            <w:vAlign w:val="center"/>
            <w:textDirection w:val="lrTb"/>
            <w:noWrap w:val="false"/>
          </w:tcPr>
          <w:p>
            <w:pPr>
              <w:pStyle w:val="1063"/>
              <w:jc w:val="both"/>
              <w:widowControl w:val="off"/>
              <w:rPr>
                <w:rFonts w:ascii="Arial Narrow" w:hAnsi="Arial Narrow"/>
                <w:sz w:val="20"/>
                <w:szCs w:val="20"/>
              </w:rPr>
            </w:pPr>
            <w:r>
              <w:rPr>
                <w:rFonts w:ascii="Arial Narrow" w:hAnsi="Arial Narrow"/>
                <w:color w:val="000000"/>
                <w:sz w:val="20"/>
                <w:szCs w:val="20"/>
              </w:rPr>
              <w:t xml:space="preserve">Сооружение «ВЛ-110 кВ от ПС 220/110/35/10 кВ Авача до ПС 110/35/10 кВ «Сопка Горячая», со </w:t>
            </w:r>
            <w:r>
              <w:rPr>
                <w:rFonts w:ascii="Arial Narrow" w:hAnsi="Arial Narrow"/>
                <w:color w:val="000000"/>
                <w:sz w:val="20"/>
                <w:szCs w:val="20"/>
              </w:rPr>
              <w:t xml:space="preserve">строительством ПС 110/35/10 кВ «Сопка Горячая», КЛ 35 кВ от ПС 110/35/10 кВ до ПС 35/10 кВ «Горнолыжный комплекс», со строительством ПС 35/10 кВ «Горнолыжный комплекс» и ЛЭП 10 кВ до электроустановок Заявителя</w:t>
            </w:r>
            <w:r>
              <w:rPr>
                <w:rFonts w:ascii="Arial Narrow" w:hAnsi="Arial Narrow"/>
                <w:sz w:val="20"/>
                <w:szCs w:val="20"/>
              </w:rPr>
            </w:r>
            <w:r>
              <w:rPr>
                <w:rFonts w:ascii="Arial Narrow" w:hAnsi="Arial Narrow"/>
                <w:sz w:val="20"/>
                <w:szCs w:val="20"/>
              </w:rPr>
            </w:r>
          </w:p>
        </w:tc>
        <w:tc>
          <w:tcPr>
            <w:shd w:val="clear" w:color="auto" w:fill="ffffff"/>
            <w:tcW w:w="845"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M_ЦЭС_509-2741</w:t>
            </w:r>
            <w:r>
              <w:rPr>
                <w:rFonts w:ascii="Arial Narrow" w:hAnsi="Arial Narrow"/>
                <w:sz w:val="20"/>
                <w:szCs w:val="20"/>
              </w:rPr>
            </w:r>
            <w:r>
              <w:rPr>
                <w:rFonts w:ascii="Arial Narrow" w:hAnsi="Arial Narrow"/>
                <w:sz w:val="20"/>
                <w:szCs w:val="20"/>
              </w:rPr>
            </w:r>
          </w:p>
        </w:tc>
        <w:tc>
          <w:tcPr>
            <w:shd w:val="clear" w:color="auto" w:fill="ffffff"/>
            <w:tcW w:w="966"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93,56</w:t>
            </w:r>
            <w:r>
              <w:rPr>
                <w:rFonts w:ascii="Arial Narrow" w:hAnsi="Arial Narrow"/>
                <w:sz w:val="20"/>
                <w:szCs w:val="20"/>
              </w:rPr>
            </w:r>
            <w:r>
              <w:rPr>
                <w:rFonts w:ascii="Arial Narrow" w:hAnsi="Arial Narrow"/>
                <w:sz w:val="20"/>
                <w:szCs w:val="20"/>
              </w:rPr>
            </w:r>
          </w:p>
        </w:tc>
        <w:tc>
          <w:tcPr>
            <w:shd w:val="clear" w:color="auto" w:fill="ffffff"/>
            <w:tcW w:w="830"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0</w:t>
            </w:r>
            <w:r>
              <w:rPr>
                <w:rFonts w:ascii="Arial Narrow" w:hAnsi="Arial Narrow"/>
                <w:sz w:val="20"/>
                <w:szCs w:val="20"/>
              </w:rPr>
            </w:r>
            <w:r>
              <w:rPr>
                <w:rFonts w:ascii="Arial Narrow" w:hAnsi="Arial Narrow"/>
                <w:sz w:val="20"/>
                <w:szCs w:val="20"/>
              </w:rPr>
            </w:r>
          </w:p>
        </w:tc>
        <w:tc>
          <w:tcPr>
            <w:shd w:val="clear" w:color="auto" w:fill="ffffff"/>
            <w:tcW w:w="1243"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-93,56</w:t>
            </w:r>
            <w:r>
              <w:rPr>
                <w:rFonts w:ascii="Arial Narrow" w:hAnsi="Arial Narrow"/>
                <w:sz w:val="20"/>
                <w:szCs w:val="20"/>
              </w:rPr>
            </w:r>
            <w:r>
              <w:rPr>
                <w:rFonts w:ascii="Arial Narrow" w:hAnsi="Arial Narrow"/>
                <w:sz w:val="20"/>
                <w:szCs w:val="20"/>
              </w:rPr>
            </w:r>
          </w:p>
        </w:tc>
        <w:tc>
          <w:tcPr>
            <w:shd w:val="clear" w:color="auto" w:fill="ffffff"/>
            <w:tcW w:w="552"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0</w:t>
            </w:r>
            <w:r>
              <w:rPr>
                <w:rFonts w:ascii="Arial Narrow" w:hAnsi="Arial Narrow"/>
                <w:sz w:val="20"/>
                <w:szCs w:val="20"/>
              </w:rPr>
            </w:r>
            <w:r>
              <w:rPr>
                <w:rFonts w:ascii="Arial Narrow" w:hAnsi="Arial Narrow"/>
                <w:sz w:val="20"/>
                <w:szCs w:val="20"/>
              </w:rPr>
            </w:r>
          </w:p>
        </w:tc>
        <w:tc>
          <w:tcPr>
            <w:shd w:val="clear" w:color="auto" w:fill="ffffff"/>
            <w:tcW w:w="2825" w:type="dxa"/>
            <w:vAlign w:val="center"/>
            <w:textDirection w:val="lrTb"/>
            <w:noWrap w:val="false"/>
          </w:tcPr>
          <w:p>
            <w:pPr>
              <w:pStyle w:val="1063"/>
              <w:jc w:val="both"/>
              <w:widowControl w:val="off"/>
              <w:rPr>
                <w:rFonts w:ascii="Arial Narrow" w:hAnsi="Arial Narrow"/>
                <w:sz w:val="20"/>
                <w:szCs w:val="20"/>
              </w:rPr>
            </w:pPr>
            <w:r>
              <w:rPr>
                <w:rFonts w:ascii="Arial Narrow" w:hAnsi="Arial Narrow"/>
                <w:color w:val="000000"/>
                <w:sz w:val="20"/>
                <w:szCs w:val="20"/>
              </w:rPr>
              <w:t xml:space="preserve">Неисполнение обязательств со стороны подрядной организации с нарушением срока </w:t>
            </w:r>
            <w:r>
              <w:rPr>
                <w:rFonts w:ascii="Arial Narrow" w:hAnsi="Arial Narrow" w:eastAsia="Arial Narrow"/>
                <w:color w:val="000000"/>
                <w:sz w:val="20"/>
                <w:szCs w:val="20"/>
              </w:rPr>
              <w:t xml:space="preserve"> </w:t>
            </w:r>
            <w:r>
              <w:rPr>
                <w:rFonts w:ascii="Arial Narrow" w:hAnsi="Arial Narrow"/>
                <w:color w:val="000000"/>
                <w:sz w:val="20"/>
                <w:szCs w:val="20"/>
              </w:rPr>
              <w:t xml:space="preserve">выполнения </w:t>
            </w:r>
            <w:r>
              <w:rPr>
                <w:rFonts w:ascii="Arial Narrow" w:hAnsi="Arial Narrow"/>
                <w:color w:val="000000"/>
                <w:sz w:val="20"/>
                <w:szCs w:val="20"/>
              </w:rPr>
              <w:t xml:space="preserve">этапов работ. Ввод объекта планируется в 2025 году.</w:t>
            </w:r>
            <w:r>
              <w:rPr>
                <w:rFonts w:ascii="Arial Narrow" w:hAnsi="Arial Narrow"/>
                <w:sz w:val="20"/>
                <w:szCs w:val="20"/>
              </w:rPr>
            </w:r>
            <w:r>
              <w:rPr>
                <w:rFonts w:ascii="Arial Narrow" w:hAnsi="Arial Narrow"/>
                <w:sz w:val="20"/>
                <w:szCs w:val="20"/>
              </w:rPr>
            </w:r>
          </w:p>
        </w:tc>
      </w:tr>
      <w:tr>
        <w:trPr>
          <w:trHeight w:val="23"/>
        </w:trPr>
        <w:tc>
          <w:tcPr>
            <w:shd w:val="clear" w:color="auto" w:fill="ffffff"/>
            <w:tcW w:w="2801" w:type="dxa"/>
            <w:vAlign w:val="center"/>
            <w:textDirection w:val="lrTb"/>
            <w:noWrap w:val="false"/>
          </w:tcPr>
          <w:p>
            <w:pPr>
              <w:pStyle w:val="1063"/>
              <w:jc w:val="both"/>
              <w:widowControl w:val="off"/>
              <w:rPr>
                <w:rFonts w:ascii="Arial Narrow" w:hAnsi="Arial Narrow"/>
                <w:sz w:val="20"/>
                <w:szCs w:val="20"/>
              </w:rPr>
            </w:pPr>
            <w:r>
              <w:rPr>
                <w:rFonts w:ascii="Arial Narrow" w:hAnsi="Arial Narrow"/>
                <w:color w:val="000000"/>
                <w:sz w:val="20"/>
                <w:szCs w:val="20"/>
              </w:rPr>
              <w:t xml:space="preserve">Строительство РТП 10/0,4 кВ (2х400кВА) - 1 шт., ТП-10/0,</w:t>
            </w:r>
            <w:r>
              <w:rPr>
                <w:rFonts w:ascii="Arial Narrow" w:hAnsi="Arial Narrow"/>
                <w:color w:val="000000"/>
                <w:sz w:val="20"/>
                <w:szCs w:val="20"/>
              </w:rPr>
              <w:t xml:space="preserve">4кВ (2х40кВА) - 2 шт., ЛЭП-10 кВ (L= 6,6 км), ЛЭП-0,4 кВ (L= 1 км) для технологического присоединения объектов: «ЦНС «Верхнепаратунская-3», «КНС ГК-41», «КНС К-89», «КНС Э-5», расположенных по адресу: Российская Федерация, Камчатский край, Елизовский район</w:t>
            </w:r>
            <w:r>
              <w:rPr>
                <w:rFonts w:ascii="Arial Narrow" w:hAnsi="Arial Narrow"/>
                <w:sz w:val="20"/>
                <w:szCs w:val="20"/>
              </w:rPr>
            </w:r>
            <w:r>
              <w:rPr>
                <w:rFonts w:ascii="Arial Narrow" w:hAnsi="Arial Narrow"/>
                <w:sz w:val="20"/>
                <w:szCs w:val="20"/>
              </w:rPr>
            </w:r>
          </w:p>
        </w:tc>
        <w:tc>
          <w:tcPr>
            <w:shd w:val="clear" w:color="auto" w:fill="ffffff"/>
            <w:tcW w:w="845"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O_ЦЭС_509-4286</w:t>
            </w:r>
            <w:r>
              <w:rPr>
                <w:rFonts w:ascii="Arial Narrow" w:hAnsi="Arial Narrow"/>
                <w:sz w:val="20"/>
                <w:szCs w:val="20"/>
              </w:rPr>
            </w:r>
            <w:r>
              <w:rPr>
                <w:rFonts w:ascii="Arial Narrow" w:hAnsi="Arial Narrow"/>
                <w:sz w:val="20"/>
                <w:szCs w:val="20"/>
              </w:rPr>
            </w:r>
          </w:p>
        </w:tc>
        <w:tc>
          <w:tcPr>
            <w:shd w:val="clear" w:color="auto" w:fill="ffffff"/>
            <w:tcW w:w="966"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7,6</w:t>
            </w:r>
            <w:r>
              <w:rPr>
                <w:rFonts w:ascii="Arial Narrow" w:hAnsi="Arial Narrow"/>
                <w:sz w:val="20"/>
                <w:szCs w:val="20"/>
              </w:rPr>
            </w:r>
            <w:r>
              <w:rPr>
                <w:rFonts w:ascii="Arial Narrow" w:hAnsi="Arial Narrow"/>
                <w:sz w:val="20"/>
                <w:szCs w:val="20"/>
              </w:rPr>
            </w:r>
          </w:p>
        </w:tc>
        <w:tc>
          <w:tcPr>
            <w:shd w:val="clear" w:color="auto" w:fill="ffffff"/>
            <w:tcW w:w="830"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0</w:t>
            </w:r>
            <w:r>
              <w:rPr>
                <w:rFonts w:ascii="Arial Narrow" w:hAnsi="Arial Narrow"/>
                <w:sz w:val="20"/>
                <w:szCs w:val="20"/>
              </w:rPr>
            </w:r>
            <w:r>
              <w:rPr>
                <w:rFonts w:ascii="Arial Narrow" w:hAnsi="Arial Narrow"/>
                <w:sz w:val="20"/>
                <w:szCs w:val="20"/>
              </w:rPr>
            </w:r>
          </w:p>
        </w:tc>
        <w:tc>
          <w:tcPr>
            <w:shd w:val="clear" w:color="auto" w:fill="ffffff"/>
            <w:tcW w:w="1243"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-7,6</w:t>
            </w:r>
            <w:r>
              <w:rPr>
                <w:rFonts w:ascii="Arial Narrow" w:hAnsi="Arial Narrow"/>
                <w:sz w:val="20"/>
                <w:szCs w:val="20"/>
              </w:rPr>
            </w:r>
            <w:r>
              <w:rPr>
                <w:rFonts w:ascii="Arial Narrow" w:hAnsi="Arial Narrow"/>
                <w:sz w:val="20"/>
                <w:szCs w:val="20"/>
              </w:rPr>
            </w:r>
          </w:p>
        </w:tc>
        <w:tc>
          <w:tcPr>
            <w:shd w:val="clear" w:color="auto" w:fill="ffffff"/>
            <w:tcW w:w="552"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0</w:t>
            </w:r>
            <w:r>
              <w:rPr>
                <w:rFonts w:ascii="Arial Narrow" w:hAnsi="Arial Narrow"/>
                <w:sz w:val="20"/>
                <w:szCs w:val="20"/>
              </w:rPr>
            </w:r>
            <w:r>
              <w:rPr>
                <w:rFonts w:ascii="Arial Narrow" w:hAnsi="Arial Narrow"/>
                <w:sz w:val="20"/>
                <w:szCs w:val="20"/>
              </w:rPr>
            </w:r>
          </w:p>
        </w:tc>
        <w:tc>
          <w:tcPr>
            <w:shd w:val="clear" w:color="auto" w:fill="ffffff"/>
            <w:tcW w:w="2825" w:type="dxa"/>
            <w:vAlign w:val="center"/>
            <w:textDirection w:val="lrTb"/>
            <w:noWrap w:val="false"/>
          </w:tcPr>
          <w:p>
            <w:pPr>
              <w:pStyle w:val="1063"/>
              <w:jc w:val="both"/>
              <w:widowControl w:val="off"/>
              <w:rPr>
                <w:rFonts w:ascii="Arial Narrow" w:hAnsi="Arial Narrow"/>
                <w:bCs/>
                <w:color w:val="000000"/>
                <w:sz w:val="20"/>
                <w:szCs w:val="20"/>
                <w:shd w:val="clear" w:color="auto" w:fill="00ffff"/>
              </w:rPr>
            </w:pPr>
            <w:r>
              <w:rPr>
                <w:rFonts w:ascii="Arial Narrow" w:hAnsi="Arial Narrow"/>
                <w:bCs/>
                <w:color w:val="000000"/>
                <w:sz w:val="20"/>
                <w:szCs w:val="20"/>
                <w:shd w:val="clear" w:color="auto" w:fill="00ffff"/>
              </w:rPr>
            </w:r>
            <w:r>
              <w:rPr>
                <w:rFonts w:ascii="Arial Narrow" w:hAnsi="Arial Narrow"/>
                <w:bCs/>
                <w:color w:val="000000"/>
                <w:sz w:val="20"/>
                <w:szCs w:val="20"/>
                <w:shd w:val="clear" w:color="auto" w:fill="00ffff"/>
              </w:rPr>
            </w:r>
            <w:r>
              <w:rPr>
                <w:rFonts w:ascii="Arial Narrow" w:hAnsi="Arial Narrow"/>
                <w:bCs/>
                <w:color w:val="000000"/>
                <w:sz w:val="20"/>
                <w:szCs w:val="20"/>
                <w:shd w:val="clear" w:color="auto" w:fill="00ffff"/>
              </w:rPr>
            </w:r>
          </w:p>
        </w:tc>
      </w:tr>
      <w:tr>
        <w:trPr>
          <w:trHeight w:val="23"/>
        </w:trPr>
        <w:tc>
          <w:tcPr>
            <w:shd w:val="clear" w:color="auto" w:fill="ffffff"/>
            <w:tcW w:w="2801" w:type="dxa"/>
            <w:vAlign w:val="center"/>
            <w:textDirection w:val="lrTb"/>
            <w:noWrap w:val="false"/>
          </w:tcPr>
          <w:p>
            <w:pPr>
              <w:pStyle w:val="1063"/>
              <w:jc w:val="both"/>
              <w:widowControl w:val="off"/>
              <w:rPr>
                <w:rFonts w:ascii="Arial Narrow" w:hAnsi="Arial Narrow"/>
                <w:sz w:val="20"/>
                <w:szCs w:val="20"/>
              </w:rPr>
            </w:pPr>
            <w:r>
              <w:rPr>
                <w:rFonts w:ascii="Arial Narrow" w:hAnsi="Arial Narrow"/>
                <w:color w:val="000000"/>
                <w:sz w:val="20"/>
                <w:szCs w:val="20"/>
              </w:rPr>
              <w:t xml:space="preserve">Строительство ЛЭП-10 кВ для технологического присоединения объекта: «Многоквартирные жилые дома», расположенного по адресу: г. Петропавловск-Камчатский, ул. Топоркова, д. 1. Разработка проектной и рабочей документации. Строительно-монтажные работы</w:t>
            </w:r>
            <w:r>
              <w:rPr>
                <w:rFonts w:ascii="Arial Narrow" w:hAnsi="Arial Narrow"/>
                <w:sz w:val="20"/>
                <w:szCs w:val="20"/>
              </w:rPr>
            </w:r>
            <w:r>
              <w:rPr>
                <w:rFonts w:ascii="Arial Narrow" w:hAnsi="Arial Narrow"/>
                <w:sz w:val="20"/>
                <w:szCs w:val="20"/>
              </w:rPr>
            </w:r>
          </w:p>
        </w:tc>
        <w:tc>
          <w:tcPr>
            <w:shd w:val="clear" w:color="auto" w:fill="ffffff"/>
            <w:tcW w:w="845"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M_ЦЭС_509-3499</w:t>
            </w:r>
            <w:r>
              <w:rPr>
                <w:rFonts w:ascii="Arial Narrow" w:hAnsi="Arial Narrow"/>
                <w:sz w:val="20"/>
                <w:szCs w:val="20"/>
              </w:rPr>
            </w:r>
            <w:r>
              <w:rPr>
                <w:rFonts w:ascii="Arial Narrow" w:hAnsi="Arial Narrow"/>
                <w:sz w:val="20"/>
                <w:szCs w:val="20"/>
              </w:rPr>
            </w:r>
          </w:p>
        </w:tc>
        <w:tc>
          <w:tcPr>
            <w:shd w:val="clear" w:color="auto" w:fill="ffffff"/>
            <w:tcW w:w="966"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5,2</w:t>
            </w:r>
            <w:r>
              <w:rPr>
                <w:rFonts w:ascii="Arial Narrow" w:hAnsi="Arial Narrow"/>
                <w:sz w:val="20"/>
                <w:szCs w:val="20"/>
              </w:rPr>
            </w:r>
            <w:r>
              <w:rPr>
                <w:rFonts w:ascii="Arial Narrow" w:hAnsi="Arial Narrow"/>
                <w:sz w:val="20"/>
                <w:szCs w:val="20"/>
              </w:rPr>
            </w:r>
          </w:p>
        </w:tc>
        <w:tc>
          <w:tcPr>
            <w:shd w:val="clear" w:color="auto" w:fill="ffffff"/>
            <w:tcW w:w="830"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0</w:t>
            </w:r>
            <w:r>
              <w:rPr>
                <w:rFonts w:ascii="Arial Narrow" w:hAnsi="Arial Narrow"/>
                <w:sz w:val="20"/>
                <w:szCs w:val="20"/>
              </w:rPr>
            </w:r>
            <w:r>
              <w:rPr>
                <w:rFonts w:ascii="Arial Narrow" w:hAnsi="Arial Narrow"/>
                <w:sz w:val="20"/>
                <w:szCs w:val="20"/>
              </w:rPr>
            </w:r>
          </w:p>
        </w:tc>
        <w:tc>
          <w:tcPr>
            <w:shd w:val="clear" w:color="auto" w:fill="ffffff"/>
            <w:tcW w:w="1243"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-5,2</w:t>
            </w:r>
            <w:r>
              <w:rPr>
                <w:rFonts w:ascii="Arial Narrow" w:hAnsi="Arial Narrow"/>
                <w:sz w:val="20"/>
                <w:szCs w:val="20"/>
              </w:rPr>
            </w:r>
            <w:r>
              <w:rPr>
                <w:rFonts w:ascii="Arial Narrow" w:hAnsi="Arial Narrow"/>
                <w:sz w:val="20"/>
                <w:szCs w:val="20"/>
              </w:rPr>
            </w:r>
          </w:p>
        </w:tc>
        <w:tc>
          <w:tcPr>
            <w:shd w:val="clear" w:color="auto" w:fill="ffffff"/>
            <w:tcW w:w="552"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0</w:t>
            </w:r>
            <w:r>
              <w:rPr>
                <w:rFonts w:ascii="Arial Narrow" w:hAnsi="Arial Narrow"/>
                <w:sz w:val="20"/>
                <w:szCs w:val="20"/>
              </w:rPr>
            </w:r>
            <w:r>
              <w:rPr>
                <w:rFonts w:ascii="Arial Narrow" w:hAnsi="Arial Narrow"/>
                <w:sz w:val="20"/>
                <w:szCs w:val="20"/>
              </w:rPr>
            </w:r>
          </w:p>
        </w:tc>
        <w:tc>
          <w:tcPr>
            <w:shd w:val="clear" w:color="auto" w:fill="ffffff"/>
            <w:tcW w:w="2825" w:type="dxa"/>
            <w:vAlign w:val="center"/>
            <w:textDirection w:val="lrTb"/>
            <w:noWrap w:val="false"/>
          </w:tcPr>
          <w:p>
            <w:pPr>
              <w:pStyle w:val="1063"/>
              <w:jc w:val="both"/>
              <w:widowControl w:val="off"/>
              <w:rPr>
                <w:rFonts w:ascii="Arial Narrow" w:hAnsi="Arial Narrow"/>
                <w:sz w:val="20"/>
                <w:szCs w:val="20"/>
              </w:rPr>
            </w:pPr>
            <w:r>
              <w:rPr>
                <w:rFonts w:ascii="Arial Narrow" w:hAnsi="Arial Narrow"/>
                <w:color w:val="000000"/>
                <w:sz w:val="20"/>
                <w:szCs w:val="20"/>
              </w:rPr>
              <w:t xml:space="preserve">Работы выполнены в полном объеме введена в эксплуатацию кабельная линия. Ввод составил – 2,539 км КЛ.</w:t>
            </w:r>
            <w:r>
              <w:rPr>
                <w:rFonts w:ascii="Arial Narrow" w:hAnsi="Arial Narrow"/>
                <w:sz w:val="20"/>
                <w:szCs w:val="20"/>
              </w:rPr>
            </w:r>
            <w:r>
              <w:rPr>
                <w:rFonts w:ascii="Arial Narrow" w:hAnsi="Arial Narrow"/>
                <w:sz w:val="20"/>
                <w:szCs w:val="20"/>
              </w:rPr>
            </w:r>
          </w:p>
        </w:tc>
      </w:tr>
      <w:tr>
        <w:trPr>
          <w:trHeight w:val="23"/>
        </w:trPr>
        <w:tc>
          <w:tcPr>
            <w:shd w:val="clear" w:color="auto" w:fill="ffffff"/>
            <w:tcW w:w="2801" w:type="dxa"/>
            <w:vAlign w:val="center"/>
            <w:textDirection w:val="lrTb"/>
            <w:noWrap w:val="false"/>
          </w:tcPr>
          <w:p>
            <w:pPr>
              <w:pStyle w:val="1063"/>
              <w:jc w:val="both"/>
              <w:widowControl w:val="off"/>
              <w:rPr>
                <w:rFonts w:ascii="Arial Narrow" w:hAnsi="Arial Narrow"/>
                <w:sz w:val="20"/>
                <w:szCs w:val="20"/>
              </w:rPr>
            </w:pPr>
            <w:r>
              <w:rPr>
                <w:rFonts w:ascii="Arial Narrow" w:hAnsi="Arial Narrow"/>
                <w:color w:val="000000"/>
                <w:sz w:val="20"/>
                <w:szCs w:val="20"/>
              </w:rPr>
              <w:t xml:space="preserve">Строительство КЛ-10 кВ протяженностью 13,4 км, ВЛ-10 кВ протяженностью 34,2 км, РТП-10/0,4 кВ и ТП-10/0,4кВ мощностью 14.77 МВА (РТП-2х3150кВА-10/0,4 кВ- 1 шт., РТП-2х2500кВА-10/0,4 кВ- 1 шт. , КТПН-2х63 кВА-10/0,4 кВ - 1 шт., КТПН-2х630кВА</w:t>
            </w:r>
            <w:r>
              <w:rPr>
                <w:rFonts w:ascii="Arial Narrow" w:hAnsi="Arial Narrow"/>
                <w:color w:val="000000"/>
                <w:sz w:val="20"/>
                <w:szCs w:val="20"/>
              </w:rPr>
              <w:t xml:space="preserve">-10/0,4 кВ - 2 шт., КТПН-2х160кВА-10/0,4 кВ - 1 шт., КТПН-2х250кВА-10/0,4 кВ - 1 шт.), КЛ-0,4 кВ протяженностью 12 км для технологического присоединения объектов резидентов площадки «Зеленовские озерки», Елизовского муниципального района, Камчатского края.</w:t>
            </w:r>
            <w:r>
              <w:rPr>
                <w:rFonts w:ascii="Arial Narrow" w:hAnsi="Arial Narrow"/>
                <w:sz w:val="20"/>
                <w:szCs w:val="20"/>
              </w:rPr>
            </w:r>
            <w:r>
              <w:rPr>
                <w:rFonts w:ascii="Arial Narrow" w:hAnsi="Arial Narrow"/>
                <w:sz w:val="20"/>
                <w:szCs w:val="20"/>
              </w:rPr>
            </w:r>
          </w:p>
        </w:tc>
        <w:tc>
          <w:tcPr>
            <w:shd w:val="clear" w:color="auto" w:fill="ffffff"/>
            <w:tcW w:w="845"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I_509-1120</w:t>
            </w:r>
            <w:r>
              <w:rPr>
                <w:rFonts w:ascii="Arial Narrow" w:hAnsi="Arial Narrow"/>
                <w:sz w:val="20"/>
                <w:szCs w:val="20"/>
              </w:rPr>
            </w:r>
            <w:r>
              <w:rPr>
                <w:rFonts w:ascii="Arial Narrow" w:hAnsi="Arial Narrow"/>
                <w:sz w:val="20"/>
                <w:szCs w:val="20"/>
              </w:rPr>
            </w:r>
          </w:p>
        </w:tc>
        <w:tc>
          <w:tcPr>
            <w:shd w:val="clear" w:color="auto" w:fill="ffffff"/>
            <w:tcW w:w="966"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34,2</w:t>
            </w:r>
            <w:r>
              <w:rPr>
                <w:rFonts w:ascii="Arial Narrow" w:hAnsi="Arial Narrow"/>
                <w:sz w:val="20"/>
                <w:szCs w:val="20"/>
              </w:rPr>
            </w:r>
            <w:r>
              <w:rPr>
                <w:rFonts w:ascii="Arial Narrow" w:hAnsi="Arial Narrow"/>
                <w:sz w:val="20"/>
                <w:szCs w:val="20"/>
              </w:rPr>
            </w:r>
          </w:p>
        </w:tc>
        <w:tc>
          <w:tcPr>
            <w:shd w:val="clear" w:color="auto" w:fill="ffffff"/>
            <w:tcW w:w="830"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42,508</w:t>
            </w:r>
            <w:r>
              <w:rPr>
                <w:rFonts w:ascii="Arial Narrow" w:hAnsi="Arial Narrow"/>
                <w:sz w:val="20"/>
                <w:szCs w:val="20"/>
              </w:rPr>
            </w:r>
            <w:r>
              <w:rPr>
                <w:rFonts w:ascii="Arial Narrow" w:hAnsi="Arial Narrow"/>
                <w:sz w:val="20"/>
                <w:szCs w:val="20"/>
              </w:rPr>
            </w:r>
          </w:p>
        </w:tc>
        <w:tc>
          <w:tcPr>
            <w:shd w:val="clear" w:color="auto" w:fill="ffffff"/>
            <w:tcW w:w="1243"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8,308</w:t>
            </w:r>
            <w:r>
              <w:rPr>
                <w:rFonts w:ascii="Arial Narrow" w:hAnsi="Arial Narrow"/>
                <w:sz w:val="20"/>
                <w:szCs w:val="20"/>
              </w:rPr>
            </w:r>
            <w:r>
              <w:rPr>
                <w:rFonts w:ascii="Arial Narrow" w:hAnsi="Arial Narrow"/>
                <w:sz w:val="20"/>
                <w:szCs w:val="20"/>
              </w:rPr>
            </w:r>
          </w:p>
        </w:tc>
        <w:tc>
          <w:tcPr>
            <w:shd w:val="clear" w:color="auto" w:fill="ffffff"/>
            <w:tcW w:w="552"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124</w:t>
            </w:r>
            <w:r>
              <w:rPr>
                <w:rFonts w:ascii="Arial Narrow" w:hAnsi="Arial Narrow"/>
                <w:sz w:val="20"/>
                <w:szCs w:val="20"/>
              </w:rPr>
            </w:r>
            <w:r>
              <w:rPr>
                <w:rFonts w:ascii="Arial Narrow" w:hAnsi="Arial Narrow"/>
                <w:sz w:val="20"/>
                <w:szCs w:val="20"/>
              </w:rPr>
            </w:r>
          </w:p>
        </w:tc>
        <w:tc>
          <w:tcPr>
            <w:shd w:val="clear" w:color="auto" w:fill="ffffff"/>
            <w:tcW w:w="2825" w:type="dxa"/>
            <w:vAlign w:val="center"/>
            <w:textDirection w:val="lrTb"/>
            <w:noWrap w:val="false"/>
          </w:tcPr>
          <w:p>
            <w:pPr>
              <w:pStyle w:val="1063"/>
              <w:jc w:val="both"/>
              <w:widowControl w:val="off"/>
              <w:rPr>
                <w:rFonts w:ascii="Arial Narrow" w:hAnsi="Arial Narrow"/>
                <w:sz w:val="20"/>
                <w:szCs w:val="20"/>
              </w:rPr>
            </w:pPr>
            <w:r>
              <w:rPr>
                <w:rFonts w:ascii="Arial Narrow" w:hAnsi="Arial Narrow"/>
                <w:color w:val="000000"/>
                <w:sz w:val="20"/>
                <w:szCs w:val="20"/>
              </w:rPr>
              <w:t xml:space="preserve">Работы завершены в полном объеме. Объект введен в эксплуатацию.</w:t>
            </w:r>
            <w:r>
              <w:rPr>
                <w:rFonts w:ascii="Arial Narrow" w:hAnsi="Arial Narrow"/>
                <w:sz w:val="20"/>
                <w:szCs w:val="20"/>
              </w:rPr>
            </w:r>
            <w:r>
              <w:rPr>
                <w:rFonts w:ascii="Arial Narrow" w:hAnsi="Arial Narrow"/>
                <w:sz w:val="20"/>
                <w:szCs w:val="20"/>
              </w:rPr>
            </w:r>
          </w:p>
        </w:tc>
      </w:tr>
      <w:tr>
        <w:trPr>
          <w:trHeight w:val="23"/>
        </w:trPr>
        <w:tc>
          <w:tcPr>
            <w:shd w:val="clear" w:color="auto" w:fill="ffffff"/>
            <w:tcW w:w="2801" w:type="dxa"/>
            <w:vAlign w:val="center"/>
            <w:textDirection w:val="lrTb"/>
            <w:noWrap w:val="false"/>
          </w:tcPr>
          <w:p>
            <w:pPr>
              <w:pStyle w:val="1063"/>
              <w:jc w:val="both"/>
              <w:widowControl w:val="off"/>
              <w:rPr>
                <w:rFonts w:ascii="Arial Narrow" w:hAnsi="Arial Narrow"/>
                <w:sz w:val="20"/>
                <w:szCs w:val="20"/>
              </w:rPr>
            </w:pPr>
            <w:r>
              <w:rPr>
                <w:rFonts w:ascii="Arial Narrow" w:hAnsi="Arial Narrow"/>
                <w:color w:val="000000"/>
                <w:sz w:val="20"/>
                <w:szCs w:val="20"/>
              </w:rPr>
              <w:t xml:space="preserve">Прочие проекты</w:t>
            </w:r>
            <w:r>
              <w:rPr>
                <w:rFonts w:ascii="Arial Narrow" w:hAnsi="Arial Narrow"/>
                <w:sz w:val="20"/>
                <w:szCs w:val="20"/>
              </w:rPr>
            </w:r>
            <w:r>
              <w:rPr>
                <w:rFonts w:ascii="Arial Narrow" w:hAnsi="Arial Narrow"/>
                <w:sz w:val="20"/>
                <w:szCs w:val="20"/>
              </w:rPr>
            </w:r>
          </w:p>
        </w:tc>
        <w:tc>
          <w:tcPr>
            <w:shd w:val="clear" w:color="auto" w:fill="ffffff"/>
            <w:tcW w:w="845"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 проектов</w:t>
            </w:r>
            <w:r>
              <w:rPr>
                <w:rFonts w:ascii="Arial Narrow" w:hAnsi="Arial Narrow"/>
                <w:sz w:val="20"/>
                <w:szCs w:val="20"/>
              </w:rPr>
            </w:r>
            <w:r>
              <w:rPr>
                <w:rFonts w:ascii="Arial Narrow" w:hAnsi="Arial Narrow"/>
                <w:sz w:val="20"/>
                <w:szCs w:val="20"/>
              </w:rPr>
            </w:r>
          </w:p>
        </w:tc>
        <w:tc>
          <w:tcPr>
            <w:shd w:val="clear" w:color="auto" w:fill="ffffff"/>
            <w:tcW w:w="966"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0</w:t>
            </w:r>
            <w:r>
              <w:rPr>
                <w:rFonts w:ascii="Arial Narrow" w:hAnsi="Arial Narrow"/>
                <w:sz w:val="20"/>
                <w:szCs w:val="20"/>
              </w:rPr>
            </w:r>
            <w:r>
              <w:rPr>
                <w:rFonts w:ascii="Arial Narrow" w:hAnsi="Arial Narrow"/>
                <w:sz w:val="20"/>
                <w:szCs w:val="20"/>
              </w:rPr>
            </w:r>
          </w:p>
        </w:tc>
        <w:tc>
          <w:tcPr>
            <w:shd w:val="clear" w:color="auto" w:fill="ffffff"/>
            <w:tcW w:w="830"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0</w:t>
            </w:r>
            <w:r>
              <w:rPr>
                <w:rFonts w:ascii="Arial Narrow" w:hAnsi="Arial Narrow"/>
                <w:sz w:val="20"/>
                <w:szCs w:val="20"/>
              </w:rPr>
            </w:r>
            <w:r>
              <w:rPr>
                <w:rFonts w:ascii="Arial Narrow" w:hAnsi="Arial Narrow"/>
                <w:sz w:val="20"/>
                <w:szCs w:val="20"/>
              </w:rPr>
            </w:r>
          </w:p>
        </w:tc>
        <w:tc>
          <w:tcPr>
            <w:shd w:val="clear" w:color="auto" w:fill="ffffff"/>
            <w:tcW w:w="1243"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0</w:t>
            </w:r>
            <w:r>
              <w:rPr>
                <w:rFonts w:ascii="Arial Narrow" w:hAnsi="Arial Narrow"/>
                <w:sz w:val="20"/>
                <w:szCs w:val="20"/>
              </w:rPr>
            </w:r>
            <w:r>
              <w:rPr>
                <w:rFonts w:ascii="Arial Narrow" w:hAnsi="Arial Narrow"/>
                <w:sz w:val="20"/>
                <w:szCs w:val="20"/>
              </w:rPr>
            </w:r>
          </w:p>
        </w:tc>
        <w:tc>
          <w:tcPr>
            <w:shd w:val="clear" w:color="auto" w:fill="ffffff"/>
            <w:tcW w:w="552"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0</w:t>
            </w:r>
            <w:r>
              <w:rPr>
                <w:rFonts w:ascii="Arial Narrow" w:hAnsi="Arial Narrow"/>
                <w:sz w:val="20"/>
                <w:szCs w:val="20"/>
              </w:rPr>
            </w:r>
            <w:r>
              <w:rPr>
                <w:rFonts w:ascii="Arial Narrow" w:hAnsi="Arial Narrow"/>
                <w:sz w:val="20"/>
                <w:szCs w:val="20"/>
              </w:rPr>
            </w:r>
          </w:p>
        </w:tc>
        <w:tc>
          <w:tcPr>
            <w:shd w:val="clear" w:color="auto" w:fill="ffffff"/>
            <w:tcW w:w="2825" w:type="dxa"/>
            <w:vAlign w:val="center"/>
            <w:textDirection w:val="lrTb"/>
            <w:noWrap w:val="false"/>
          </w:tcPr>
          <w:p>
            <w:pPr>
              <w:pStyle w:val="1063"/>
              <w:jc w:val="both"/>
              <w:widowControl w:val="off"/>
              <w:rPr>
                <w:rFonts w:ascii="Arial Narrow" w:hAnsi="Arial Narrow"/>
                <w:bCs/>
                <w:color w:val="000000"/>
                <w:sz w:val="20"/>
                <w:szCs w:val="20"/>
              </w:rPr>
            </w:pPr>
            <w:r>
              <w:rPr>
                <w:rFonts w:ascii="Arial Narrow" w:hAnsi="Arial Narrow"/>
                <w:bCs/>
                <w:color w:val="000000"/>
                <w:sz w:val="20"/>
                <w:szCs w:val="20"/>
              </w:rPr>
            </w:r>
            <w:r>
              <w:rPr>
                <w:rFonts w:ascii="Arial Narrow" w:hAnsi="Arial Narrow"/>
                <w:bCs/>
                <w:color w:val="000000"/>
                <w:sz w:val="20"/>
                <w:szCs w:val="20"/>
              </w:rPr>
            </w:r>
            <w:r>
              <w:rPr>
                <w:rFonts w:ascii="Arial Narrow" w:hAnsi="Arial Narrow"/>
                <w:bCs/>
                <w:color w:val="000000"/>
                <w:sz w:val="20"/>
                <w:szCs w:val="20"/>
              </w:rPr>
            </w:r>
          </w:p>
        </w:tc>
      </w:tr>
      <w:tr>
        <w:trPr>
          <w:trHeight w:val="23"/>
        </w:trPr>
        <w:tc>
          <w:tcPr>
            <w:shd w:val="clear" w:color="auto" w:fill="ffffff"/>
            <w:tcW w:w="2801" w:type="dxa"/>
            <w:vAlign w:val="center"/>
            <w:textDirection w:val="lrTb"/>
            <w:noWrap w:val="false"/>
          </w:tcPr>
          <w:p>
            <w:pPr>
              <w:pStyle w:val="1063"/>
              <w:jc w:val="both"/>
              <w:widowControl w:val="off"/>
              <w:rPr>
                <w:rFonts w:ascii="Arial Narrow" w:hAnsi="Arial Narrow"/>
                <w:sz w:val="20"/>
                <w:szCs w:val="20"/>
              </w:rPr>
            </w:pPr>
            <w:r>
              <w:rPr>
                <w:rFonts w:ascii="Arial Narrow" w:hAnsi="Arial Narrow"/>
                <w:bCs/>
                <w:color w:val="000000"/>
                <w:sz w:val="20"/>
                <w:szCs w:val="20"/>
              </w:rPr>
              <w:t xml:space="preserve">Кабельные линии электропередачи, км КЛ</w:t>
            </w:r>
            <w:r>
              <w:rPr>
                <w:rFonts w:ascii="Arial Narrow" w:hAnsi="Arial Narrow"/>
                <w:sz w:val="20"/>
                <w:szCs w:val="20"/>
              </w:rPr>
            </w:r>
            <w:r>
              <w:rPr>
                <w:rFonts w:ascii="Arial Narrow" w:hAnsi="Arial Narrow"/>
                <w:sz w:val="20"/>
                <w:szCs w:val="20"/>
              </w:rPr>
            </w:r>
          </w:p>
        </w:tc>
        <w:tc>
          <w:tcPr>
            <w:shd w:val="clear" w:color="auto" w:fill="ffffff"/>
            <w:tcW w:w="845" w:type="dxa"/>
            <w:vAlign w:val="center"/>
            <w:textDirection w:val="lrTb"/>
            <w:noWrap w:val="false"/>
          </w:tcPr>
          <w:p>
            <w:pPr>
              <w:pStyle w:val="1063"/>
              <w:jc w:val="center"/>
              <w:widowControl w:val="off"/>
              <w:rPr>
                <w:rFonts w:ascii="Arial Narrow" w:hAnsi="Arial Narrow"/>
                <w:sz w:val="20"/>
                <w:szCs w:val="20"/>
              </w:rPr>
            </w:pPr>
            <w:r>
              <w:rPr>
                <w:rFonts w:ascii="Arial Narrow" w:hAnsi="Arial Narrow"/>
                <w:bCs/>
                <w:color w:val="000000"/>
                <w:sz w:val="20"/>
                <w:szCs w:val="20"/>
              </w:rPr>
              <w:t xml:space="preserve">10 проектов</w:t>
            </w:r>
            <w:r>
              <w:rPr>
                <w:rFonts w:ascii="Arial Narrow" w:hAnsi="Arial Narrow"/>
                <w:sz w:val="20"/>
                <w:szCs w:val="20"/>
              </w:rPr>
            </w:r>
            <w:r>
              <w:rPr>
                <w:rFonts w:ascii="Arial Narrow" w:hAnsi="Arial Narrow"/>
                <w:sz w:val="20"/>
                <w:szCs w:val="20"/>
              </w:rPr>
            </w:r>
          </w:p>
        </w:tc>
        <w:tc>
          <w:tcPr>
            <w:shd w:val="clear" w:color="auto" w:fill="ffffff"/>
            <w:tcW w:w="966" w:type="dxa"/>
            <w:vAlign w:val="center"/>
            <w:textDirection w:val="lrTb"/>
            <w:noWrap w:val="false"/>
          </w:tcPr>
          <w:p>
            <w:pPr>
              <w:pStyle w:val="1063"/>
              <w:jc w:val="center"/>
              <w:widowControl w:val="off"/>
              <w:rPr>
                <w:rFonts w:ascii="Arial Narrow" w:hAnsi="Arial Narrow"/>
                <w:sz w:val="20"/>
                <w:szCs w:val="20"/>
              </w:rPr>
            </w:pPr>
            <w:r>
              <w:rPr>
                <w:rFonts w:ascii="Arial Narrow" w:hAnsi="Arial Narrow"/>
                <w:bCs/>
                <w:color w:val="000000"/>
                <w:sz w:val="20"/>
                <w:szCs w:val="20"/>
              </w:rPr>
              <w:t xml:space="preserve">47,16</w:t>
            </w:r>
            <w:r>
              <w:rPr>
                <w:rFonts w:ascii="Arial Narrow" w:hAnsi="Arial Narrow"/>
                <w:sz w:val="20"/>
                <w:szCs w:val="20"/>
              </w:rPr>
            </w:r>
            <w:r>
              <w:rPr>
                <w:rFonts w:ascii="Arial Narrow" w:hAnsi="Arial Narrow"/>
                <w:sz w:val="20"/>
                <w:szCs w:val="20"/>
              </w:rPr>
            </w:r>
          </w:p>
        </w:tc>
        <w:tc>
          <w:tcPr>
            <w:shd w:val="clear" w:color="auto" w:fill="ffffff"/>
            <w:tcW w:w="830" w:type="dxa"/>
            <w:vAlign w:val="center"/>
            <w:textDirection w:val="lrTb"/>
            <w:noWrap w:val="false"/>
          </w:tcPr>
          <w:p>
            <w:pPr>
              <w:pStyle w:val="1063"/>
              <w:jc w:val="center"/>
              <w:widowControl w:val="off"/>
              <w:rPr>
                <w:rFonts w:ascii="Arial Narrow" w:hAnsi="Arial Narrow"/>
                <w:sz w:val="20"/>
                <w:szCs w:val="20"/>
              </w:rPr>
            </w:pPr>
            <w:r>
              <w:rPr>
                <w:rFonts w:ascii="Arial Narrow" w:hAnsi="Arial Narrow"/>
                <w:bCs/>
                <w:color w:val="000000"/>
                <w:sz w:val="20"/>
                <w:szCs w:val="20"/>
              </w:rPr>
              <w:t xml:space="preserve">17,13</w:t>
            </w:r>
            <w:r>
              <w:rPr>
                <w:rFonts w:ascii="Arial Narrow" w:hAnsi="Arial Narrow"/>
                <w:sz w:val="20"/>
                <w:szCs w:val="20"/>
              </w:rPr>
            </w:r>
            <w:r>
              <w:rPr>
                <w:rFonts w:ascii="Arial Narrow" w:hAnsi="Arial Narrow"/>
                <w:sz w:val="20"/>
                <w:szCs w:val="20"/>
              </w:rPr>
            </w:r>
          </w:p>
        </w:tc>
        <w:tc>
          <w:tcPr>
            <w:shd w:val="clear" w:color="auto" w:fill="ffffff"/>
            <w:tcW w:w="1243" w:type="dxa"/>
            <w:vAlign w:val="center"/>
            <w:textDirection w:val="lrTb"/>
            <w:noWrap w:val="false"/>
          </w:tcPr>
          <w:p>
            <w:pPr>
              <w:pStyle w:val="1063"/>
              <w:jc w:val="center"/>
              <w:widowControl w:val="off"/>
              <w:rPr>
                <w:rFonts w:ascii="Arial Narrow" w:hAnsi="Arial Narrow"/>
                <w:sz w:val="20"/>
                <w:szCs w:val="20"/>
              </w:rPr>
            </w:pPr>
            <w:r>
              <w:rPr>
                <w:rFonts w:ascii="Arial Narrow" w:hAnsi="Arial Narrow"/>
                <w:bCs/>
                <w:color w:val="000000"/>
                <w:sz w:val="20"/>
                <w:szCs w:val="20"/>
              </w:rPr>
              <w:t xml:space="preserve">- 30,03</w:t>
            </w:r>
            <w:r>
              <w:rPr>
                <w:rFonts w:ascii="Arial Narrow" w:hAnsi="Arial Narrow"/>
                <w:sz w:val="20"/>
                <w:szCs w:val="20"/>
              </w:rPr>
            </w:r>
            <w:r>
              <w:rPr>
                <w:rFonts w:ascii="Arial Narrow" w:hAnsi="Arial Narrow"/>
                <w:sz w:val="20"/>
                <w:szCs w:val="20"/>
              </w:rPr>
            </w:r>
          </w:p>
        </w:tc>
        <w:tc>
          <w:tcPr>
            <w:shd w:val="clear" w:color="auto" w:fill="ffffff"/>
            <w:tcW w:w="552" w:type="dxa"/>
            <w:vAlign w:val="center"/>
            <w:textDirection w:val="lrTb"/>
            <w:noWrap w:val="false"/>
          </w:tcPr>
          <w:p>
            <w:pPr>
              <w:pStyle w:val="1063"/>
              <w:jc w:val="center"/>
              <w:widowControl w:val="off"/>
              <w:rPr>
                <w:rFonts w:ascii="Arial Narrow" w:hAnsi="Arial Narrow"/>
                <w:sz w:val="20"/>
                <w:szCs w:val="20"/>
              </w:rPr>
            </w:pPr>
            <w:r>
              <w:rPr>
                <w:rFonts w:ascii="Arial Narrow" w:hAnsi="Arial Narrow"/>
                <w:bCs/>
                <w:color w:val="000000"/>
                <w:sz w:val="20"/>
                <w:szCs w:val="20"/>
              </w:rPr>
              <w:t xml:space="preserve">36</w:t>
            </w:r>
            <w:r>
              <w:rPr>
                <w:rFonts w:ascii="Arial Narrow" w:hAnsi="Arial Narrow"/>
                <w:sz w:val="20"/>
                <w:szCs w:val="20"/>
              </w:rPr>
            </w:r>
            <w:r>
              <w:rPr>
                <w:rFonts w:ascii="Arial Narrow" w:hAnsi="Arial Narrow"/>
                <w:sz w:val="20"/>
                <w:szCs w:val="20"/>
              </w:rPr>
            </w:r>
          </w:p>
        </w:tc>
        <w:tc>
          <w:tcPr>
            <w:shd w:val="clear" w:color="auto" w:fill="ffffff"/>
            <w:tcW w:w="2825" w:type="dxa"/>
            <w:vAlign w:val="center"/>
            <w:textDirection w:val="lrTb"/>
            <w:noWrap w:val="false"/>
          </w:tcPr>
          <w:p>
            <w:pPr>
              <w:pStyle w:val="1063"/>
              <w:jc w:val="both"/>
              <w:widowControl w:val="off"/>
              <w:rPr>
                <w:rFonts w:ascii="Arial Narrow" w:hAnsi="Arial Narrow"/>
                <w:sz w:val="20"/>
                <w:szCs w:val="20"/>
              </w:rPr>
            </w:pPr>
            <w:r>
              <w:rPr>
                <w:rFonts w:ascii="Arial Narrow" w:hAnsi="Arial Narrow"/>
                <w:sz w:val="20"/>
                <w:szCs w:val="20"/>
              </w:rPr>
            </w:r>
            <w:r>
              <w:rPr>
                <w:rFonts w:ascii="Arial Narrow" w:hAnsi="Arial Narrow"/>
                <w:sz w:val="20"/>
                <w:szCs w:val="20"/>
              </w:rPr>
            </w:r>
            <w:r>
              <w:rPr>
                <w:rFonts w:ascii="Arial Narrow" w:hAnsi="Arial Narrow"/>
                <w:sz w:val="20"/>
                <w:szCs w:val="20"/>
              </w:rPr>
            </w:r>
          </w:p>
        </w:tc>
      </w:tr>
      <w:tr>
        <w:trPr>
          <w:trHeight w:val="23"/>
        </w:trPr>
        <w:tc>
          <w:tcPr>
            <w:shd w:val="clear" w:color="auto" w:fill="ffffff"/>
            <w:tcW w:w="2801" w:type="dxa"/>
            <w:vAlign w:val="center"/>
            <w:textDirection w:val="lrTb"/>
            <w:noWrap w:val="false"/>
          </w:tcPr>
          <w:p>
            <w:pPr>
              <w:pStyle w:val="1063"/>
              <w:jc w:val="both"/>
              <w:widowControl w:val="off"/>
              <w:rPr>
                <w:rFonts w:ascii="Arial Narrow" w:hAnsi="Arial Narrow"/>
                <w:sz w:val="20"/>
                <w:szCs w:val="20"/>
              </w:rPr>
            </w:pPr>
            <w:r>
              <w:rPr>
                <w:rFonts w:ascii="Arial Narrow" w:hAnsi="Arial Narrow"/>
                <w:color w:val="000000"/>
                <w:sz w:val="20"/>
                <w:szCs w:val="20"/>
              </w:rPr>
              <w:t xml:space="preserve">Сооружение «ВЛ-110 кВ от ПС 220/110/35/10 к</w:t>
            </w:r>
            <w:r>
              <w:rPr>
                <w:rFonts w:ascii="Arial Narrow" w:hAnsi="Arial Narrow"/>
                <w:color w:val="000000"/>
                <w:sz w:val="20"/>
                <w:szCs w:val="20"/>
              </w:rPr>
              <w:t xml:space="preserve">В Авача до ПС 110/35/10 кВ «Сопка Горячая», со строительством ПС 110/35/10 кВ «Сопка Горячая», КЛ 35 кВ от ПС 110/35/10 кВ до ПС 35/10 кВ «Горнолыжный комплекс», со строительством ПС 35/10 кВ «Горнолыжный комплекс» и ЛЭП 10 кВ до электроустановок Заявителя</w:t>
            </w:r>
            <w:r>
              <w:rPr>
                <w:rFonts w:ascii="Arial Narrow" w:hAnsi="Arial Narrow"/>
                <w:sz w:val="20"/>
                <w:szCs w:val="20"/>
              </w:rPr>
            </w:r>
            <w:r>
              <w:rPr>
                <w:rFonts w:ascii="Arial Narrow" w:hAnsi="Arial Narrow"/>
                <w:sz w:val="20"/>
                <w:szCs w:val="20"/>
              </w:rPr>
            </w:r>
          </w:p>
        </w:tc>
        <w:tc>
          <w:tcPr>
            <w:shd w:val="clear" w:color="auto" w:fill="ffffff"/>
            <w:tcW w:w="845"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M_ЦЭС_509-2741</w:t>
            </w:r>
            <w:r>
              <w:rPr>
                <w:rFonts w:ascii="Arial Narrow" w:hAnsi="Arial Narrow"/>
                <w:sz w:val="20"/>
                <w:szCs w:val="20"/>
              </w:rPr>
            </w:r>
            <w:r>
              <w:rPr>
                <w:rFonts w:ascii="Arial Narrow" w:hAnsi="Arial Narrow"/>
                <w:sz w:val="20"/>
                <w:szCs w:val="20"/>
              </w:rPr>
            </w:r>
          </w:p>
        </w:tc>
        <w:tc>
          <w:tcPr>
            <w:shd w:val="clear" w:color="auto" w:fill="ffffff"/>
            <w:tcW w:w="966"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12,94</w:t>
            </w:r>
            <w:r>
              <w:rPr>
                <w:rFonts w:ascii="Arial Narrow" w:hAnsi="Arial Narrow"/>
                <w:sz w:val="20"/>
                <w:szCs w:val="20"/>
              </w:rPr>
            </w:r>
            <w:r>
              <w:rPr>
                <w:rFonts w:ascii="Arial Narrow" w:hAnsi="Arial Narrow"/>
                <w:sz w:val="20"/>
                <w:szCs w:val="20"/>
              </w:rPr>
            </w:r>
          </w:p>
        </w:tc>
        <w:tc>
          <w:tcPr>
            <w:shd w:val="clear" w:color="auto" w:fill="ffffff"/>
            <w:tcW w:w="830"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0</w:t>
            </w:r>
            <w:r>
              <w:rPr>
                <w:rFonts w:ascii="Arial Narrow" w:hAnsi="Arial Narrow"/>
                <w:sz w:val="20"/>
                <w:szCs w:val="20"/>
              </w:rPr>
            </w:r>
            <w:r>
              <w:rPr>
                <w:rFonts w:ascii="Arial Narrow" w:hAnsi="Arial Narrow"/>
                <w:sz w:val="20"/>
                <w:szCs w:val="20"/>
              </w:rPr>
            </w:r>
          </w:p>
        </w:tc>
        <w:tc>
          <w:tcPr>
            <w:shd w:val="clear" w:color="auto" w:fill="ffffff"/>
            <w:tcW w:w="1243"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-12,94</w:t>
            </w:r>
            <w:r>
              <w:rPr>
                <w:rFonts w:ascii="Arial Narrow" w:hAnsi="Arial Narrow"/>
                <w:sz w:val="20"/>
                <w:szCs w:val="20"/>
              </w:rPr>
            </w:r>
            <w:r>
              <w:rPr>
                <w:rFonts w:ascii="Arial Narrow" w:hAnsi="Arial Narrow"/>
                <w:sz w:val="20"/>
                <w:szCs w:val="20"/>
              </w:rPr>
            </w:r>
          </w:p>
        </w:tc>
        <w:tc>
          <w:tcPr>
            <w:shd w:val="clear" w:color="auto" w:fill="ffffff"/>
            <w:tcW w:w="552"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0</w:t>
            </w:r>
            <w:r>
              <w:rPr>
                <w:rFonts w:ascii="Arial Narrow" w:hAnsi="Arial Narrow"/>
                <w:sz w:val="20"/>
                <w:szCs w:val="20"/>
              </w:rPr>
            </w:r>
            <w:r>
              <w:rPr>
                <w:rFonts w:ascii="Arial Narrow" w:hAnsi="Arial Narrow"/>
                <w:sz w:val="20"/>
                <w:szCs w:val="20"/>
              </w:rPr>
            </w:r>
          </w:p>
        </w:tc>
        <w:tc>
          <w:tcPr>
            <w:shd w:val="clear" w:color="auto" w:fill="ffffff"/>
            <w:tcW w:w="2825" w:type="dxa"/>
            <w:vAlign w:val="center"/>
            <w:textDirection w:val="lrTb"/>
            <w:noWrap w:val="false"/>
          </w:tcPr>
          <w:p>
            <w:pPr>
              <w:pStyle w:val="1063"/>
              <w:jc w:val="both"/>
              <w:widowControl w:val="off"/>
              <w:rPr>
                <w:rFonts w:ascii="Arial Narrow" w:hAnsi="Arial Narrow"/>
                <w:sz w:val="20"/>
                <w:szCs w:val="20"/>
              </w:rPr>
            </w:pPr>
            <w:r>
              <w:rPr>
                <w:rFonts w:ascii="Arial Narrow" w:hAnsi="Arial Narrow"/>
                <w:color w:val="000000"/>
                <w:sz w:val="20"/>
                <w:szCs w:val="20"/>
              </w:rPr>
              <w:t xml:space="preserve">Неисполнение обязательств со стороны подрядной организации с нарушением срока </w:t>
            </w:r>
            <w:r>
              <w:rPr>
                <w:rFonts w:ascii="Arial Narrow" w:hAnsi="Arial Narrow" w:eastAsia="Arial Narrow"/>
                <w:color w:val="000000"/>
                <w:sz w:val="20"/>
                <w:szCs w:val="20"/>
              </w:rPr>
              <w:t xml:space="preserve"> </w:t>
            </w:r>
            <w:r>
              <w:rPr>
                <w:rFonts w:ascii="Arial Narrow" w:hAnsi="Arial Narrow"/>
                <w:color w:val="000000"/>
                <w:sz w:val="20"/>
                <w:szCs w:val="20"/>
              </w:rPr>
              <w:t xml:space="preserve">выполнения этапов работ. Ввод объекта планируется в 2025 году.</w:t>
            </w:r>
            <w:r>
              <w:rPr>
                <w:rFonts w:ascii="Arial Narrow" w:hAnsi="Arial Narrow"/>
                <w:sz w:val="20"/>
                <w:szCs w:val="20"/>
              </w:rPr>
            </w:r>
            <w:r>
              <w:rPr>
                <w:rFonts w:ascii="Arial Narrow" w:hAnsi="Arial Narrow"/>
                <w:sz w:val="20"/>
                <w:szCs w:val="20"/>
              </w:rPr>
            </w:r>
          </w:p>
        </w:tc>
      </w:tr>
      <w:tr>
        <w:trPr>
          <w:trHeight w:val="23"/>
        </w:trPr>
        <w:tc>
          <w:tcPr>
            <w:shd w:val="clear" w:color="auto" w:fill="ffffff"/>
            <w:tcW w:w="2801" w:type="dxa"/>
            <w:vAlign w:val="center"/>
            <w:textDirection w:val="lrTb"/>
            <w:noWrap w:val="false"/>
          </w:tcPr>
          <w:p>
            <w:pPr>
              <w:pStyle w:val="1063"/>
              <w:jc w:val="both"/>
              <w:widowControl w:val="off"/>
              <w:rPr>
                <w:rFonts w:ascii="Arial Narrow" w:hAnsi="Arial Narrow"/>
                <w:sz w:val="20"/>
                <w:szCs w:val="20"/>
              </w:rPr>
            </w:pPr>
            <w:r>
              <w:rPr>
                <w:rFonts w:ascii="Arial Narrow" w:hAnsi="Arial Narrow"/>
                <w:color w:val="000000"/>
                <w:sz w:val="20"/>
                <w:szCs w:val="20"/>
              </w:rPr>
              <w:t xml:space="preserve">Строительство КЛ-10 кВ протяженностью 13,4 км, ВЛ-10 кВ протяженностью 34,2 км, РТП-10/0,4 кВ и ТП-10/0,4кВ мощностью 14.77 МВА (РТП-2х3150кВА-10/0,4 кВ- 1 шт., РТП-2х2500кВА-10/0,4 кВ- 1 шт. , КТПН-2х63 кВА-10/0,4 кВ - 1 шт., КТПН-2х630кВА-10/0,4 кВ - 2 </w:t>
            </w:r>
            <w:r>
              <w:rPr>
                <w:rFonts w:ascii="Arial Narrow" w:hAnsi="Arial Narrow"/>
                <w:color w:val="000000"/>
                <w:sz w:val="20"/>
                <w:szCs w:val="20"/>
              </w:rPr>
              <w:t xml:space="preserve">шт., КТПН-2х160кВА-10/0,4 кВ - 1 шт., КТПН-2х250кВА-10/0,4 кВ - 1 шт.), КЛ-0,4 кВ протяженностью 12 км для технологического присоединения объектов резидентов площадки «Зеленовские озерки», Елизовского муниципального района, Камчатского края.</w:t>
            </w:r>
            <w:r>
              <w:rPr>
                <w:rFonts w:ascii="Arial Narrow" w:hAnsi="Arial Narrow"/>
                <w:sz w:val="20"/>
                <w:szCs w:val="20"/>
              </w:rPr>
            </w:r>
            <w:r>
              <w:rPr>
                <w:rFonts w:ascii="Arial Narrow" w:hAnsi="Arial Narrow"/>
                <w:sz w:val="20"/>
                <w:szCs w:val="20"/>
              </w:rPr>
            </w:r>
          </w:p>
        </w:tc>
        <w:tc>
          <w:tcPr>
            <w:shd w:val="clear" w:color="auto" w:fill="ffffff"/>
            <w:tcW w:w="845"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I_509-1120</w:t>
            </w:r>
            <w:r>
              <w:rPr>
                <w:rFonts w:ascii="Arial Narrow" w:hAnsi="Arial Narrow"/>
                <w:sz w:val="20"/>
                <w:szCs w:val="20"/>
              </w:rPr>
            </w:r>
            <w:r>
              <w:rPr>
                <w:rFonts w:ascii="Arial Narrow" w:hAnsi="Arial Narrow"/>
                <w:sz w:val="20"/>
                <w:szCs w:val="20"/>
              </w:rPr>
            </w:r>
          </w:p>
        </w:tc>
        <w:tc>
          <w:tcPr>
            <w:shd w:val="clear" w:color="auto" w:fill="ffffff"/>
            <w:tcW w:w="966"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24,49</w:t>
            </w:r>
            <w:r>
              <w:rPr>
                <w:rFonts w:ascii="Arial Narrow" w:hAnsi="Arial Narrow"/>
                <w:sz w:val="20"/>
                <w:szCs w:val="20"/>
              </w:rPr>
            </w:r>
            <w:r>
              <w:rPr>
                <w:rFonts w:ascii="Arial Narrow" w:hAnsi="Arial Narrow"/>
                <w:sz w:val="20"/>
                <w:szCs w:val="20"/>
              </w:rPr>
            </w:r>
          </w:p>
        </w:tc>
        <w:tc>
          <w:tcPr>
            <w:shd w:val="clear" w:color="auto" w:fill="ffffff"/>
            <w:tcW w:w="830"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5,472</w:t>
            </w:r>
            <w:r>
              <w:rPr>
                <w:rFonts w:ascii="Arial Narrow" w:hAnsi="Arial Narrow"/>
                <w:sz w:val="20"/>
                <w:szCs w:val="20"/>
              </w:rPr>
            </w:r>
            <w:r>
              <w:rPr>
                <w:rFonts w:ascii="Arial Narrow" w:hAnsi="Arial Narrow"/>
                <w:sz w:val="20"/>
                <w:szCs w:val="20"/>
              </w:rPr>
            </w:r>
          </w:p>
        </w:tc>
        <w:tc>
          <w:tcPr>
            <w:shd w:val="clear" w:color="auto" w:fill="ffffff"/>
            <w:tcW w:w="1243"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- 19,018</w:t>
            </w:r>
            <w:r>
              <w:rPr>
                <w:rFonts w:ascii="Arial Narrow" w:hAnsi="Arial Narrow"/>
                <w:sz w:val="20"/>
                <w:szCs w:val="20"/>
              </w:rPr>
            </w:r>
            <w:r>
              <w:rPr>
                <w:rFonts w:ascii="Arial Narrow" w:hAnsi="Arial Narrow"/>
                <w:sz w:val="20"/>
                <w:szCs w:val="20"/>
              </w:rPr>
            </w:r>
          </w:p>
        </w:tc>
        <w:tc>
          <w:tcPr>
            <w:shd w:val="clear" w:color="auto" w:fill="ffffff"/>
            <w:tcW w:w="552"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22</w:t>
            </w:r>
            <w:r>
              <w:rPr>
                <w:rFonts w:ascii="Arial Narrow" w:hAnsi="Arial Narrow"/>
                <w:sz w:val="20"/>
                <w:szCs w:val="20"/>
              </w:rPr>
            </w:r>
            <w:r>
              <w:rPr>
                <w:rFonts w:ascii="Arial Narrow" w:hAnsi="Arial Narrow"/>
                <w:sz w:val="20"/>
                <w:szCs w:val="20"/>
              </w:rPr>
            </w:r>
          </w:p>
        </w:tc>
        <w:tc>
          <w:tcPr>
            <w:shd w:val="clear" w:color="auto" w:fill="ffffff"/>
            <w:tcW w:w="2825" w:type="dxa"/>
            <w:vAlign w:val="center"/>
            <w:textDirection w:val="lrTb"/>
            <w:noWrap w:val="false"/>
          </w:tcPr>
          <w:p>
            <w:pPr>
              <w:pStyle w:val="1063"/>
              <w:jc w:val="both"/>
              <w:widowControl w:val="off"/>
              <w:rPr>
                <w:rFonts w:ascii="Arial Narrow" w:hAnsi="Arial Narrow"/>
                <w:sz w:val="20"/>
                <w:szCs w:val="20"/>
              </w:rPr>
            </w:pPr>
            <w:r>
              <w:rPr>
                <w:rFonts w:ascii="Arial Narrow" w:hAnsi="Arial Narrow"/>
                <w:color w:val="000000"/>
                <w:sz w:val="20"/>
                <w:szCs w:val="20"/>
              </w:rPr>
              <w:t xml:space="preserve">Работы завершены в полном объеме. Объект введен в эксплуатацию.</w:t>
            </w:r>
            <w:r>
              <w:rPr>
                <w:rFonts w:ascii="Arial Narrow" w:hAnsi="Arial Narrow"/>
                <w:sz w:val="20"/>
                <w:szCs w:val="20"/>
              </w:rPr>
            </w:r>
            <w:r>
              <w:rPr>
                <w:rFonts w:ascii="Arial Narrow" w:hAnsi="Arial Narrow"/>
                <w:sz w:val="20"/>
                <w:szCs w:val="20"/>
              </w:rPr>
            </w:r>
          </w:p>
        </w:tc>
      </w:tr>
      <w:tr>
        <w:trPr>
          <w:trHeight w:val="23"/>
        </w:trPr>
        <w:tc>
          <w:tcPr>
            <w:shd w:val="clear" w:color="auto" w:fill="ffffff"/>
            <w:tcW w:w="2801" w:type="dxa"/>
            <w:vAlign w:val="center"/>
            <w:textDirection w:val="lrTb"/>
            <w:noWrap w:val="false"/>
          </w:tcPr>
          <w:p>
            <w:pPr>
              <w:pStyle w:val="1063"/>
              <w:jc w:val="both"/>
              <w:widowControl w:val="off"/>
              <w:rPr>
                <w:rFonts w:ascii="Arial Narrow" w:hAnsi="Arial Narrow"/>
                <w:sz w:val="20"/>
                <w:szCs w:val="20"/>
              </w:rPr>
            </w:pPr>
            <w:r>
              <w:rPr>
                <w:rFonts w:ascii="Arial Narrow" w:hAnsi="Arial Narrow"/>
                <w:color w:val="000000"/>
                <w:sz w:val="20"/>
                <w:szCs w:val="20"/>
              </w:rPr>
              <w:t xml:space="preserve">Прочие проекты</w:t>
            </w:r>
            <w:r>
              <w:rPr>
                <w:rFonts w:ascii="Arial Narrow" w:hAnsi="Arial Narrow"/>
                <w:sz w:val="20"/>
                <w:szCs w:val="20"/>
              </w:rPr>
            </w:r>
            <w:r>
              <w:rPr>
                <w:rFonts w:ascii="Arial Narrow" w:hAnsi="Arial Narrow"/>
                <w:sz w:val="20"/>
                <w:szCs w:val="20"/>
              </w:rPr>
            </w:r>
          </w:p>
        </w:tc>
        <w:tc>
          <w:tcPr>
            <w:shd w:val="clear" w:color="auto" w:fill="ffffff"/>
            <w:tcW w:w="845"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8 проектов</w:t>
            </w:r>
            <w:r>
              <w:rPr>
                <w:rFonts w:ascii="Arial Narrow" w:hAnsi="Arial Narrow"/>
                <w:sz w:val="20"/>
                <w:szCs w:val="20"/>
              </w:rPr>
            </w:r>
            <w:r>
              <w:rPr>
                <w:rFonts w:ascii="Arial Narrow" w:hAnsi="Arial Narrow"/>
                <w:sz w:val="20"/>
                <w:szCs w:val="20"/>
              </w:rPr>
            </w:r>
          </w:p>
        </w:tc>
        <w:tc>
          <w:tcPr>
            <w:shd w:val="clear" w:color="auto" w:fill="ffffff"/>
            <w:tcW w:w="966"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9,73</w:t>
            </w:r>
            <w:r>
              <w:rPr>
                <w:rFonts w:ascii="Arial Narrow" w:hAnsi="Arial Narrow"/>
                <w:sz w:val="20"/>
                <w:szCs w:val="20"/>
              </w:rPr>
            </w:r>
            <w:r>
              <w:rPr>
                <w:rFonts w:ascii="Arial Narrow" w:hAnsi="Arial Narrow"/>
                <w:sz w:val="20"/>
                <w:szCs w:val="20"/>
              </w:rPr>
            </w:r>
          </w:p>
        </w:tc>
        <w:tc>
          <w:tcPr>
            <w:shd w:val="clear" w:color="auto" w:fill="ffffff"/>
            <w:tcW w:w="830"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11,658</w:t>
            </w:r>
            <w:r>
              <w:rPr>
                <w:rFonts w:ascii="Arial Narrow" w:hAnsi="Arial Narrow"/>
                <w:sz w:val="20"/>
                <w:szCs w:val="20"/>
              </w:rPr>
            </w:r>
            <w:r>
              <w:rPr>
                <w:rFonts w:ascii="Arial Narrow" w:hAnsi="Arial Narrow"/>
                <w:sz w:val="20"/>
                <w:szCs w:val="20"/>
              </w:rPr>
            </w:r>
          </w:p>
        </w:tc>
        <w:tc>
          <w:tcPr>
            <w:shd w:val="clear" w:color="auto" w:fill="ffffff"/>
            <w:tcW w:w="1243"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1,928</w:t>
            </w:r>
            <w:r>
              <w:rPr>
                <w:rFonts w:ascii="Arial Narrow" w:hAnsi="Arial Narrow"/>
                <w:sz w:val="20"/>
                <w:szCs w:val="20"/>
              </w:rPr>
            </w:r>
            <w:r>
              <w:rPr>
                <w:rFonts w:ascii="Arial Narrow" w:hAnsi="Arial Narrow"/>
                <w:sz w:val="20"/>
                <w:szCs w:val="20"/>
              </w:rPr>
            </w:r>
          </w:p>
        </w:tc>
        <w:tc>
          <w:tcPr>
            <w:shd w:val="clear" w:color="auto" w:fill="ffffff"/>
            <w:tcW w:w="552"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120</w:t>
            </w:r>
            <w:r>
              <w:rPr>
                <w:rFonts w:ascii="Arial Narrow" w:hAnsi="Arial Narrow"/>
                <w:sz w:val="20"/>
                <w:szCs w:val="20"/>
              </w:rPr>
            </w:r>
            <w:r>
              <w:rPr>
                <w:rFonts w:ascii="Arial Narrow" w:hAnsi="Arial Narrow"/>
                <w:sz w:val="20"/>
                <w:szCs w:val="20"/>
              </w:rPr>
            </w:r>
          </w:p>
        </w:tc>
        <w:tc>
          <w:tcPr>
            <w:shd w:val="clear" w:color="auto" w:fill="ffffff"/>
            <w:tcW w:w="2825" w:type="dxa"/>
            <w:vAlign w:val="center"/>
            <w:textDirection w:val="lrTb"/>
            <w:noWrap w:val="false"/>
          </w:tcPr>
          <w:p>
            <w:pPr>
              <w:pStyle w:val="1063"/>
              <w:jc w:val="both"/>
              <w:widowControl w:val="off"/>
              <w:rPr>
                <w:rFonts w:ascii="Arial Narrow" w:hAnsi="Arial Narrow"/>
                <w:bCs/>
                <w:color w:val="000000"/>
                <w:sz w:val="20"/>
                <w:szCs w:val="20"/>
              </w:rPr>
            </w:pPr>
            <w:r>
              <w:rPr>
                <w:rFonts w:ascii="Arial Narrow" w:hAnsi="Arial Narrow"/>
                <w:bCs/>
                <w:color w:val="000000"/>
                <w:sz w:val="20"/>
                <w:szCs w:val="20"/>
              </w:rPr>
            </w:r>
            <w:r>
              <w:rPr>
                <w:rFonts w:ascii="Arial Narrow" w:hAnsi="Arial Narrow"/>
                <w:bCs/>
                <w:color w:val="000000"/>
                <w:sz w:val="20"/>
                <w:szCs w:val="20"/>
              </w:rPr>
            </w:r>
            <w:r>
              <w:rPr>
                <w:rFonts w:ascii="Arial Narrow" w:hAnsi="Arial Narrow"/>
                <w:bCs/>
                <w:color w:val="000000"/>
                <w:sz w:val="20"/>
                <w:szCs w:val="20"/>
              </w:rPr>
            </w:r>
          </w:p>
        </w:tc>
      </w:tr>
      <w:tr>
        <w:trPr>
          <w:trHeight w:val="337"/>
        </w:trPr>
        <w:tc>
          <w:tcPr>
            <w:shd w:val="clear" w:color="auto" w:fill="ffffff"/>
            <w:tcW w:w="2801" w:type="dxa"/>
            <w:vAlign w:val="center"/>
            <w:textDirection w:val="lrTb"/>
            <w:noWrap w:val="false"/>
          </w:tcPr>
          <w:p>
            <w:pPr>
              <w:pStyle w:val="1063"/>
              <w:jc w:val="both"/>
              <w:widowControl w:val="off"/>
              <w:rPr>
                <w:rFonts w:ascii="Arial Narrow" w:hAnsi="Arial Narrow"/>
                <w:sz w:val="20"/>
                <w:szCs w:val="20"/>
              </w:rPr>
            </w:pPr>
            <w:r>
              <w:rPr>
                <w:rFonts w:ascii="Arial Narrow" w:hAnsi="Arial Narrow"/>
                <w:bCs/>
                <w:color w:val="000000"/>
                <w:sz w:val="20"/>
                <w:szCs w:val="20"/>
              </w:rPr>
              <w:t xml:space="preserve">Тепловые сети, км ТС</w:t>
            </w:r>
            <w:r>
              <w:rPr>
                <w:rFonts w:ascii="Arial Narrow" w:hAnsi="Arial Narrow"/>
                <w:sz w:val="20"/>
                <w:szCs w:val="20"/>
              </w:rPr>
            </w:r>
            <w:r>
              <w:rPr>
                <w:rFonts w:ascii="Arial Narrow" w:hAnsi="Arial Narrow"/>
                <w:sz w:val="20"/>
                <w:szCs w:val="20"/>
              </w:rPr>
            </w:r>
          </w:p>
        </w:tc>
        <w:tc>
          <w:tcPr>
            <w:shd w:val="clear" w:color="auto" w:fill="ffffff"/>
            <w:tcW w:w="845" w:type="dxa"/>
            <w:vAlign w:val="center"/>
            <w:textDirection w:val="lrTb"/>
            <w:noWrap w:val="false"/>
          </w:tcPr>
          <w:p>
            <w:pPr>
              <w:pStyle w:val="1063"/>
              <w:jc w:val="center"/>
              <w:widowControl w:val="off"/>
              <w:rPr>
                <w:rFonts w:ascii="Arial Narrow" w:hAnsi="Arial Narrow"/>
                <w:sz w:val="20"/>
                <w:szCs w:val="20"/>
              </w:rPr>
            </w:pPr>
            <w:r>
              <w:rPr>
                <w:rFonts w:ascii="Arial Narrow" w:hAnsi="Arial Narrow"/>
                <w:bCs/>
                <w:color w:val="000000"/>
                <w:sz w:val="20"/>
                <w:szCs w:val="20"/>
              </w:rPr>
              <w:t xml:space="preserve">5 проектов</w:t>
            </w:r>
            <w:r>
              <w:rPr>
                <w:rFonts w:ascii="Arial Narrow" w:hAnsi="Arial Narrow"/>
                <w:sz w:val="20"/>
                <w:szCs w:val="20"/>
              </w:rPr>
            </w:r>
            <w:r>
              <w:rPr>
                <w:rFonts w:ascii="Arial Narrow" w:hAnsi="Arial Narrow"/>
                <w:sz w:val="20"/>
                <w:szCs w:val="20"/>
              </w:rPr>
            </w:r>
          </w:p>
        </w:tc>
        <w:tc>
          <w:tcPr>
            <w:shd w:val="clear" w:color="auto" w:fill="ffffff"/>
            <w:tcW w:w="966" w:type="dxa"/>
            <w:vAlign w:val="center"/>
            <w:textDirection w:val="lrTb"/>
            <w:noWrap w:val="false"/>
          </w:tcPr>
          <w:p>
            <w:pPr>
              <w:pStyle w:val="1063"/>
              <w:jc w:val="center"/>
              <w:widowControl w:val="off"/>
              <w:rPr>
                <w:rFonts w:ascii="Arial Narrow" w:hAnsi="Arial Narrow"/>
                <w:sz w:val="20"/>
                <w:szCs w:val="20"/>
              </w:rPr>
            </w:pPr>
            <w:r>
              <w:rPr>
                <w:rFonts w:ascii="Arial Narrow" w:hAnsi="Arial Narrow"/>
                <w:bCs/>
                <w:color w:val="000000"/>
                <w:sz w:val="20"/>
                <w:szCs w:val="20"/>
              </w:rPr>
              <w:t xml:space="preserve">0,0952</w:t>
            </w:r>
            <w:r>
              <w:rPr>
                <w:rFonts w:ascii="Arial Narrow" w:hAnsi="Arial Narrow"/>
                <w:sz w:val="20"/>
                <w:szCs w:val="20"/>
              </w:rPr>
            </w:r>
            <w:r>
              <w:rPr>
                <w:rFonts w:ascii="Arial Narrow" w:hAnsi="Arial Narrow"/>
                <w:sz w:val="20"/>
                <w:szCs w:val="20"/>
              </w:rPr>
            </w:r>
          </w:p>
        </w:tc>
        <w:tc>
          <w:tcPr>
            <w:shd w:val="clear" w:color="auto" w:fill="ffffff"/>
            <w:tcW w:w="830" w:type="dxa"/>
            <w:vAlign w:val="center"/>
            <w:textDirection w:val="lrTb"/>
            <w:noWrap w:val="false"/>
          </w:tcPr>
          <w:p>
            <w:pPr>
              <w:pStyle w:val="1063"/>
              <w:jc w:val="center"/>
              <w:widowControl w:val="off"/>
              <w:rPr>
                <w:rFonts w:ascii="Arial Narrow" w:hAnsi="Arial Narrow"/>
                <w:sz w:val="20"/>
                <w:szCs w:val="20"/>
              </w:rPr>
            </w:pPr>
            <w:r>
              <w:rPr>
                <w:rFonts w:ascii="Arial Narrow" w:hAnsi="Arial Narrow"/>
                <w:bCs/>
                <w:color w:val="000000"/>
                <w:sz w:val="20"/>
                <w:szCs w:val="20"/>
              </w:rPr>
              <w:t xml:space="preserve">0,7142</w:t>
            </w:r>
            <w:r>
              <w:rPr>
                <w:rFonts w:ascii="Arial Narrow" w:hAnsi="Arial Narrow"/>
                <w:sz w:val="20"/>
                <w:szCs w:val="20"/>
              </w:rPr>
            </w:r>
            <w:r>
              <w:rPr>
                <w:rFonts w:ascii="Arial Narrow" w:hAnsi="Arial Narrow"/>
                <w:sz w:val="20"/>
                <w:szCs w:val="20"/>
              </w:rPr>
            </w:r>
          </w:p>
        </w:tc>
        <w:tc>
          <w:tcPr>
            <w:shd w:val="clear" w:color="auto" w:fill="ffffff"/>
            <w:tcW w:w="1243" w:type="dxa"/>
            <w:vAlign w:val="center"/>
            <w:textDirection w:val="lrTb"/>
            <w:noWrap w:val="false"/>
          </w:tcPr>
          <w:p>
            <w:pPr>
              <w:pStyle w:val="1063"/>
              <w:jc w:val="center"/>
              <w:widowControl w:val="off"/>
              <w:rPr>
                <w:rFonts w:ascii="Arial Narrow" w:hAnsi="Arial Narrow"/>
                <w:sz w:val="20"/>
                <w:szCs w:val="20"/>
              </w:rPr>
            </w:pPr>
            <w:r>
              <w:rPr>
                <w:rFonts w:ascii="Arial Narrow" w:hAnsi="Arial Narrow"/>
                <w:bCs/>
                <w:color w:val="000000"/>
                <w:sz w:val="20"/>
                <w:szCs w:val="20"/>
              </w:rPr>
              <w:t xml:space="preserve">0,619</w:t>
            </w:r>
            <w:r>
              <w:rPr>
                <w:rFonts w:ascii="Arial Narrow" w:hAnsi="Arial Narrow"/>
                <w:sz w:val="20"/>
                <w:szCs w:val="20"/>
              </w:rPr>
            </w:r>
            <w:r>
              <w:rPr>
                <w:rFonts w:ascii="Arial Narrow" w:hAnsi="Arial Narrow"/>
                <w:sz w:val="20"/>
                <w:szCs w:val="20"/>
              </w:rPr>
            </w:r>
          </w:p>
        </w:tc>
        <w:tc>
          <w:tcPr>
            <w:shd w:val="clear" w:color="auto" w:fill="ffffff"/>
            <w:tcW w:w="552" w:type="dxa"/>
            <w:vAlign w:val="center"/>
            <w:textDirection w:val="lrTb"/>
            <w:noWrap w:val="false"/>
          </w:tcPr>
          <w:p>
            <w:pPr>
              <w:pStyle w:val="1063"/>
              <w:jc w:val="center"/>
              <w:widowControl w:val="off"/>
              <w:rPr>
                <w:rFonts w:ascii="Arial Narrow" w:hAnsi="Arial Narrow"/>
                <w:sz w:val="20"/>
                <w:szCs w:val="20"/>
              </w:rPr>
            </w:pPr>
            <w:r>
              <w:rPr>
                <w:rFonts w:ascii="Arial Narrow" w:hAnsi="Arial Narrow"/>
                <w:bCs/>
                <w:color w:val="000000"/>
                <w:sz w:val="20"/>
                <w:szCs w:val="20"/>
              </w:rPr>
              <w:t xml:space="preserve">750</w:t>
            </w:r>
            <w:r>
              <w:rPr>
                <w:rFonts w:ascii="Arial Narrow" w:hAnsi="Arial Narrow"/>
                <w:sz w:val="20"/>
                <w:szCs w:val="20"/>
              </w:rPr>
            </w:r>
            <w:r>
              <w:rPr>
                <w:rFonts w:ascii="Arial Narrow" w:hAnsi="Arial Narrow"/>
                <w:sz w:val="20"/>
                <w:szCs w:val="20"/>
              </w:rPr>
            </w:r>
          </w:p>
        </w:tc>
        <w:tc>
          <w:tcPr>
            <w:shd w:val="clear" w:color="auto" w:fill="ffffff"/>
            <w:tcW w:w="2825" w:type="dxa"/>
            <w:vAlign w:val="center"/>
            <w:textDirection w:val="lrTb"/>
            <w:noWrap w:val="false"/>
          </w:tcPr>
          <w:p>
            <w:pPr>
              <w:pStyle w:val="1063"/>
              <w:jc w:val="both"/>
              <w:widowControl w:val="off"/>
              <w:rPr>
                <w:rFonts w:ascii="Arial Narrow" w:hAnsi="Arial Narrow"/>
                <w:sz w:val="20"/>
                <w:szCs w:val="20"/>
              </w:rPr>
            </w:pPr>
            <w:r>
              <w:rPr>
                <w:rFonts w:ascii="Arial Narrow" w:hAnsi="Arial Narrow"/>
                <w:sz w:val="20"/>
                <w:szCs w:val="20"/>
              </w:rPr>
            </w:r>
            <w:r>
              <w:rPr>
                <w:rFonts w:ascii="Arial Narrow" w:hAnsi="Arial Narrow"/>
                <w:sz w:val="20"/>
                <w:szCs w:val="20"/>
              </w:rPr>
            </w:r>
            <w:r>
              <w:rPr>
                <w:rFonts w:ascii="Arial Narrow" w:hAnsi="Arial Narrow"/>
                <w:sz w:val="20"/>
                <w:szCs w:val="20"/>
              </w:rPr>
            </w:r>
          </w:p>
        </w:tc>
      </w:tr>
      <w:tr>
        <w:trPr>
          <w:trHeight w:val="23"/>
        </w:trPr>
        <w:tc>
          <w:tcPr>
            <w:shd w:val="clear" w:color="auto" w:fill="ffffff"/>
            <w:tcW w:w="2801" w:type="dxa"/>
            <w:vAlign w:val="center"/>
            <w:textDirection w:val="lrTb"/>
            <w:noWrap w:val="false"/>
          </w:tcPr>
          <w:p>
            <w:pPr>
              <w:pStyle w:val="1063"/>
              <w:jc w:val="both"/>
              <w:widowControl w:val="off"/>
              <w:rPr>
                <w:rFonts w:ascii="Arial Narrow" w:hAnsi="Arial Narrow"/>
                <w:sz w:val="20"/>
                <w:szCs w:val="20"/>
              </w:rPr>
            </w:pPr>
            <w:r>
              <w:rPr>
                <w:rFonts w:ascii="Arial Narrow" w:hAnsi="Arial Narrow"/>
                <w:color w:val="000000"/>
                <w:sz w:val="20"/>
                <w:szCs w:val="20"/>
              </w:rPr>
              <w:t xml:space="preserve">«Строительство сооружения теплов</w:t>
            </w:r>
            <w:r>
              <w:rPr>
                <w:rFonts w:ascii="Arial Narrow" w:hAnsi="Arial Narrow"/>
                <w:color w:val="000000"/>
                <w:sz w:val="20"/>
                <w:szCs w:val="20"/>
              </w:rPr>
              <w:t xml:space="preserve">ых сетей 2 контура для подключения объекта с тепловой нагрузкой свыше 0,1 Гкал/ч и не превышающей 1,5 Гкал/ч «Многоквартирный жилой дом, расположенного по адресу: г. Петропавловск-Камчатский, ул. Арсеньева, участок с кадастровым номером 41:01:0010112:2655»</w:t>
            </w:r>
            <w:r>
              <w:rPr>
                <w:rFonts w:ascii="Arial Narrow" w:hAnsi="Arial Narrow"/>
                <w:sz w:val="20"/>
                <w:szCs w:val="20"/>
              </w:rPr>
            </w:r>
            <w:r>
              <w:rPr>
                <w:rFonts w:ascii="Arial Narrow" w:hAnsi="Arial Narrow"/>
                <w:sz w:val="20"/>
                <w:szCs w:val="20"/>
              </w:rPr>
            </w:r>
          </w:p>
        </w:tc>
        <w:tc>
          <w:tcPr>
            <w:shd w:val="clear" w:color="auto" w:fill="ffffff"/>
            <w:tcW w:w="845"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O_ФКЭ_509-4103</w:t>
            </w:r>
            <w:r>
              <w:rPr>
                <w:rFonts w:ascii="Arial Narrow" w:hAnsi="Arial Narrow"/>
                <w:sz w:val="20"/>
                <w:szCs w:val="20"/>
              </w:rPr>
            </w:r>
            <w:r>
              <w:rPr>
                <w:rFonts w:ascii="Arial Narrow" w:hAnsi="Arial Narrow"/>
                <w:sz w:val="20"/>
                <w:szCs w:val="20"/>
              </w:rPr>
            </w:r>
          </w:p>
        </w:tc>
        <w:tc>
          <w:tcPr>
            <w:shd w:val="clear" w:color="auto" w:fill="ffffff"/>
            <w:tcW w:w="966"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0</w:t>
            </w:r>
            <w:r>
              <w:rPr>
                <w:rFonts w:ascii="Arial Narrow" w:hAnsi="Arial Narrow"/>
                <w:sz w:val="20"/>
                <w:szCs w:val="20"/>
              </w:rPr>
            </w:r>
            <w:r>
              <w:rPr>
                <w:rFonts w:ascii="Arial Narrow" w:hAnsi="Arial Narrow"/>
                <w:sz w:val="20"/>
                <w:szCs w:val="20"/>
              </w:rPr>
            </w:r>
          </w:p>
        </w:tc>
        <w:tc>
          <w:tcPr>
            <w:shd w:val="clear" w:color="auto" w:fill="ffffff"/>
            <w:tcW w:w="830"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0,486</w:t>
            </w:r>
            <w:r>
              <w:rPr>
                <w:rFonts w:ascii="Arial Narrow" w:hAnsi="Arial Narrow"/>
                <w:sz w:val="20"/>
                <w:szCs w:val="20"/>
              </w:rPr>
            </w:r>
            <w:r>
              <w:rPr>
                <w:rFonts w:ascii="Arial Narrow" w:hAnsi="Arial Narrow"/>
                <w:sz w:val="20"/>
                <w:szCs w:val="20"/>
              </w:rPr>
            </w:r>
          </w:p>
        </w:tc>
        <w:tc>
          <w:tcPr>
            <w:shd w:val="clear" w:color="auto" w:fill="ffffff"/>
            <w:tcW w:w="1243"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0,486</w:t>
            </w:r>
            <w:r>
              <w:rPr>
                <w:rFonts w:ascii="Arial Narrow" w:hAnsi="Arial Narrow"/>
                <w:sz w:val="20"/>
                <w:szCs w:val="20"/>
              </w:rPr>
            </w:r>
            <w:r>
              <w:rPr>
                <w:rFonts w:ascii="Arial Narrow" w:hAnsi="Arial Narrow"/>
                <w:sz w:val="20"/>
                <w:szCs w:val="20"/>
              </w:rPr>
            </w:r>
          </w:p>
        </w:tc>
        <w:tc>
          <w:tcPr>
            <w:shd w:val="clear" w:color="auto" w:fill="ffffff"/>
            <w:tcW w:w="552"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0</w:t>
            </w:r>
            <w:r>
              <w:rPr>
                <w:rFonts w:ascii="Arial Narrow" w:hAnsi="Arial Narrow"/>
                <w:sz w:val="20"/>
                <w:szCs w:val="20"/>
              </w:rPr>
            </w:r>
            <w:r>
              <w:rPr>
                <w:rFonts w:ascii="Arial Narrow" w:hAnsi="Arial Narrow"/>
                <w:sz w:val="20"/>
                <w:szCs w:val="20"/>
              </w:rPr>
            </w:r>
          </w:p>
        </w:tc>
        <w:tc>
          <w:tcPr>
            <w:shd w:val="clear" w:color="auto" w:fill="ffffff"/>
            <w:tcW w:w="2825" w:type="dxa"/>
            <w:vAlign w:val="center"/>
            <w:textDirection w:val="lrTb"/>
            <w:noWrap w:val="false"/>
          </w:tcPr>
          <w:p>
            <w:pPr>
              <w:pStyle w:val="1063"/>
              <w:jc w:val="both"/>
              <w:widowControl w:val="off"/>
              <w:rPr>
                <w:rFonts w:ascii="Arial Narrow" w:hAnsi="Arial Narrow"/>
                <w:sz w:val="20"/>
                <w:szCs w:val="20"/>
              </w:rPr>
            </w:pPr>
            <w:r>
              <w:rPr>
                <w:rFonts w:ascii="Arial Narrow" w:hAnsi="Arial Narrow"/>
                <w:color w:val="000000"/>
                <w:sz w:val="20"/>
                <w:szCs w:val="20"/>
              </w:rPr>
              <w:t xml:space="preserve">Переходящий объект с 2023 года. Ввод в эксплуатацию осуществлен в 2024 году.</w:t>
            </w:r>
            <w:r>
              <w:rPr>
                <w:rFonts w:ascii="Arial Narrow" w:hAnsi="Arial Narrow"/>
                <w:sz w:val="20"/>
                <w:szCs w:val="20"/>
              </w:rPr>
            </w:r>
            <w:r>
              <w:rPr>
                <w:rFonts w:ascii="Arial Narrow" w:hAnsi="Arial Narrow"/>
                <w:sz w:val="20"/>
                <w:szCs w:val="20"/>
              </w:rPr>
            </w:r>
          </w:p>
        </w:tc>
      </w:tr>
      <w:tr>
        <w:trPr>
          <w:trHeight w:val="23"/>
        </w:trPr>
        <w:tc>
          <w:tcPr>
            <w:shd w:val="clear" w:color="auto" w:fill="ffffff"/>
            <w:tcW w:w="2801" w:type="dxa"/>
            <w:vAlign w:val="center"/>
            <w:textDirection w:val="lrTb"/>
            <w:noWrap w:val="false"/>
          </w:tcPr>
          <w:p>
            <w:pPr>
              <w:pStyle w:val="1063"/>
              <w:jc w:val="both"/>
              <w:widowControl w:val="off"/>
              <w:rPr>
                <w:rFonts w:ascii="Arial Narrow" w:hAnsi="Arial Narrow"/>
                <w:sz w:val="20"/>
                <w:szCs w:val="20"/>
              </w:rPr>
            </w:pPr>
            <w:r>
              <w:rPr>
                <w:rFonts w:ascii="Arial Narrow" w:hAnsi="Arial Narrow"/>
                <w:color w:val="000000"/>
                <w:sz w:val="20"/>
                <w:szCs w:val="20"/>
              </w:rPr>
              <w:t xml:space="preserve">Строительство тепловых сетей  2-ого контура от ТК-236 до границ стены: «Многоквартирный жилой дом по ул. Рябикова д. 49А, по ул. Рябикова, д. 49Б г.Елизово»</w:t>
            </w:r>
            <w:r>
              <w:rPr>
                <w:rFonts w:ascii="Arial Narrow" w:hAnsi="Arial Narrow"/>
                <w:sz w:val="20"/>
                <w:szCs w:val="20"/>
              </w:rPr>
            </w:r>
            <w:r>
              <w:rPr>
                <w:rFonts w:ascii="Arial Narrow" w:hAnsi="Arial Narrow"/>
                <w:sz w:val="20"/>
                <w:szCs w:val="20"/>
              </w:rPr>
            </w:r>
          </w:p>
        </w:tc>
        <w:tc>
          <w:tcPr>
            <w:shd w:val="clear" w:color="auto" w:fill="ffffff"/>
            <w:tcW w:w="845"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N_ФКЭ_509-4257</w:t>
            </w:r>
            <w:r>
              <w:rPr>
                <w:rFonts w:ascii="Arial Narrow" w:hAnsi="Arial Narrow"/>
                <w:sz w:val="20"/>
                <w:szCs w:val="20"/>
              </w:rPr>
            </w:r>
            <w:r>
              <w:rPr>
                <w:rFonts w:ascii="Arial Narrow" w:hAnsi="Arial Narrow"/>
                <w:sz w:val="20"/>
                <w:szCs w:val="20"/>
              </w:rPr>
            </w:r>
          </w:p>
        </w:tc>
        <w:tc>
          <w:tcPr>
            <w:shd w:val="clear" w:color="auto" w:fill="ffffff"/>
            <w:tcW w:w="966"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0</w:t>
            </w:r>
            <w:r>
              <w:rPr>
                <w:rFonts w:ascii="Arial Narrow" w:hAnsi="Arial Narrow"/>
                <w:sz w:val="20"/>
                <w:szCs w:val="20"/>
              </w:rPr>
            </w:r>
            <w:r>
              <w:rPr>
                <w:rFonts w:ascii="Arial Narrow" w:hAnsi="Arial Narrow"/>
                <w:sz w:val="20"/>
                <w:szCs w:val="20"/>
              </w:rPr>
            </w:r>
          </w:p>
        </w:tc>
        <w:tc>
          <w:tcPr>
            <w:shd w:val="clear" w:color="auto" w:fill="ffffff"/>
            <w:tcW w:w="830"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0,147</w:t>
            </w:r>
            <w:r>
              <w:rPr>
                <w:rFonts w:ascii="Arial Narrow" w:hAnsi="Arial Narrow"/>
                <w:sz w:val="20"/>
                <w:szCs w:val="20"/>
              </w:rPr>
            </w:r>
            <w:r>
              <w:rPr>
                <w:rFonts w:ascii="Arial Narrow" w:hAnsi="Arial Narrow"/>
                <w:sz w:val="20"/>
                <w:szCs w:val="20"/>
              </w:rPr>
            </w:r>
          </w:p>
        </w:tc>
        <w:tc>
          <w:tcPr>
            <w:shd w:val="clear" w:color="auto" w:fill="ffffff"/>
            <w:tcW w:w="1243"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0,147</w:t>
            </w:r>
            <w:r>
              <w:rPr>
                <w:rFonts w:ascii="Arial Narrow" w:hAnsi="Arial Narrow"/>
                <w:sz w:val="20"/>
                <w:szCs w:val="20"/>
              </w:rPr>
            </w:r>
            <w:r>
              <w:rPr>
                <w:rFonts w:ascii="Arial Narrow" w:hAnsi="Arial Narrow"/>
                <w:sz w:val="20"/>
                <w:szCs w:val="20"/>
              </w:rPr>
            </w:r>
          </w:p>
        </w:tc>
        <w:tc>
          <w:tcPr>
            <w:shd w:val="clear" w:color="auto" w:fill="ffffff"/>
            <w:tcW w:w="552"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0</w:t>
            </w:r>
            <w:r>
              <w:rPr>
                <w:rFonts w:ascii="Arial Narrow" w:hAnsi="Arial Narrow"/>
                <w:sz w:val="20"/>
                <w:szCs w:val="20"/>
              </w:rPr>
            </w:r>
            <w:r>
              <w:rPr>
                <w:rFonts w:ascii="Arial Narrow" w:hAnsi="Arial Narrow"/>
                <w:sz w:val="20"/>
                <w:szCs w:val="20"/>
              </w:rPr>
            </w:r>
          </w:p>
        </w:tc>
        <w:tc>
          <w:tcPr>
            <w:shd w:val="clear" w:color="auto" w:fill="ffffff"/>
            <w:tcW w:w="2825" w:type="dxa"/>
            <w:vAlign w:val="center"/>
            <w:textDirection w:val="lrTb"/>
            <w:noWrap w:val="false"/>
          </w:tcPr>
          <w:p>
            <w:pPr>
              <w:pStyle w:val="1063"/>
              <w:jc w:val="both"/>
              <w:widowControl w:val="off"/>
              <w:rPr>
                <w:rFonts w:ascii="Arial Narrow" w:hAnsi="Arial Narrow"/>
                <w:sz w:val="20"/>
                <w:szCs w:val="20"/>
              </w:rPr>
            </w:pPr>
            <w:r>
              <w:rPr>
                <w:rFonts w:ascii="Arial Narrow" w:hAnsi="Arial Narrow"/>
                <w:color w:val="000000"/>
                <w:sz w:val="20"/>
                <w:szCs w:val="20"/>
              </w:rPr>
              <w:t xml:space="preserve">Переходящий объект с 2023 года. Ввод в эксплуатацию осуществлен в 2024 году.</w:t>
            </w:r>
            <w:r>
              <w:rPr>
                <w:rFonts w:ascii="Arial Narrow" w:hAnsi="Arial Narrow"/>
                <w:sz w:val="20"/>
                <w:szCs w:val="20"/>
              </w:rPr>
            </w:r>
            <w:r>
              <w:rPr>
                <w:rFonts w:ascii="Arial Narrow" w:hAnsi="Arial Narrow"/>
                <w:sz w:val="20"/>
                <w:szCs w:val="20"/>
              </w:rPr>
            </w:r>
          </w:p>
        </w:tc>
      </w:tr>
      <w:tr>
        <w:trPr>
          <w:trHeight w:val="23"/>
        </w:trPr>
        <w:tc>
          <w:tcPr>
            <w:shd w:val="clear" w:color="auto" w:fill="ffffff"/>
            <w:tcW w:w="2801" w:type="dxa"/>
            <w:vAlign w:val="center"/>
            <w:textDirection w:val="lrTb"/>
            <w:noWrap w:val="false"/>
          </w:tcPr>
          <w:p>
            <w:pPr>
              <w:pStyle w:val="1063"/>
              <w:jc w:val="both"/>
              <w:widowControl w:val="off"/>
              <w:rPr>
                <w:rFonts w:ascii="Arial Narrow" w:hAnsi="Arial Narrow"/>
                <w:sz w:val="20"/>
                <w:szCs w:val="20"/>
              </w:rPr>
            </w:pPr>
            <w:r>
              <w:rPr>
                <w:rFonts w:ascii="Arial Narrow" w:hAnsi="Arial Narrow"/>
                <w:color w:val="000000"/>
                <w:sz w:val="20"/>
                <w:szCs w:val="20"/>
              </w:rPr>
              <w:t xml:space="preserve">«Строительство сооружения тепловых сетей 2 контура для подключения объекта с тепловой нагрузко</w:t>
            </w:r>
            <w:r>
              <w:rPr>
                <w:rFonts w:ascii="Arial Narrow" w:hAnsi="Arial Narrow"/>
                <w:color w:val="000000"/>
                <w:sz w:val="20"/>
                <w:szCs w:val="20"/>
              </w:rPr>
              <w:t xml:space="preserve">й свыше 0,1 Гкал/ч и не превышающей 1,5 Гкал/ч «Многоквартирный жилой дом по ул. Геофизическая в г. Елизово Камчатского края» планируемого к строительству на земельном участке с 41:05:0101001:12242 по адресу: Камчатский край, г. Елизово, ул. Геофизическая.</w:t>
            </w:r>
            <w:r>
              <w:rPr>
                <w:rFonts w:ascii="Arial Narrow" w:hAnsi="Arial Narrow"/>
                <w:sz w:val="20"/>
                <w:szCs w:val="20"/>
              </w:rPr>
            </w:r>
            <w:r>
              <w:rPr>
                <w:rFonts w:ascii="Arial Narrow" w:hAnsi="Arial Narrow"/>
                <w:sz w:val="20"/>
                <w:szCs w:val="20"/>
              </w:rPr>
            </w:r>
          </w:p>
        </w:tc>
        <w:tc>
          <w:tcPr>
            <w:shd w:val="clear" w:color="auto" w:fill="ffffff"/>
            <w:tcW w:w="845"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O_ФКЭ_509-4105</w:t>
            </w:r>
            <w:r>
              <w:rPr>
                <w:rFonts w:ascii="Arial Narrow" w:hAnsi="Arial Narrow"/>
                <w:sz w:val="20"/>
                <w:szCs w:val="20"/>
              </w:rPr>
            </w:r>
            <w:r>
              <w:rPr>
                <w:rFonts w:ascii="Arial Narrow" w:hAnsi="Arial Narrow"/>
                <w:sz w:val="20"/>
                <w:szCs w:val="20"/>
              </w:rPr>
            </w:r>
          </w:p>
        </w:tc>
        <w:tc>
          <w:tcPr>
            <w:shd w:val="clear" w:color="auto" w:fill="ffffff"/>
            <w:tcW w:w="966"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0</w:t>
            </w:r>
            <w:r>
              <w:rPr>
                <w:rFonts w:ascii="Arial Narrow" w:hAnsi="Arial Narrow"/>
                <w:sz w:val="20"/>
                <w:szCs w:val="20"/>
              </w:rPr>
            </w:r>
            <w:r>
              <w:rPr>
                <w:rFonts w:ascii="Arial Narrow" w:hAnsi="Arial Narrow"/>
                <w:sz w:val="20"/>
                <w:szCs w:val="20"/>
              </w:rPr>
            </w:r>
          </w:p>
        </w:tc>
        <w:tc>
          <w:tcPr>
            <w:shd w:val="clear" w:color="auto" w:fill="ffffff"/>
            <w:tcW w:w="830"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0,072</w:t>
            </w:r>
            <w:r>
              <w:rPr>
                <w:rFonts w:ascii="Arial Narrow" w:hAnsi="Arial Narrow"/>
                <w:sz w:val="20"/>
                <w:szCs w:val="20"/>
              </w:rPr>
            </w:r>
            <w:r>
              <w:rPr>
                <w:rFonts w:ascii="Arial Narrow" w:hAnsi="Arial Narrow"/>
                <w:sz w:val="20"/>
                <w:szCs w:val="20"/>
              </w:rPr>
            </w:r>
          </w:p>
        </w:tc>
        <w:tc>
          <w:tcPr>
            <w:shd w:val="clear" w:color="auto" w:fill="ffffff"/>
            <w:tcW w:w="1243"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0,072</w:t>
            </w:r>
            <w:r>
              <w:rPr>
                <w:rFonts w:ascii="Arial Narrow" w:hAnsi="Arial Narrow"/>
                <w:sz w:val="20"/>
                <w:szCs w:val="20"/>
              </w:rPr>
            </w:r>
            <w:r>
              <w:rPr>
                <w:rFonts w:ascii="Arial Narrow" w:hAnsi="Arial Narrow"/>
                <w:sz w:val="20"/>
                <w:szCs w:val="20"/>
              </w:rPr>
            </w:r>
          </w:p>
        </w:tc>
        <w:tc>
          <w:tcPr>
            <w:shd w:val="clear" w:color="auto" w:fill="ffffff"/>
            <w:tcW w:w="552"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0</w:t>
            </w:r>
            <w:r>
              <w:rPr>
                <w:rFonts w:ascii="Arial Narrow" w:hAnsi="Arial Narrow"/>
                <w:sz w:val="20"/>
                <w:szCs w:val="20"/>
              </w:rPr>
            </w:r>
            <w:r>
              <w:rPr>
                <w:rFonts w:ascii="Arial Narrow" w:hAnsi="Arial Narrow"/>
                <w:sz w:val="20"/>
                <w:szCs w:val="20"/>
              </w:rPr>
            </w:r>
          </w:p>
        </w:tc>
        <w:tc>
          <w:tcPr>
            <w:shd w:val="clear" w:color="auto" w:fill="ffffff"/>
            <w:tcW w:w="2825" w:type="dxa"/>
            <w:vAlign w:val="center"/>
            <w:textDirection w:val="lrTb"/>
            <w:noWrap w:val="false"/>
          </w:tcPr>
          <w:p>
            <w:pPr>
              <w:pStyle w:val="1063"/>
              <w:jc w:val="both"/>
              <w:widowControl w:val="off"/>
              <w:rPr>
                <w:rFonts w:ascii="Arial Narrow" w:hAnsi="Arial Narrow"/>
                <w:sz w:val="20"/>
                <w:szCs w:val="20"/>
              </w:rPr>
            </w:pPr>
            <w:r>
              <w:rPr>
                <w:rFonts w:ascii="Arial Narrow" w:hAnsi="Arial Narrow"/>
                <w:color w:val="000000"/>
                <w:sz w:val="20"/>
                <w:szCs w:val="20"/>
              </w:rPr>
              <w:t xml:space="preserve">Переходящий объект с 2023 года. Ввод в эксплуатацию осуществлен в 2024 году.</w:t>
            </w:r>
            <w:r>
              <w:rPr>
                <w:rFonts w:ascii="Arial Narrow" w:hAnsi="Arial Narrow"/>
                <w:sz w:val="20"/>
                <w:szCs w:val="20"/>
              </w:rPr>
            </w:r>
            <w:r>
              <w:rPr>
                <w:rFonts w:ascii="Arial Narrow" w:hAnsi="Arial Narrow"/>
                <w:sz w:val="20"/>
                <w:szCs w:val="20"/>
              </w:rPr>
            </w:r>
          </w:p>
        </w:tc>
      </w:tr>
      <w:tr>
        <w:trPr>
          <w:trHeight w:val="23"/>
        </w:trPr>
        <w:tc>
          <w:tcPr>
            <w:shd w:val="clear" w:color="auto" w:fill="ffffff"/>
            <w:tcW w:w="2801" w:type="dxa"/>
            <w:vAlign w:val="center"/>
            <w:textDirection w:val="lrTb"/>
            <w:noWrap w:val="false"/>
          </w:tcPr>
          <w:p>
            <w:pPr>
              <w:pStyle w:val="1063"/>
              <w:jc w:val="both"/>
              <w:widowControl w:val="off"/>
              <w:rPr>
                <w:rFonts w:ascii="Arial Narrow" w:hAnsi="Arial Narrow"/>
                <w:sz w:val="20"/>
                <w:szCs w:val="20"/>
              </w:rPr>
            </w:pPr>
            <w:r>
              <w:rPr>
                <w:rFonts w:ascii="Arial Narrow" w:hAnsi="Arial Narrow"/>
                <w:color w:val="000000"/>
                <w:sz w:val="20"/>
                <w:szCs w:val="20"/>
              </w:rPr>
              <w:t xml:space="preserve">Прочие проекты</w:t>
            </w:r>
            <w:r>
              <w:rPr>
                <w:rFonts w:ascii="Arial Narrow" w:hAnsi="Arial Narrow"/>
                <w:sz w:val="20"/>
                <w:szCs w:val="20"/>
              </w:rPr>
            </w:r>
            <w:r>
              <w:rPr>
                <w:rFonts w:ascii="Arial Narrow" w:hAnsi="Arial Narrow"/>
                <w:sz w:val="20"/>
                <w:szCs w:val="20"/>
              </w:rPr>
            </w:r>
          </w:p>
        </w:tc>
        <w:tc>
          <w:tcPr>
            <w:shd w:val="clear" w:color="auto" w:fill="ffffff"/>
            <w:tcW w:w="845"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2 проекта</w:t>
            </w:r>
            <w:r>
              <w:rPr>
                <w:rFonts w:ascii="Arial Narrow" w:hAnsi="Arial Narrow"/>
                <w:sz w:val="20"/>
                <w:szCs w:val="20"/>
              </w:rPr>
            </w:r>
            <w:r>
              <w:rPr>
                <w:rFonts w:ascii="Arial Narrow" w:hAnsi="Arial Narrow"/>
                <w:sz w:val="20"/>
                <w:szCs w:val="20"/>
              </w:rPr>
            </w:r>
          </w:p>
        </w:tc>
        <w:tc>
          <w:tcPr>
            <w:shd w:val="clear" w:color="auto" w:fill="ffffff"/>
            <w:tcW w:w="966"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0,0952</w:t>
            </w:r>
            <w:r>
              <w:rPr>
                <w:rFonts w:ascii="Arial Narrow" w:hAnsi="Arial Narrow"/>
                <w:sz w:val="20"/>
                <w:szCs w:val="20"/>
              </w:rPr>
            </w:r>
            <w:r>
              <w:rPr>
                <w:rFonts w:ascii="Arial Narrow" w:hAnsi="Arial Narrow"/>
                <w:sz w:val="20"/>
                <w:szCs w:val="20"/>
              </w:rPr>
            </w:r>
          </w:p>
        </w:tc>
        <w:tc>
          <w:tcPr>
            <w:shd w:val="clear" w:color="auto" w:fill="ffffff"/>
            <w:tcW w:w="830"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0,0092</w:t>
            </w:r>
            <w:r>
              <w:rPr>
                <w:rFonts w:ascii="Arial Narrow" w:hAnsi="Arial Narrow"/>
                <w:sz w:val="20"/>
                <w:szCs w:val="20"/>
              </w:rPr>
            </w:r>
            <w:r>
              <w:rPr>
                <w:rFonts w:ascii="Arial Narrow" w:hAnsi="Arial Narrow"/>
                <w:sz w:val="20"/>
                <w:szCs w:val="20"/>
              </w:rPr>
            </w:r>
          </w:p>
        </w:tc>
        <w:tc>
          <w:tcPr>
            <w:shd w:val="clear" w:color="auto" w:fill="ffffff"/>
            <w:tcW w:w="1243"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- 0,086</w:t>
            </w:r>
            <w:r>
              <w:rPr>
                <w:rFonts w:ascii="Arial Narrow" w:hAnsi="Arial Narrow"/>
                <w:sz w:val="20"/>
                <w:szCs w:val="20"/>
              </w:rPr>
            </w:r>
            <w:r>
              <w:rPr>
                <w:rFonts w:ascii="Arial Narrow" w:hAnsi="Arial Narrow"/>
                <w:sz w:val="20"/>
                <w:szCs w:val="20"/>
              </w:rPr>
            </w:r>
          </w:p>
        </w:tc>
        <w:tc>
          <w:tcPr>
            <w:shd w:val="clear" w:color="auto" w:fill="ffffff"/>
            <w:tcW w:w="552"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olor w:val="000000"/>
                <w:sz w:val="20"/>
                <w:szCs w:val="20"/>
              </w:rPr>
              <w:t xml:space="preserve">9</w:t>
            </w:r>
            <w:r>
              <w:rPr>
                <w:rFonts w:ascii="Arial Narrow" w:hAnsi="Arial Narrow"/>
                <w:sz w:val="20"/>
                <w:szCs w:val="20"/>
              </w:rPr>
            </w:r>
            <w:r>
              <w:rPr>
                <w:rFonts w:ascii="Arial Narrow" w:hAnsi="Arial Narrow"/>
                <w:sz w:val="20"/>
                <w:szCs w:val="20"/>
              </w:rPr>
            </w:r>
          </w:p>
        </w:tc>
        <w:tc>
          <w:tcPr>
            <w:shd w:val="clear" w:color="auto" w:fill="ffffff"/>
            <w:tcW w:w="2825" w:type="dxa"/>
            <w:vAlign w:val="center"/>
            <w:textDirection w:val="lrTb"/>
            <w:noWrap w:val="false"/>
          </w:tcPr>
          <w:p>
            <w:pPr>
              <w:pStyle w:val="1063"/>
              <w:jc w:val="both"/>
              <w:widowControl w:val="off"/>
              <w:rPr>
                <w:rFonts w:ascii="Arial Narrow" w:hAnsi="Arial Narrow"/>
                <w:sz w:val="20"/>
                <w:szCs w:val="20"/>
              </w:rPr>
            </w:pPr>
            <w:r>
              <w:rPr>
                <w:rFonts w:ascii="Arial Narrow" w:hAnsi="Arial Narrow"/>
                <w:sz w:val="20"/>
                <w:szCs w:val="20"/>
              </w:rPr>
            </w:r>
            <w:r>
              <w:rPr>
                <w:rFonts w:ascii="Arial Narrow" w:hAnsi="Arial Narrow"/>
                <w:sz w:val="20"/>
                <w:szCs w:val="20"/>
              </w:rPr>
            </w:r>
            <w:r>
              <w:rPr>
                <w:rFonts w:ascii="Arial Narrow" w:hAnsi="Arial Narrow"/>
                <w:sz w:val="20"/>
                <w:szCs w:val="20"/>
              </w:rPr>
            </w:r>
          </w:p>
        </w:tc>
      </w:tr>
    </w:tbl>
    <w:p>
      <w:pPr>
        <w:pStyle w:val="1063"/>
        <w:jc w:val="both"/>
        <w:rPr>
          <w:rFonts w:ascii="Arial Narrow" w:hAnsi="Arial Narrow" w:eastAsia="Calibri" w:cs="Calibri"/>
          <w:color w:val="314e87"/>
          <w:sz w:val="12"/>
          <w:szCs w:val="12"/>
          <w:lang w:eastAsia="ja-JP"/>
        </w:rPr>
      </w:pPr>
      <w:r>
        <w:rPr>
          <w:rFonts w:ascii="Arial Narrow" w:hAnsi="Arial Narrow" w:eastAsia="Calibri" w:cs="Calibri"/>
          <w:color w:val="314e87"/>
          <w:sz w:val="12"/>
          <w:szCs w:val="12"/>
          <w:lang w:eastAsia="ja-JP"/>
        </w:rPr>
      </w:r>
      <w:r>
        <w:rPr>
          <w:rFonts w:ascii="Arial Narrow" w:hAnsi="Arial Narrow" w:eastAsia="Calibri" w:cs="Calibri"/>
          <w:color w:val="314e87"/>
          <w:sz w:val="12"/>
          <w:szCs w:val="12"/>
          <w:lang w:eastAsia="ja-JP"/>
        </w:rPr>
      </w:r>
      <w:r>
        <w:rPr>
          <w:rFonts w:ascii="Arial Narrow" w:hAnsi="Arial Narrow" w:eastAsia="Calibri" w:cs="Calibri"/>
          <w:color w:val="314e87"/>
          <w:sz w:val="12"/>
          <w:szCs w:val="12"/>
          <w:lang w:eastAsia="ja-JP"/>
        </w:rPr>
      </w:r>
    </w:p>
    <w:p>
      <w:pPr>
        <w:pStyle w:val="1063"/>
        <w:jc w:val="both"/>
        <w:spacing w:after="120"/>
      </w:pPr>
      <w:r>
        <w:rPr>
          <w:rFonts w:ascii="Arial Narrow" w:hAnsi="Arial Narrow" w:eastAsia="Calibri" w:cs="Calibri"/>
          <w:bCs/>
          <w:color w:val="314e87"/>
          <w:lang w:eastAsia="ja-JP"/>
        </w:rPr>
        <w:t xml:space="preserve">Ключевые инвестиционные проекты отчетного года, комплексные программы</w:t>
      </w:r>
      <w:r/>
    </w:p>
    <w:p>
      <w:pPr>
        <w:pStyle w:val="1063"/>
        <w:ind w:firstLine="720"/>
        <w:jc w:val="both"/>
      </w:pPr>
      <w:r>
        <w:rPr>
          <w:rFonts w:ascii="Arial Narrow" w:hAnsi="Arial Narrow" w:cs="Calibri"/>
        </w:rPr>
        <w:t xml:space="preserve">С целью повышения на</w:t>
      </w:r>
      <w:r>
        <w:rPr>
          <w:rFonts w:ascii="Arial Narrow" w:hAnsi="Arial Narrow" w:cs="Calibri"/>
        </w:rPr>
        <w:t xml:space="preserve">дежности электроснабжения потребителей Усть-Большерецкого района завершены строительно-монтажные работы по объектам «Реконструкция КРУ-6 кВ 2-й секции Паужетской ГеоЭС (14 ячеек)», Реконструкция системы возбуждения турбогенератора ст. № 3 Паужетской ГеоЭС </w:t>
      </w:r>
      <w:r>
        <w:rPr>
          <w:rFonts w:ascii="Arial Narrow" w:hAnsi="Arial Narrow" w:cs="Calibri"/>
        </w:rPr>
        <w:br/>
        <w:t xml:space="preserve">(1 система).</w:t>
      </w:r>
      <w:r/>
    </w:p>
    <w:p>
      <w:pPr>
        <w:pStyle w:val="1063"/>
        <w:ind w:firstLine="720"/>
        <w:jc w:val="both"/>
      </w:pPr>
      <w:r>
        <w:rPr>
          <w:rFonts w:ascii="Arial Narrow" w:hAnsi="Arial Narrow" w:cs="Calibri"/>
        </w:rPr>
        <w:t xml:space="preserve">С целью повышения располагаемой мощности Мутновской ГеоЭС-1 и Верхне-Мутновской ГеоЭС, завершены работы по поддержанию располагаемой мощности МГеоЭС, строительство трассы ПВС </w:t>
      </w:r>
      <w:r>
        <w:rPr>
          <w:rFonts w:ascii="Arial Narrow" w:hAnsi="Arial Narrow" w:cs="Calibri"/>
        </w:rPr>
        <w:br/>
        <w:t xml:space="preserve">от скважины Гео-10, бурению скважины Гео-10. Объекты введены в эксплуатацию.</w:t>
      </w:r>
      <w:r/>
    </w:p>
    <w:p>
      <w:pPr>
        <w:pStyle w:val="1063"/>
        <w:ind w:firstLine="720"/>
        <w:jc w:val="both"/>
      </w:pPr>
      <w:r>
        <w:rPr>
          <w:rFonts w:ascii="Arial Narrow" w:hAnsi="Arial Narrow" w:cs="Calibri"/>
        </w:rPr>
        <w:t xml:space="preserve">В целях повышения надежности электроснабжения потребителей, снижения аварийности выполнены работы по объекту Модернизация линейных и трансформаторных высоковольтных вводов </w:t>
      </w:r>
      <w:r>
        <w:rPr>
          <w:rFonts w:ascii="Arial Narrow" w:hAnsi="Arial Narrow" w:cs="Calibri"/>
        </w:rPr>
        <w:br/>
        <w:t xml:space="preserve">ТЭЦ-2 с заменой на современные с твердой изоляцией. Объект введен в эксплуатацию.</w:t>
      </w:r>
      <w:r/>
    </w:p>
    <w:p>
      <w:pPr>
        <w:pStyle w:val="1063"/>
        <w:ind w:firstLine="720"/>
        <w:jc w:val="both"/>
      </w:pPr>
      <w:r>
        <w:rPr>
          <w:rFonts w:ascii="Arial Narrow" w:hAnsi="Arial Narrow" w:cs="Calibri"/>
        </w:rPr>
        <w:t xml:space="preserve">В рамках выполнения мероприятий по обеспечению антитеррорис</w:t>
      </w:r>
      <w:r>
        <w:rPr>
          <w:rFonts w:ascii="Arial Narrow" w:hAnsi="Arial Narrow" w:cs="Calibri"/>
        </w:rPr>
        <w:t xml:space="preserve">тической защищенности зданий и сооружений завершены работы по системе охранного телевидения и технических средств досмотра по объекту «Создание комплексной системы по обеспечению физической безопасности, антитеррористической защищенности объектов МГеоЭС.».</w:t>
      </w:r>
      <w:r/>
    </w:p>
    <w:p>
      <w:pPr>
        <w:pStyle w:val="1063"/>
        <w:ind w:firstLine="720"/>
        <w:jc w:val="both"/>
      </w:pPr>
      <w:r>
        <w:rPr>
          <w:rFonts w:ascii="Arial Narrow" w:hAnsi="Arial Narrow" w:cs="Calibri"/>
        </w:rPr>
        <w:t xml:space="preserve">В целях бесперебойной подачи электроэнергии завершены строительно-монтажные работы по объекту «Реконструкция ВЛ-220 кВ № Л-201 «Авача - МГеоЭС» с заменой 7 существующих опор на анкерно-угловые, лавиноустойчивые опоры». Объект введен в эксплуатацию.</w:t>
      </w:r>
      <w:r/>
    </w:p>
    <w:p>
      <w:pPr>
        <w:pStyle w:val="1063"/>
        <w:ind w:firstLine="720"/>
        <w:jc w:val="both"/>
      </w:pPr>
      <w:r>
        <w:rPr>
          <w:rFonts w:ascii="Arial Narrow" w:hAnsi="Arial Narrow" w:cs="Calibri"/>
        </w:rPr>
        <w:t xml:space="preserve">В рамках реализ</w:t>
      </w:r>
      <w:r>
        <w:rPr>
          <w:rFonts w:ascii="Arial Narrow" w:hAnsi="Arial Narrow" w:cs="Calibri"/>
        </w:rPr>
        <w:t xml:space="preserve">ации объекта «Установка счетчиков электрической энергии с возможностью подключения к интеллектуальным системам учета и монтаж коммуникационного оборудования (УСПД, модемы) в Центральном, Озерновском энергоузле ПАО «Камчатскэнерго» в 2024 году смонтировано </w:t>
      </w:r>
      <w:r>
        <w:rPr>
          <w:rFonts w:ascii="Arial Narrow" w:hAnsi="Arial Narrow" w:cs="Calibri"/>
        </w:rPr>
        <w:br/>
        <w:t xml:space="preserve">9 834 точек учета, поставлены приборы учета для реализации строительно-монтажных работ запланированных на 2025 год.</w:t>
      </w:r>
      <w:r/>
    </w:p>
    <w:p>
      <w:pPr>
        <w:pStyle w:val="1063"/>
        <w:ind w:firstLine="720"/>
        <w:jc w:val="both"/>
      </w:pPr>
      <w:r>
        <w:rPr>
          <w:rFonts w:ascii="Arial Narrow" w:hAnsi="Arial Narrow" w:cs="Calibri"/>
        </w:rPr>
        <w:t xml:space="preserve">С целью технологического присоединения к электрическим сетям введены объекты:</w:t>
      </w:r>
      <w:r/>
    </w:p>
    <w:p>
      <w:pPr>
        <w:pStyle w:val="1091"/>
        <w:numPr>
          <w:ilvl w:val="0"/>
          <w:numId w:val="24"/>
        </w:numPr>
        <w:ind w:left="0" w:firstLine="567"/>
        <w:jc w:val="both"/>
        <w:spacing w:line="276" w:lineRule="auto"/>
        <w:tabs>
          <w:tab w:val="left" w:pos="850" w:leader="none"/>
        </w:tabs>
        <w:rPr>
          <w:lang w:val="ru-RU"/>
        </w:rPr>
      </w:pPr>
      <w:r>
        <w:rPr>
          <w:rFonts w:ascii="Arial Narrow" w:hAnsi="Arial Narrow" w:cs="Calibri"/>
          <w:sz w:val="24"/>
          <w:szCs w:val="24"/>
          <w:lang w:val="ru-RU" w:eastAsia="en-US"/>
        </w:rPr>
        <w:t xml:space="preserve">Строительство КЛ-10 кВ протяженностью 13,4 км, ВЛ-10 кВ протяженностью 34,2 км, РТП-10/0,4 кВ и ТП-10/0,4кВ мощностью 14.77 МВА (РТП-2х3150кВА-10/0,4 кВ- 1 шт., РТП-2х2500кВА-10/0,4 кВ- 1 шт., КТПН-2х63 кВА-10/0,</w:t>
      </w:r>
      <w:r>
        <w:rPr>
          <w:rFonts w:ascii="Arial Narrow" w:hAnsi="Arial Narrow" w:cs="Calibri"/>
          <w:color w:val="000000"/>
          <w:sz w:val="24"/>
          <w:szCs w:val="24"/>
          <w:lang w:val="ru-RU" w:eastAsia="en-US"/>
        </w:rPr>
        <w:t xml:space="preserve">4 кВ - 1 шт., КТПН-2х630кВА-10/0,4 кВ - 2 шт., КТПН-2х160кВА-10/0,4 кВ - 1 шт., </w:t>
      </w:r>
      <w:r>
        <w:rPr>
          <w:rFonts w:ascii="Arial Narrow" w:hAnsi="Arial Narrow" w:cs="Calibri"/>
          <w:color w:val="000000"/>
          <w:sz w:val="24"/>
          <w:szCs w:val="24"/>
          <w:lang w:val="ru-RU" w:eastAsia="en-US"/>
        </w:rPr>
        <w:br/>
        <w:t xml:space="preserve">КТПН-2х250кВА-10/0,4 кВ - 1 шт.), КЛ-0,4 кВ протяженностью</w:t>
      </w:r>
      <w:r>
        <w:rPr>
          <w:rFonts w:ascii="Arial Narrow" w:hAnsi="Arial Narrow" w:cs="Calibri"/>
          <w:color w:val="000000"/>
          <w:sz w:val="24"/>
          <w:szCs w:val="24"/>
          <w:lang w:val="ru-RU" w:eastAsia="en-US"/>
        </w:rPr>
        <w:t xml:space="preserve"> 12 км для технологического присоединения объектов резидентов площадки «Зеленовские озерки», Елизовского муниципального района, Камчатского края. Протяженность кабельной линии – 5,47 км, воздушной линии – 42,51 км, трансформаторная мощность -  8,47 МВ*А   </w:t>
      </w:r>
      <w:r>
        <w:rPr>
          <w:lang w:val="ru-RU"/>
        </w:rPr>
      </w:r>
      <w:r>
        <w:rPr>
          <w:lang w:val="ru-RU"/>
        </w:rPr>
      </w:r>
    </w:p>
    <w:p>
      <w:pPr>
        <w:pStyle w:val="1091"/>
        <w:numPr>
          <w:ilvl w:val="0"/>
          <w:numId w:val="24"/>
        </w:numPr>
        <w:ind w:left="0" w:firstLine="567"/>
        <w:jc w:val="both"/>
        <w:spacing w:line="276" w:lineRule="auto"/>
        <w:tabs>
          <w:tab w:val="left" w:pos="850" w:leader="none"/>
        </w:tabs>
        <w:rPr>
          <w:lang w:val="ru-RU"/>
        </w:rPr>
      </w:pPr>
      <w:r>
        <w:rPr>
          <w:rFonts w:ascii="Arial Narrow" w:hAnsi="Arial Narrow" w:cs="Calibri"/>
          <w:color w:val="000000"/>
          <w:sz w:val="24"/>
          <w:szCs w:val="24"/>
          <w:lang w:val="ru-RU" w:eastAsia="en-US"/>
        </w:rPr>
        <w:t xml:space="preserve">Строительство ЛЭП-10 кВ для техно</w:t>
      </w:r>
      <w:r>
        <w:rPr>
          <w:rFonts w:ascii="Arial Narrow" w:hAnsi="Arial Narrow" w:cs="Calibri"/>
          <w:color w:val="000000"/>
          <w:sz w:val="24"/>
          <w:szCs w:val="24"/>
          <w:lang w:val="ru-RU" w:eastAsia="en-US"/>
        </w:rPr>
        <w:t xml:space="preserve">логического присоединения объекта: «Многоквартирные жилые дома», расположенного по адресу: г. Петропавловск-Камчатский, ул. Топоркова, д. 1. Разработка проектной и рабочей документации. Строительно-монтажные работы. Протяженность кабельной линии - 2,54 км.</w:t>
      </w:r>
      <w:r>
        <w:rPr>
          <w:lang w:val="ru-RU"/>
        </w:rPr>
      </w:r>
      <w:r>
        <w:rPr>
          <w:lang w:val="ru-RU"/>
        </w:rPr>
      </w:r>
    </w:p>
    <w:p>
      <w:pPr>
        <w:pStyle w:val="1063"/>
        <w:ind w:left="567"/>
        <w:jc w:val="both"/>
        <w:tabs>
          <w:tab w:val="left" w:pos="1417" w:leader="none"/>
        </w:tabs>
        <w:rPr>
          <w:rFonts w:ascii="Arial Narrow" w:hAnsi="Arial Narrow" w:cs="Calibri"/>
          <w:sz w:val="10"/>
          <w:szCs w:val="10"/>
        </w:rPr>
      </w:pPr>
      <w:r>
        <w:rPr>
          <w:rFonts w:ascii="Arial Narrow" w:hAnsi="Arial Narrow" w:cs="Calibri"/>
          <w:sz w:val="10"/>
          <w:szCs w:val="10"/>
        </w:rPr>
      </w:r>
      <w:r>
        <w:rPr>
          <w:rFonts w:ascii="Arial Narrow" w:hAnsi="Arial Narrow" w:cs="Calibri"/>
          <w:sz w:val="10"/>
          <w:szCs w:val="10"/>
        </w:rPr>
      </w:r>
      <w:r>
        <w:rPr>
          <w:rFonts w:ascii="Arial Narrow" w:hAnsi="Arial Narrow" w:cs="Calibri"/>
          <w:sz w:val="10"/>
          <w:szCs w:val="10"/>
        </w:rPr>
      </w:r>
    </w:p>
    <w:p>
      <w:pPr>
        <w:pStyle w:val="1063"/>
        <w:jc w:val="both"/>
        <w:tabs>
          <w:tab w:val="left" w:pos="850" w:leader="none"/>
        </w:tabs>
      </w:pPr>
      <w:r>
        <w:rPr>
          <w:rFonts w:ascii="Arial Narrow" w:hAnsi="Arial Narrow" w:cs="Calibri"/>
          <w:color w:val="000000"/>
        </w:rPr>
        <w:tab/>
        <w:t xml:space="preserve">В рамках развития системы централизованного теплоснабжения реализованы следующие мероприятия:  </w:t>
      </w:r>
      <w:r/>
    </w:p>
    <w:p>
      <w:pPr>
        <w:pStyle w:val="1091"/>
        <w:numPr>
          <w:ilvl w:val="0"/>
          <w:numId w:val="24"/>
        </w:numPr>
        <w:ind w:left="0" w:firstLine="567"/>
        <w:jc w:val="both"/>
        <w:spacing w:line="276" w:lineRule="auto"/>
        <w:tabs>
          <w:tab w:val="left" w:pos="850" w:leader="none"/>
        </w:tabs>
      </w:pPr>
      <w:r>
        <w:rPr>
          <w:rFonts w:ascii="Arial Narrow" w:hAnsi="Arial Narrow" w:cs="Calibri"/>
          <w:color w:val="000000"/>
          <w:sz w:val="24"/>
          <w:szCs w:val="24"/>
          <w:lang w:val="ru-RU" w:eastAsia="en-US"/>
        </w:rPr>
        <w:t xml:space="preserve">Строительство сооружения тепловых сетей 2 контура для подключения объекта с тепловой нагрузкой свыше 0,1 Гкал/ч и не превышающей 1,5 Гкал/ч «Многоквартирный жилой дом, расположенного по адресу: г. Петропавловск-Камчатский, ул. </w:t>
      </w:r>
      <w:r>
        <w:rPr>
          <w:rFonts w:ascii="Arial Narrow" w:hAnsi="Arial Narrow" w:cs="Calibri"/>
          <w:color w:val="000000"/>
          <w:sz w:val="24"/>
          <w:szCs w:val="24"/>
          <w:lang w:eastAsia="en-US"/>
        </w:rPr>
        <w:t xml:space="preserve">Арсеньева, участок с кадастровым номером 41:01:0010112:2655. Ввод составил –0,49 км ТС;   </w:t>
      </w:r>
      <w:r/>
    </w:p>
    <w:p>
      <w:pPr>
        <w:pStyle w:val="1091"/>
        <w:numPr>
          <w:ilvl w:val="0"/>
          <w:numId w:val="24"/>
        </w:numPr>
        <w:ind w:left="0" w:firstLine="567"/>
        <w:jc w:val="both"/>
        <w:spacing w:line="276" w:lineRule="auto"/>
        <w:tabs>
          <w:tab w:val="left" w:pos="850" w:leader="none"/>
        </w:tabs>
        <w:rPr>
          <w:lang w:val="ru-RU"/>
        </w:rPr>
      </w:pPr>
      <w:r>
        <w:rPr>
          <w:rFonts w:ascii="Arial Narrow" w:hAnsi="Arial Narrow" w:cs="Calibri"/>
          <w:color w:val="000000"/>
          <w:sz w:val="24"/>
          <w:szCs w:val="24"/>
          <w:lang w:val="ru-RU" w:eastAsia="en-US"/>
        </w:rPr>
        <w:t xml:space="preserve">Строительство тепловых сетей 2-ого контура от ТК-236 до границ стены: «Многоквартирный жилой дом по ул. Рябикова д. 49А, по ул. Рябикова, д. 49Б г. Елизово. Ввод составил – 0,15 км ТС;   </w:t>
      </w:r>
      <w:r>
        <w:rPr>
          <w:lang w:val="ru-RU"/>
        </w:rPr>
      </w:r>
      <w:r>
        <w:rPr>
          <w:lang w:val="ru-RU"/>
        </w:rPr>
      </w:r>
    </w:p>
    <w:p>
      <w:pPr>
        <w:pStyle w:val="1091"/>
        <w:numPr>
          <w:ilvl w:val="0"/>
          <w:numId w:val="24"/>
        </w:numPr>
        <w:ind w:left="0" w:firstLine="567"/>
        <w:jc w:val="both"/>
        <w:spacing w:line="276" w:lineRule="auto"/>
        <w:tabs>
          <w:tab w:val="left" w:pos="850" w:leader="none"/>
        </w:tabs>
        <w:rPr>
          <w:lang w:val="ru-RU"/>
        </w:rPr>
      </w:pPr>
      <w:r>
        <w:rPr>
          <w:rFonts w:ascii="Arial Narrow" w:hAnsi="Arial Narrow" w:cs="Calibri"/>
          <w:color w:val="000000"/>
          <w:sz w:val="24"/>
          <w:szCs w:val="24"/>
          <w:lang w:val="ru-RU" w:eastAsia="en-US"/>
        </w:rPr>
        <w:t xml:space="preserve">Строительство сооружения тепловых сетей 2 контура для подключения объекта с тепловой нагрузкой свыше 0,1 Гкал/ч и не превышающей 1,5 Гкал/ч «Многоквартирный жилой дом по </w:t>
      </w:r>
      <w:r>
        <w:rPr>
          <w:rFonts w:ascii="Arial Narrow" w:hAnsi="Arial Narrow" w:cs="Calibri"/>
          <w:color w:val="000000"/>
          <w:sz w:val="24"/>
          <w:szCs w:val="24"/>
          <w:lang w:val="ru-RU" w:eastAsia="en-US"/>
        </w:rPr>
        <w:br/>
        <w:t xml:space="preserve">ул. Геофизическая в г. Елизово Камчатского края» планируемого к строительству на земельном участке с 41:05:0101001:12242 по адресу: Камчатский край, г. Елизово, ул. Геофизическая. Ввод составил – 0,07 км ТС;   </w:t>
      </w:r>
      <w:r>
        <w:rPr>
          <w:lang w:val="ru-RU"/>
        </w:rPr>
      </w:r>
      <w:r>
        <w:rPr>
          <w:lang w:val="ru-RU"/>
        </w:rPr>
      </w:r>
    </w:p>
    <w:p>
      <w:pPr>
        <w:pStyle w:val="1091"/>
        <w:numPr>
          <w:ilvl w:val="0"/>
          <w:numId w:val="24"/>
        </w:numPr>
        <w:ind w:left="0" w:firstLine="567"/>
        <w:jc w:val="both"/>
        <w:spacing w:line="276" w:lineRule="auto"/>
        <w:tabs>
          <w:tab w:val="left" w:pos="850" w:leader="none"/>
        </w:tabs>
      </w:pPr>
      <w:r>
        <w:rPr>
          <w:rFonts w:ascii="Arial Narrow" w:hAnsi="Arial Narrow" w:cs="Calibri"/>
          <w:color w:val="000000"/>
          <w:sz w:val="24"/>
          <w:szCs w:val="24"/>
          <w:lang w:val="ru-RU" w:eastAsia="en-US"/>
        </w:rPr>
        <w:t xml:space="preserve">Строительство сооружения тепловых сетей 1 контура для подключения объекта с тепловой нагрузкой 0,814441 Гкал/ч «Здание. Учебный корпус МБОУ «Средняя школа № 40 по ул. Вольского микрорайона «Северо-Восток» в г. Петропавловске-Камчатском». </w:t>
      </w:r>
      <w:r>
        <w:rPr>
          <w:rFonts w:ascii="Arial Narrow" w:hAnsi="Arial Narrow" w:cs="Calibri"/>
          <w:color w:val="000000"/>
          <w:sz w:val="24"/>
          <w:szCs w:val="24"/>
          <w:lang w:eastAsia="en-US"/>
        </w:rPr>
        <w:t xml:space="preserve">Ввод составил –</w:t>
      </w:r>
      <w:r>
        <w:rPr>
          <w:rFonts w:ascii="Arial Narrow" w:hAnsi="Arial Narrow" w:cs="Calibri"/>
          <w:color w:val="000000"/>
          <w:sz w:val="24"/>
          <w:szCs w:val="24"/>
          <w:lang w:val="ru-RU" w:eastAsia="en-US"/>
        </w:rPr>
        <w:t xml:space="preserve"> </w:t>
      </w:r>
      <w:r>
        <w:rPr>
          <w:rFonts w:ascii="Arial Narrow" w:hAnsi="Arial Narrow" w:cs="Calibri"/>
          <w:color w:val="000000"/>
          <w:sz w:val="24"/>
          <w:szCs w:val="24"/>
          <w:lang w:eastAsia="en-US"/>
        </w:rPr>
        <w:t xml:space="preserve">0,01 км ТС.   </w:t>
      </w:r>
      <w:r/>
    </w:p>
    <w:p>
      <w:pPr>
        <w:pStyle w:val="1063"/>
        <w:jc w:val="both"/>
        <w:rPr>
          <w:rFonts w:ascii="Arial Narrow" w:hAnsi="Arial Narrow" w:eastAsia="Calibri" w:cs="Calibri"/>
          <w:color w:val="314e87"/>
          <w:sz w:val="12"/>
          <w:szCs w:val="12"/>
          <w:lang w:eastAsia="ja-JP"/>
        </w:rPr>
      </w:pPr>
      <w:r>
        <w:rPr>
          <w:rFonts w:ascii="Arial Narrow" w:hAnsi="Arial Narrow" w:eastAsia="Calibri" w:cs="Calibri"/>
          <w:color w:val="314e87"/>
          <w:sz w:val="12"/>
          <w:szCs w:val="12"/>
          <w:lang w:eastAsia="ja-JP"/>
        </w:rPr>
      </w:r>
      <w:r>
        <w:rPr>
          <w:rFonts w:ascii="Arial Narrow" w:hAnsi="Arial Narrow" w:eastAsia="Calibri" w:cs="Calibri"/>
          <w:color w:val="314e87"/>
          <w:sz w:val="12"/>
          <w:szCs w:val="12"/>
          <w:lang w:eastAsia="ja-JP"/>
        </w:rPr>
      </w:r>
      <w:r>
        <w:rPr>
          <w:rFonts w:ascii="Arial Narrow" w:hAnsi="Arial Narrow" w:eastAsia="Calibri" w:cs="Calibri"/>
          <w:color w:val="314e87"/>
          <w:sz w:val="12"/>
          <w:szCs w:val="12"/>
          <w:lang w:eastAsia="ja-JP"/>
        </w:rPr>
      </w:r>
    </w:p>
    <w:p>
      <w:pPr>
        <w:pStyle w:val="1063"/>
        <w:jc w:val="both"/>
        <w:spacing w:after="120"/>
      </w:pPr>
      <w:r>
        <w:rPr>
          <w:rFonts w:ascii="Arial Narrow" w:hAnsi="Arial Narrow" w:eastAsia="Calibri" w:cs="Calibri"/>
          <w:bCs/>
          <w:color w:val="314e87"/>
          <w:lang w:eastAsia="ja-JP"/>
        </w:rPr>
        <w:t xml:space="preserve">Достигнутый эффект от реализованных за последние 3 года инвестиционных проектов</w:t>
      </w:r>
      <w:r/>
    </w:p>
    <w:p>
      <w:pPr>
        <w:pStyle w:val="1063"/>
        <w:ind w:firstLine="720"/>
        <w:jc w:val="both"/>
      </w:pPr>
      <w:r>
        <w:rPr>
          <w:rFonts w:ascii="Arial Narrow" w:hAnsi="Arial Narrow" w:cs="Calibri"/>
          <w:color w:val="000000"/>
        </w:rPr>
        <w:t xml:space="preserve">Общий объем инвестиций за последние три года в развитие Камчатской энергетики составил 8 858,218 млн. руб. без НДС.</w:t>
      </w:r>
      <w:r/>
    </w:p>
    <w:p>
      <w:pPr>
        <w:pStyle w:val="1063"/>
        <w:ind w:firstLine="720"/>
        <w:jc w:val="both"/>
      </w:pPr>
      <w:r>
        <w:rPr>
          <w:rFonts w:ascii="Arial Narrow" w:hAnsi="Arial Narrow" w:cs="Calibri"/>
          <w:color w:val="000000"/>
        </w:rPr>
        <w:t xml:space="preserve">Растущие потребности в электроэнергии Усть-Большерецкого района, связанные с увеличением мощности рыбоперерабатывающих заводов и прочих потребителей западного побережья полуострова, создали предпосылки к прове</w:t>
      </w:r>
      <w:r>
        <w:rPr>
          <w:rFonts w:ascii="Arial Narrow" w:hAnsi="Arial Narrow" w:cs="Calibri"/>
          <w:color w:val="000000"/>
        </w:rPr>
        <w:t xml:space="preserve">дению Реконструкции трансформаторных подстанций 10/0,4 кВ № 2-9, 30 системы электроснабжения п. Озерновский. Выполнены работы по замене трансформаторных подстанций. Ввод мощности 2022 года составил – 7,93 МВА. Ввод мощности 2023 года составил – 1,70 км КЛ.</w:t>
      </w:r>
      <w:r/>
    </w:p>
    <w:p>
      <w:pPr>
        <w:pStyle w:val="1063"/>
        <w:ind w:firstLine="720"/>
        <w:jc w:val="both"/>
      </w:pPr>
      <w:r>
        <w:rPr>
          <w:rFonts w:ascii="Arial Narrow" w:hAnsi="Arial Narrow" w:cs="Calibri"/>
          <w:color w:val="000000"/>
        </w:rPr>
        <w:t xml:space="preserve">В целях обеспечения повышения наде</w:t>
      </w:r>
      <w:r>
        <w:rPr>
          <w:rFonts w:ascii="Arial Narrow" w:hAnsi="Arial Narrow" w:cs="Calibri"/>
          <w:color w:val="000000"/>
        </w:rPr>
        <w:t xml:space="preserve">жности южной части г. Петропавловск-Камчатский выполняются строительно-монтажные работы по объекту Закольцовка тепловых сетей ТЭЦ-1 и ТЭЦ-2. Участок от УТ-22 до УТ-1. По состоянию на 01.01.2025 осуществлена прокладка тепловой сети протяженностью 1 095 п.м.</w:t>
      </w:r>
      <w:r/>
    </w:p>
    <w:p>
      <w:pPr>
        <w:pStyle w:val="1063"/>
        <w:ind w:firstLine="720"/>
        <w:jc w:val="both"/>
      </w:pPr>
      <w:r>
        <w:rPr>
          <w:rFonts w:ascii="Arial Narrow" w:hAnsi="Arial Narrow" w:cs="Calibri"/>
          <w:color w:val="000000"/>
        </w:rPr>
        <w:t xml:space="preserve">Для обеспечения надежной и безаварийной работы энергосистемы за последние три года обществом выполнены следующие мероприятия:</w:t>
      </w:r>
      <w:r/>
    </w:p>
    <w:p>
      <w:pPr>
        <w:pStyle w:val="1091"/>
        <w:numPr>
          <w:ilvl w:val="0"/>
          <w:numId w:val="24"/>
        </w:numPr>
        <w:ind w:left="0" w:firstLine="567"/>
        <w:jc w:val="both"/>
        <w:spacing w:line="276" w:lineRule="auto"/>
        <w:tabs>
          <w:tab w:val="left" w:pos="850" w:leader="none"/>
        </w:tabs>
        <w:rPr>
          <w:lang w:val="ru-RU"/>
        </w:rPr>
      </w:pPr>
      <w:r>
        <w:rPr>
          <w:rFonts w:ascii="Arial Narrow" w:hAnsi="Arial Narrow" w:cs="Calibri"/>
          <w:color w:val="000000"/>
          <w:sz w:val="24"/>
          <w:szCs w:val="24"/>
          <w:lang w:val="ru-RU" w:eastAsia="en-US"/>
        </w:rPr>
        <w:t xml:space="preserve">в рамках выполнения мероприятий по обеспечению антитеррористической защищенности зданий и сооружений выполняются работы по монтажу ограждений на объектах электроэнергетики;</w:t>
      </w:r>
      <w:r>
        <w:rPr>
          <w:lang w:val="ru-RU"/>
        </w:rPr>
      </w:r>
      <w:r>
        <w:rPr>
          <w:lang w:val="ru-RU"/>
        </w:rPr>
      </w:r>
    </w:p>
    <w:p>
      <w:pPr>
        <w:pStyle w:val="1091"/>
        <w:numPr>
          <w:ilvl w:val="0"/>
          <w:numId w:val="24"/>
        </w:numPr>
        <w:ind w:left="0" w:firstLine="567"/>
        <w:jc w:val="both"/>
        <w:spacing w:line="276" w:lineRule="auto"/>
        <w:tabs>
          <w:tab w:val="left" w:pos="850" w:leader="none"/>
        </w:tabs>
        <w:rPr>
          <w:lang w:val="ru-RU"/>
        </w:rPr>
      </w:pPr>
      <w:r>
        <w:rPr>
          <w:rFonts w:ascii="Arial Narrow" w:hAnsi="Arial Narrow" w:cs="Calibri"/>
          <w:color w:val="000000"/>
          <w:sz w:val="24"/>
          <w:szCs w:val="24"/>
          <w:lang w:val="ru-RU" w:eastAsia="en-US"/>
        </w:rPr>
        <w:t xml:space="preserve">в полном объеме выполнены запланированные мероприятия по выполнению предписаний пожарных органов;</w:t>
      </w:r>
      <w:r>
        <w:rPr>
          <w:lang w:val="ru-RU"/>
        </w:rPr>
      </w:r>
      <w:r>
        <w:rPr>
          <w:lang w:val="ru-RU"/>
        </w:rPr>
      </w:r>
    </w:p>
    <w:p>
      <w:pPr>
        <w:pStyle w:val="1091"/>
        <w:numPr>
          <w:ilvl w:val="0"/>
          <w:numId w:val="24"/>
        </w:numPr>
        <w:ind w:left="0" w:firstLine="567"/>
        <w:jc w:val="both"/>
        <w:spacing w:line="276" w:lineRule="auto"/>
        <w:tabs>
          <w:tab w:val="left" w:pos="850" w:leader="none"/>
        </w:tabs>
        <w:rPr>
          <w:lang w:val="ru-RU"/>
        </w:rPr>
      </w:pPr>
      <w:r>
        <w:rPr>
          <w:rFonts w:ascii="Arial Narrow" w:hAnsi="Arial Narrow" w:cs="Calibri"/>
          <w:color w:val="000000"/>
          <w:sz w:val="24"/>
          <w:szCs w:val="24"/>
          <w:lang w:val="ru-RU" w:eastAsia="en-US"/>
        </w:rPr>
        <w:t xml:space="preserve">установлены приборы учета в частном секторе с дистанционным снятием показаний по каждому абоненту.</w:t>
      </w:r>
      <w:r>
        <w:rPr>
          <w:lang w:val="ru-RU"/>
        </w:rPr>
      </w:r>
      <w:r>
        <w:rPr>
          <w:lang w:val="ru-RU"/>
        </w:rPr>
      </w:r>
    </w:p>
    <w:p>
      <w:pPr>
        <w:pStyle w:val="1063"/>
        <w:ind w:firstLine="720"/>
        <w:jc w:val="both"/>
      </w:pPr>
      <w:r>
        <w:rPr>
          <w:rFonts w:ascii="Arial Narrow" w:hAnsi="Arial Narrow" w:cs="Calibri"/>
          <w:color w:val="000000"/>
        </w:rPr>
        <w:t xml:space="preserve">В рамках создания инженерной инфраструктуры площадок ТОСЭР «Камчатка» выполнен первый и второй пусковой комплекс с вводом нового РТП (2 КТП-3150/10/0,4 кВ), КЛ протяженностью 6,38 км, </w:t>
      </w:r>
      <w:r>
        <w:rPr>
          <w:rFonts w:ascii="Arial Narrow" w:hAnsi="Arial Narrow" w:cs="Calibri"/>
          <w:color w:val="000000"/>
        </w:rPr>
        <w:br/>
        <w:t xml:space="preserve">ВЛ-10 кВ протяженностью – 42,51 км на площадке «Зеленовские озерки» объект введен в эксплуатацию, ввод мощности составил – 14,77 МВ×А.</w:t>
      </w:r>
      <w:r/>
    </w:p>
    <w:p>
      <w:pPr>
        <w:pStyle w:val="1063"/>
        <w:ind w:firstLine="720"/>
        <w:jc w:val="both"/>
      </w:pPr>
      <w:r>
        <w:rPr>
          <w:rFonts w:ascii="Arial Narrow" w:hAnsi="Arial Narrow" w:cs="Calibri"/>
          <w:color w:val="000000"/>
        </w:rPr>
        <w:t xml:space="preserve">В рамках создания инженерной инфраструктуры на площадке «Нагорный» завершены работы по монтажу Кл-10 кВ протяженностью 3,20 км, смонтировано электротехническое оборудование ОРУ-110 кВ, ЗРУ-10 кВ, ОПУ.</w:t>
      </w:r>
      <w:r/>
    </w:p>
    <w:p>
      <w:pPr>
        <w:pStyle w:val="1063"/>
        <w:ind w:firstLine="720"/>
        <w:jc w:val="both"/>
      </w:pPr>
      <w:r>
        <w:rPr>
          <w:rFonts w:ascii="Arial Narrow" w:hAnsi="Arial Narrow" w:cs="Calibri"/>
          <w:color w:val="000000"/>
        </w:rPr>
        <w:t xml:space="preserve">С целью технологического присоединения к электрическим сетям введены объекты:</w:t>
      </w:r>
      <w:r/>
    </w:p>
    <w:p>
      <w:pPr>
        <w:pStyle w:val="1091"/>
        <w:numPr>
          <w:ilvl w:val="0"/>
          <w:numId w:val="24"/>
        </w:numPr>
        <w:ind w:left="0" w:firstLine="567"/>
        <w:jc w:val="both"/>
        <w:spacing w:line="276" w:lineRule="auto"/>
        <w:tabs>
          <w:tab w:val="left" w:pos="850" w:leader="none"/>
        </w:tabs>
      </w:pPr>
      <w:r>
        <w:rPr>
          <w:rFonts w:ascii="Arial Narrow" w:hAnsi="Arial Narrow" w:cs="Calibri"/>
          <w:color w:val="000000"/>
          <w:sz w:val="24"/>
          <w:szCs w:val="24"/>
          <w:lang w:val="ru-RU" w:eastAsia="en-US"/>
        </w:rPr>
        <w:t xml:space="preserve">Строительство ЛЭП-10 кВ для технологического присоединения объекта: «Многоквартирные жилые дома», расположенного по адресу: г. Петропавловск-Камчатский, ул. </w:t>
      </w:r>
      <w:r>
        <w:rPr>
          <w:rFonts w:ascii="Arial Narrow" w:hAnsi="Arial Narrow" w:cs="Calibri"/>
          <w:color w:val="000000"/>
          <w:sz w:val="24"/>
          <w:szCs w:val="24"/>
          <w:lang w:eastAsia="en-US"/>
        </w:rPr>
        <w:t xml:space="preserve">Топоркова, д. 1. Протяженность кабельной линии - 2,54 км,</w:t>
      </w:r>
      <w:r/>
    </w:p>
    <w:p>
      <w:pPr>
        <w:pStyle w:val="1091"/>
        <w:numPr>
          <w:ilvl w:val="0"/>
          <w:numId w:val="24"/>
        </w:numPr>
        <w:ind w:left="0" w:firstLine="567"/>
        <w:jc w:val="both"/>
        <w:spacing w:line="276" w:lineRule="auto"/>
        <w:tabs>
          <w:tab w:val="left" w:pos="850" w:leader="none"/>
        </w:tabs>
        <w:rPr>
          <w:lang w:val="ru-RU"/>
        </w:rPr>
      </w:pPr>
      <w:r>
        <w:rPr>
          <w:rFonts w:ascii="Arial Narrow" w:hAnsi="Arial Narrow" w:cs="Calibri"/>
          <w:color w:val="000000"/>
          <w:sz w:val="24"/>
          <w:szCs w:val="24"/>
          <w:lang w:val="ru-RU" w:eastAsia="en-US"/>
        </w:rPr>
        <w:t xml:space="preserve">Строительство ЛЭП-6 кВ для технологического присоединения объекта: «Объекты вспомогательного и обслуживающего назначения, холодильного комплекса и открытых площад</w:t>
      </w:r>
      <w:r>
        <w:rPr>
          <w:rFonts w:ascii="Arial Narrow" w:hAnsi="Arial Narrow" w:cs="Calibri"/>
          <w:color w:val="000000"/>
          <w:sz w:val="24"/>
          <w:szCs w:val="24"/>
          <w:lang w:val="ru-RU" w:eastAsia="en-US"/>
        </w:rPr>
        <w:t xml:space="preserve">ок хранения, базы хранения нефтепродуктов на ФГКУ комбинат «Дальний» управления Росрезерва по Дальневосточному федеральному округу», расположенный по адресу: Камчатский край, г. Петропавловск-Камчатский, в районе ул. 2-ая Шевченко протяженность - 25,10 км,</w:t>
      </w:r>
      <w:r>
        <w:rPr>
          <w:lang w:val="ru-RU"/>
        </w:rPr>
      </w:r>
      <w:r>
        <w:rPr>
          <w:lang w:val="ru-RU"/>
        </w:rPr>
      </w:r>
    </w:p>
    <w:p>
      <w:pPr>
        <w:pStyle w:val="1063"/>
        <w:ind w:firstLine="720"/>
        <w:jc w:val="both"/>
      </w:pPr>
      <w:r>
        <w:rPr>
          <w:rFonts w:ascii="Arial Narrow" w:hAnsi="Arial Narrow" w:cs="Calibri"/>
          <w:color w:val="000000"/>
        </w:rPr>
        <w:t xml:space="preserve">В рамках создания инженерной</w:t>
      </w:r>
      <w:r>
        <w:rPr>
          <w:rFonts w:ascii="Arial Narrow" w:hAnsi="Arial Narrow" w:cs="Calibri"/>
          <w:color w:val="000000"/>
        </w:rPr>
        <w:t xml:space="preserve"> инфраструктуры перспективных площадок туристическо-рекреационной зоны «Парк Три Вулкана» заключен договор на выполнение строительно-монтажных работ. Оборудование 110 кВ, шкафы РЗА, БМЗ поставлено, 65 % фундаментов отправлены на объект. Получено разрешение</w:t>
      </w:r>
      <w:r>
        <w:rPr>
          <w:rFonts w:ascii="Arial Narrow" w:hAnsi="Arial Narrow" w:cs="Calibri"/>
          <w:color w:val="000000"/>
        </w:rPr>
        <w:t xml:space="preserve"> Дальневосточного управления Ростехнадзора на допуск в эксплуатацию энергопринимающей установки от 24.12.2024 № 370-2435-31423-1224-вр по второму этапу строительства Реконструкция ПС 220/110/35/10 кВ «Авача». Срок завершения работ по 2-7 этапу -  2025 год.</w:t>
      </w:r>
      <w:r/>
    </w:p>
    <w:p>
      <w:pPr>
        <w:pStyle w:val="1063"/>
        <w:ind w:firstLine="720"/>
        <w:jc w:val="both"/>
      </w:pPr>
      <w:r>
        <w:rPr>
          <w:rFonts w:ascii="Arial Narrow" w:hAnsi="Arial Narrow" w:cs="Calibri"/>
          <w:color w:val="000000"/>
        </w:rPr>
        <w:t xml:space="preserve">С целью повышения располагаемой мощности Мутновской ГеоЭС-1 и Верхне-Мутновской ГеоЭС, завершены работы по поддержанию располагаемой мощности МГеоЭС, строительство трассы ПВС от скважины Гео-10, бурению скважины Гео-10. Объекты введены в эксплуатацию</w:t>
      </w:r>
      <w:r/>
    </w:p>
    <w:p>
      <w:pPr>
        <w:pStyle w:val="1063"/>
        <w:ind w:firstLine="720"/>
        <w:jc w:val="both"/>
      </w:pPr>
      <w:r>
        <w:rPr>
          <w:rFonts w:ascii="Arial Narrow" w:hAnsi="Arial Narrow" w:cs="Calibri"/>
          <w:color w:val="000000"/>
        </w:rPr>
        <w:t xml:space="preserve">Интенсивно происходит подключение потребителей к тепловым сетям ПАО «Камчатскэнерго». Наиболее крупными и значимыми объектами в этой сфере были:</w:t>
      </w:r>
      <w:r/>
    </w:p>
    <w:p>
      <w:pPr>
        <w:pStyle w:val="1091"/>
        <w:numPr>
          <w:ilvl w:val="0"/>
          <w:numId w:val="24"/>
        </w:numPr>
        <w:ind w:left="0" w:firstLine="567"/>
        <w:jc w:val="both"/>
        <w:spacing w:line="276" w:lineRule="auto"/>
        <w:tabs>
          <w:tab w:val="left" w:pos="850" w:leader="none"/>
        </w:tabs>
      </w:pPr>
      <w:r>
        <w:rPr>
          <w:rFonts w:ascii="Arial Narrow" w:hAnsi="Arial Narrow" w:cs="Calibri"/>
          <w:color w:val="000000"/>
          <w:sz w:val="24"/>
          <w:szCs w:val="24"/>
          <w:lang w:val="ru-RU" w:eastAsia="en-US"/>
        </w:rPr>
        <w:t xml:space="preserve"> Строительство сооружения тепловых сетей 2 контура для подключения объектов с тепловой нагрузкой до 0,1 Гкал/ч "Индивидуальные жилые дома», расположенные на земельных участках с кадастровым номер</w:t>
      </w:r>
      <w:r>
        <w:rPr>
          <w:rFonts w:ascii="Arial Narrow" w:hAnsi="Arial Narrow" w:cs="Calibri"/>
          <w:color w:val="000000"/>
          <w:sz w:val="24"/>
          <w:szCs w:val="24"/>
          <w:lang w:val="ru-RU" w:eastAsia="en-US"/>
        </w:rPr>
        <w:t xml:space="preserve">ом: 41:05:0101003:3757, 41:05:0101003:3761, 41:05:0101003:3765, 41:05:0101003:3768, 41:05:0101003:3772, 41:05:0101003:3779, 41:05:0101003:3781, 41:05:0101003:3784, 41:05:0101003:3786 по адресу: Камчатский край, Елизовском городское поселение, г. Елизово". </w:t>
      </w:r>
      <w:r>
        <w:rPr>
          <w:rFonts w:ascii="Arial Narrow" w:hAnsi="Arial Narrow" w:cs="Calibri"/>
          <w:color w:val="000000"/>
          <w:sz w:val="24"/>
          <w:szCs w:val="24"/>
          <w:lang w:eastAsia="en-US"/>
        </w:rPr>
        <w:t xml:space="preserve">Ввод составил – 1,38 км ТС;</w:t>
      </w:r>
      <w:r/>
    </w:p>
    <w:p>
      <w:pPr>
        <w:pStyle w:val="1091"/>
        <w:numPr>
          <w:ilvl w:val="0"/>
          <w:numId w:val="24"/>
        </w:numPr>
        <w:ind w:left="0" w:firstLine="567"/>
        <w:jc w:val="both"/>
        <w:spacing w:line="276" w:lineRule="auto"/>
        <w:tabs>
          <w:tab w:val="left" w:pos="850" w:leader="none"/>
        </w:tabs>
      </w:pPr>
      <w:r>
        <w:rPr>
          <w:rFonts w:ascii="Arial Narrow" w:hAnsi="Arial Narrow" w:cs="Calibri"/>
          <w:color w:val="000000"/>
          <w:sz w:val="24"/>
          <w:szCs w:val="24"/>
          <w:lang w:val="ru-RU" w:eastAsia="en-US"/>
        </w:rPr>
        <w:t xml:space="preserve">Строительство сооружения тепловых сетей 2 контура для подключения объекта с тепловой нагрузкой до 0,1 Гкал/ч «Жилой дом по ул. </w:t>
      </w:r>
      <w:r>
        <w:rPr>
          <w:rFonts w:ascii="Arial Narrow" w:hAnsi="Arial Narrow" w:cs="Calibri"/>
          <w:color w:val="000000"/>
          <w:sz w:val="24"/>
          <w:szCs w:val="24"/>
          <w:lang w:eastAsia="en-US"/>
        </w:rPr>
        <w:t xml:space="preserve">Топоркова позиция 28. Ввод составил – 0,01 км ТС;</w:t>
      </w:r>
      <w:r/>
    </w:p>
    <w:p>
      <w:pPr>
        <w:pStyle w:val="1091"/>
        <w:numPr>
          <w:ilvl w:val="0"/>
          <w:numId w:val="24"/>
        </w:numPr>
        <w:ind w:left="0" w:firstLine="567"/>
        <w:jc w:val="both"/>
        <w:spacing w:line="276" w:lineRule="auto"/>
        <w:tabs>
          <w:tab w:val="left" w:pos="850" w:leader="none"/>
        </w:tabs>
      </w:pPr>
      <w:r>
        <w:rPr>
          <w:rFonts w:ascii="Arial Narrow" w:hAnsi="Arial Narrow" w:cs="Calibri"/>
          <w:color w:val="000000"/>
          <w:sz w:val="24"/>
          <w:szCs w:val="24"/>
          <w:lang w:val="ru-RU" w:eastAsia="en-US"/>
        </w:rPr>
        <w:t xml:space="preserve">Строительство сооружения тепловых сетей 2 контура для подключения объекта с тепловой нагрузкой свыше 0,1 Гкал/ч и не превышающей 1,5 Гкал/ч «Многоквартирный жилой дом, расположенного по адресу: г. Петропавловск-Камчатский, ул. </w:t>
      </w:r>
      <w:r>
        <w:rPr>
          <w:rFonts w:ascii="Arial Narrow" w:hAnsi="Arial Narrow" w:cs="Calibri"/>
          <w:color w:val="000000"/>
          <w:sz w:val="24"/>
          <w:szCs w:val="24"/>
          <w:lang w:eastAsia="en-US"/>
        </w:rPr>
        <w:t xml:space="preserve">Арсеньева, участок с кадастровым номером 41:01:0010112:2655. Ввод составил –</w:t>
      </w:r>
      <w:r>
        <w:rPr>
          <w:rFonts w:ascii="Arial Narrow" w:hAnsi="Arial Narrow" w:cs="Calibri"/>
          <w:color w:val="000000"/>
          <w:sz w:val="24"/>
          <w:szCs w:val="24"/>
          <w:lang w:val="ru-RU" w:eastAsia="en-US"/>
        </w:rPr>
        <w:t xml:space="preserve"> </w:t>
      </w:r>
      <w:r>
        <w:rPr>
          <w:rFonts w:ascii="Arial Narrow" w:hAnsi="Arial Narrow" w:cs="Calibri"/>
          <w:color w:val="000000"/>
          <w:sz w:val="24"/>
          <w:szCs w:val="24"/>
          <w:lang w:eastAsia="en-US"/>
        </w:rPr>
        <w:t xml:space="preserve">0,49 км ТС;   </w:t>
      </w:r>
      <w:r/>
    </w:p>
    <w:p>
      <w:pPr>
        <w:pStyle w:val="1091"/>
        <w:numPr>
          <w:ilvl w:val="0"/>
          <w:numId w:val="24"/>
        </w:numPr>
        <w:ind w:left="0" w:firstLine="567"/>
        <w:jc w:val="both"/>
        <w:spacing w:line="276" w:lineRule="auto"/>
        <w:tabs>
          <w:tab w:val="left" w:pos="850" w:leader="none"/>
        </w:tabs>
        <w:rPr>
          <w:lang w:val="ru-RU"/>
        </w:rPr>
      </w:pPr>
      <w:r>
        <w:rPr>
          <w:rFonts w:ascii="Arial Narrow" w:hAnsi="Arial Narrow" w:cs="Calibri"/>
          <w:color w:val="000000"/>
          <w:sz w:val="24"/>
          <w:szCs w:val="24"/>
          <w:lang w:val="ru-RU" w:eastAsia="en-US"/>
        </w:rPr>
        <w:t xml:space="preserve">Строительство тепловых сетей 2-ого контура от ТК-236 до границ стены: «Многоквартирный жилой дом по ул. Рябикова д. 49А, по ул. Рябикова, д. 49Б г. Елизово. Ввод составил – 0,15 км ТС;   </w:t>
      </w:r>
      <w:r>
        <w:rPr>
          <w:lang w:val="ru-RU"/>
        </w:rPr>
      </w:r>
      <w:r>
        <w:rPr>
          <w:lang w:val="ru-RU"/>
        </w:rPr>
      </w:r>
    </w:p>
    <w:p>
      <w:pPr>
        <w:pStyle w:val="1091"/>
        <w:numPr>
          <w:ilvl w:val="0"/>
          <w:numId w:val="24"/>
        </w:numPr>
        <w:ind w:left="0" w:firstLine="567"/>
        <w:jc w:val="both"/>
        <w:spacing w:line="276" w:lineRule="auto"/>
        <w:tabs>
          <w:tab w:val="left" w:pos="850" w:leader="none"/>
        </w:tabs>
      </w:pPr>
      <w:r>
        <w:rPr>
          <w:rFonts w:ascii="Arial Narrow" w:hAnsi="Arial Narrow" w:cs="Calibri"/>
          <w:color w:val="000000"/>
          <w:sz w:val="24"/>
          <w:szCs w:val="24"/>
          <w:lang w:val="ru-RU" w:eastAsia="en-US"/>
        </w:rPr>
        <w:t xml:space="preserve">Строительство сооружения тепловых сетей 2 контура для подключения объекта с теп</w:t>
      </w:r>
      <w:r>
        <w:rPr>
          <w:rFonts w:ascii="Arial Narrow" w:hAnsi="Arial Narrow" w:cs="Calibri"/>
          <w:color w:val="000000"/>
          <w:sz w:val="24"/>
          <w:szCs w:val="24"/>
          <w:lang w:val="ru-RU" w:eastAsia="en-US"/>
        </w:rPr>
        <w:t xml:space="preserve">ловой нагрузкой свыше 0,1 Гкал/ч и не превышающей 1,5 Гкал/ч «Многоквартирный жилой дом по ул. Геофизическая в г. Елизово Камчатского края» планируемого к строительству на земельном участке с 41:05:0101001:12242 по адресу: Камчатский край, г. Елизово, ул. </w:t>
      </w:r>
      <w:r>
        <w:rPr>
          <w:rFonts w:ascii="Arial Narrow" w:hAnsi="Arial Narrow" w:cs="Calibri"/>
          <w:color w:val="000000"/>
          <w:sz w:val="24"/>
          <w:szCs w:val="24"/>
          <w:lang w:eastAsia="en-US"/>
        </w:rPr>
        <w:t xml:space="preserve">Геофизическая. Ввод составил –</w:t>
      </w:r>
      <w:r>
        <w:rPr>
          <w:rFonts w:ascii="Arial Narrow" w:hAnsi="Arial Narrow" w:cs="Calibri"/>
          <w:color w:val="000000"/>
          <w:sz w:val="24"/>
          <w:szCs w:val="24"/>
          <w:lang w:val="ru-RU" w:eastAsia="en-US"/>
        </w:rPr>
        <w:t xml:space="preserve"> </w:t>
      </w:r>
      <w:r>
        <w:rPr>
          <w:rFonts w:ascii="Arial Narrow" w:hAnsi="Arial Narrow" w:cs="Calibri"/>
          <w:color w:val="000000"/>
          <w:sz w:val="24"/>
          <w:szCs w:val="24"/>
          <w:lang w:eastAsia="en-US"/>
        </w:rPr>
        <w:t xml:space="preserve">0,07 км ТС;</w:t>
      </w:r>
      <w:r/>
    </w:p>
    <w:p>
      <w:pPr>
        <w:pStyle w:val="1091"/>
        <w:numPr>
          <w:ilvl w:val="0"/>
          <w:numId w:val="24"/>
        </w:numPr>
        <w:ind w:left="0" w:firstLine="567"/>
        <w:jc w:val="both"/>
        <w:keepNext/>
        <w:spacing w:before="120" w:after="120" w:line="276" w:lineRule="auto"/>
        <w:tabs>
          <w:tab w:val="left" w:pos="850" w:leader="none"/>
        </w:tabs>
        <w:rPr>
          <w:lang w:val="ru-RU"/>
        </w:rPr>
        <w:outlineLvl w:val="1"/>
      </w:pPr>
      <w:r>
        <w:rPr>
          <w:rFonts w:ascii="Arial Narrow" w:hAnsi="Arial Narrow" w:cs="Calibri"/>
          <w:color w:val="000000"/>
          <w:sz w:val="24"/>
          <w:szCs w:val="24"/>
          <w:lang w:val="ru-RU" w:eastAsia="en-US"/>
        </w:rPr>
        <w:t xml:space="preserve">Строительство сооружения тепловых сетей 1 контура для подключения объекта с тепловой нагрузкой 0,814441 Гкал/ч «Здание. Учебный корпус МБОУ «Средняя школа № 40 по ул. Вольского микрорайона «Северо-Восток» в г. Петропавловске-Камчатском». </w:t>
      </w:r>
      <w:r>
        <w:rPr>
          <w:rFonts w:ascii="Arial Narrow" w:hAnsi="Arial Narrow" w:cs="Calibri"/>
          <w:color w:val="000000"/>
          <w:sz w:val="24"/>
          <w:szCs w:val="24"/>
          <w:lang w:eastAsia="en-US"/>
        </w:rPr>
        <w:t xml:space="preserve">Ввод составил –</w:t>
      </w:r>
      <w:r>
        <w:rPr>
          <w:rFonts w:ascii="Arial Narrow" w:hAnsi="Arial Narrow" w:cs="Calibri"/>
          <w:color w:val="000000"/>
          <w:sz w:val="24"/>
          <w:szCs w:val="24"/>
          <w:lang w:val="ru-RU" w:eastAsia="en-US"/>
        </w:rPr>
        <w:t xml:space="preserve"> </w:t>
      </w:r>
      <w:r>
        <w:rPr>
          <w:rFonts w:ascii="Arial Narrow" w:hAnsi="Arial Narrow" w:cs="Calibri"/>
          <w:color w:val="000000"/>
          <w:sz w:val="24"/>
          <w:szCs w:val="24"/>
          <w:lang w:eastAsia="en-US"/>
        </w:rPr>
        <w:t xml:space="preserve">0,01 км ТС</w:t>
      </w:r>
      <w:r>
        <w:rPr>
          <w:lang w:val="ru-RU"/>
        </w:rPr>
      </w:r>
      <w:r>
        <w:rPr>
          <w:lang w:val="ru-RU"/>
        </w:rPr>
      </w:r>
    </w:p>
    <w:p>
      <w:pPr>
        <w:pStyle w:val="1091"/>
        <w:numPr>
          <w:ilvl w:val="0"/>
          <w:numId w:val="24"/>
        </w:numPr>
        <w:ind w:left="0" w:firstLine="567"/>
        <w:jc w:val="both"/>
        <w:keepNext/>
        <w:spacing w:before="120" w:after="120" w:line="276" w:lineRule="auto"/>
        <w:tabs>
          <w:tab w:val="left" w:pos="850" w:leader="none"/>
        </w:tabs>
        <w:rPr>
          <w:lang w:val="ru-RU"/>
        </w:rPr>
        <w:outlineLvl w:val="1"/>
      </w:pPr>
      <w:r>
        <w:rPr>
          <w:rFonts w:ascii="Arial Narrow" w:hAnsi="Arial Narrow" w:cs="Calibri"/>
          <w:sz w:val="24"/>
          <w:szCs w:val="24"/>
          <w:lang w:val="ru-RU" w:eastAsia="en-US"/>
        </w:rPr>
        <w:t xml:space="preserve">Строительство сооружения тепловых сетей 2 контура для подключения объекта с тепловой нагрузкой свыше 0,1 Гкал/ч и не прев. 1,5 Гкал «Учебный корпус МБОУ Ел. Средней школы № 1 им. Ломоносова». Ввод составил – 0,012 км ТС.</w:t>
      </w:r>
      <w:r>
        <w:rPr>
          <w:lang w:val="ru-RU"/>
        </w:rPr>
      </w:r>
      <w:r>
        <w:rPr>
          <w:lang w:val="ru-RU"/>
        </w:rPr>
      </w:r>
    </w:p>
    <w:p>
      <w:pPr>
        <w:rPr>
          <w:rFonts w:ascii="Calibri" w:hAnsi="Calibri" w:eastAsia="Arial" w:cs="Calibri"/>
          <w:b/>
          <w:color w:val="082a75"/>
          <w:sz w:val="28"/>
          <w:szCs w:val="22"/>
          <w:lang w:eastAsia="en-US"/>
        </w:rPr>
      </w:pPr>
      <w:r>
        <w:br w:type="page" w:clear="all"/>
      </w:r>
      <w:r>
        <w:rPr>
          <w:rFonts w:ascii="Calibri" w:hAnsi="Calibri" w:eastAsia="Arial" w:cs="Calibri"/>
          <w:b/>
          <w:color w:val="082a75"/>
          <w:sz w:val="28"/>
          <w:szCs w:val="22"/>
          <w:lang w:eastAsia="en-US"/>
        </w:rPr>
      </w:r>
      <w:r>
        <w:rPr>
          <w:rFonts w:ascii="Calibri" w:hAnsi="Calibri" w:eastAsia="Arial" w:cs="Calibri"/>
          <w:b/>
          <w:color w:val="082a75"/>
          <w:sz w:val="28"/>
          <w:szCs w:val="22"/>
          <w:lang w:eastAsia="en-US"/>
        </w:rPr>
      </w:r>
    </w:p>
    <w:p>
      <w:pPr>
        <w:pStyle w:val="762"/>
        <w:jc w:val="center"/>
        <w:keepLines w:val="0"/>
        <w:spacing w:before="0" w:after="0" w:line="276" w:lineRule="auto"/>
        <w:rPr>
          <w:rFonts w:ascii="Arial Narrow" w:hAnsi="Arial Narrow" w:eastAsiaTheme="majorEastAsia" w:cstheme="minorHAnsi"/>
          <w:color w:val="314e87"/>
          <w:lang w:eastAsia="en-US"/>
        </w:rPr>
      </w:pPr>
      <w:r/>
      <w:bookmarkStart w:id="118" w:name="_Toc193883495"/>
      <w:r/>
      <w:bookmarkStart w:id="119" w:name="_Toc196126995"/>
      <w:r>
        <w:rPr>
          <w:rFonts w:ascii="Arial Narrow" w:hAnsi="Arial Narrow" w:eastAsiaTheme="majorEastAsia" w:cstheme="minorHAnsi"/>
          <w:b/>
          <w:color w:val="314e87"/>
          <w:sz w:val="28"/>
          <w:szCs w:val="28"/>
          <w:lang w:eastAsia="en-US"/>
        </w:rPr>
        <w:t xml:space="preserve">Раздел 6. РАСПРЕДЕЛЕНИЕ ПРИБЫЛИ И ДИВИДЕНДНАЯ ПОЛИТИКА</w:t>
      </w:r>
      <w:bookmarkEnd w:id="118"/>
      <w:r/>
      <w:bookmarkEnd w:id="119"/>
      <w:r>
        <w:rPr>
          <w:rFonts w:ascii="Arial Narrow" w:hAnsi="Arial Narrow" w:eastAsiaTheme="majorEastAsia" w:cstheme="minorHAnsi"/>
          <w:color w:val="314e87"/>
          <w:lang w:eastAsia="en-US"/>
        </w:rPr>
      </w:r>
      <w:r>
        <w:rPr>
          <w:rFonts w:ascii="Arial Narrow" w:hAnsi="Arial Narrow" w:eastAsiaTheme="majorEastAsia" w:cstheme="minorHAnsi"/>
          <w:color w:val="314e87"/>
          <w:lang w:eastAsia="en-US"/>
        </w:rPr>
      </w:r>
    </w:p>
    <w:p>
      <w:pPr>
        <w:pStyle w:val="763"/>
        <w:jc w:val="both"/>
        <w:keepLines/>
        <w:spacing w:after="0" w:line="276" w:lineRule="auto"/>
        <w:rPr>
          <w:rFonts w:ascii="Arial Narrow" w:hAnsi="Arial Narrow" w:eastAsiaTheme="majorEastAsia" w:cstheme="minorHAnsi"/>
          <w:color w:val="314e87"/>
          <w:lang w:eastAsia="en-US" w:bidi="ru-RU"/>
        </w:rPr>
      </w:pPr>
      <w:r/>
      <w:bookmarkStart w:id="120" w:name="_Toc193883496"/>
      <w:r/>
      <w:bookmarkStart w:id="121" w:name="_Toc196126996"/>
      <w:r>
        <w:rPr>
          <w:rFonts w:ascii="Arial Narrow" w:hAnsi="Arial Narrow" w:eastAsiaTheme="majorEastAsia" w:cstheme="minorHAnsi"/>
          <w:b/>
          <w:color w:val="314e87"/>
          <w:sz w:val="24"/>
          <w:szCs w:val="24"/>
          <w:lang w:eastAsia="en-US" w:bidi="ru-RU"/>
        </w:rPr>
        <w:t xml:space="preserve">6.1. Распределение прибыли и дивидендная политика</w:t>
      </w:r>
      <w:bookmarkEnd w:id="120"/>
      <w:r/>
      <w:bookmarkEnd w:id="121"/>
      <w:r>
        <w:rPr>
          <w:rFonts w:ascii="Arial Narrow" w:hAnsi="Arial Narrow" w:eastAsiaTheme="majorEastAsia" w:cstheme="minorHAnsi"/>
          <w:color w:val="314e87"/>
          <w:lang w:eastAsia="en-US" w:bidi="ru-RU"/>
        </w:rPr>
      </w:r>
      <w:r>
        <w:rPr>
          <w:rFonts w:ascii="Arial Narrow" w:hAnsi="Arial Narrow" w:eastAsiaTheme="majorEastAsia" w:cstheme="minorHAnsi"/>
          <w:color w:val="314e87"/>
          <w:lang w:eastAsia="en-US" w:bidi="ru-RU"/>
        </w:rPr>
      </w:r>
    </w:p>
    <w:p>
      <w:pPr>
        <w:pStyle w:val="1063"/>
        <w:jc w:val="both"/>
        <w:spacing w:before="120"/>
        <w:tabs>
          <w:tab w:val="left" w:pos="566" w:leader="none"/>
          <w:tab w:val="left" w:pos="850" w:leader="none"/>
        </w:tabs>
        <w:rPr>
          <w:b/>
        </w:rPr>
      </w:pPr>
      <w:r>
        <w:rPr>
          <w:rFonts w:ascii="Arial Narrow" w:hAnsi="Arial Narrow" w:cs="Calibri"/>
          <w:b/>
          <w:color w:val="314e87"/>
        </w:rPr>
        <w:t xml:space="preserve">Принципы дивидендной политики</w:t>
      </w:r>
      <w:r>
        <w:rPr>
          <w:b/>
        </w:rPr>
      </w:r>
      <w:r>
        <w:rPr>
          <w:b/>
        </w:rPr>
      </w:r>
    </w:p>
    <w:p>
      <w:pPr>
        <w:pStyle w:val="1063"/>
        <w:ind w:left="142" w:firstLine="567"/>
        <w:jc w:val="both"/>
        <w:rPr>
          <w:rFonts w:ascii="Arial Narrow" w:hAnsi="Arial Narrow" w:cs="Calibri"/>
        </w:rPr>
      </w:pPr>
      <w:r>
        <w:rPr>
          <w:rFonts w:ascii="Arial Narrow" w:hAnsi="Arial Narrow" w:cs="Calibri"/>
        </w:rPr>
      </w:r>
      <w:r>
        <w:rPr>
          <w:rFonts w:ascii="Arial Narrow" w:hAnsi="Arial Narrow" w:cs="Calibri"/>
        </w:rPr>
      </w:r>
      <w:r>
        <w:rPr>
          <w:rFonts w:ascii="Arial Narrow" w:hAnsi="Arial Narrow" w:cs="Calibri"/>
        </w:rPr>
      </w:r>
    </w:p>
    <w:p>
      <w:pPr>
        <w:pStyle w:val="1063"/>
        <w:ind w:firstLine="567"/>
        <w:jc w:val="both"/>
      </w:pPr>
      <w:r>
        <w:rPr>
          <w:rFonts w:ascii="Arial Narrow" w:hAnsi="Arial Narrow" w:cs="Calibri"/>
        </w:rPr>
        <w:t xml:space="preserve">В ПАО «Камчатскэнерго» не утверждалась дивидендная политика.</w:t>
      </w:r>
      <w:r/>
    </w:p>
    <w:p>
      <w:pPr>
        <w:pStyle w:val="1063"/>
        <w:jc w:val="both"/>
        <w:spacing w:before="120"/>
        <w:tabs>
          <w:tab w:val="left" w:pos="566" w:leader="none"/>
          <w:tab w:val="left" w:pos="850" w:leader="none"/>
        </w:tabs>
        <w:rPr>
          <w:rFonts w:ascii="Arial Narrow" w:hAnsi="Arial Narrow" w:cs="Calibri"/>
        </w:rPr>
      </w:pPr>
      <w:r>
        <w:rPr>
          <w:rFonts w:ascii="Arial Narrow" w:hAnsi="Arial Narrow" w:cs="Calibri"/>
        </w:rPr>
        <w:t xml:space="preserve">Размер выплаченных ПАО «Камчатскэнерго» дивидендов, тыс. рублей (общая сумма в год):</w:t>
      </w:r>
      <w:r>
        <w:rPr>
          <w:rFonts w:ascii="Arial Narrow" w:hAnsi="Arial Narrow" w:cs="Calibri"/>
        </w:rPr>
      </w:r>
      <w:r>
        <w:rPr>
          <w:rFonts w:ascii="Arial Narrow" w:hAnsi="Arial Narrow" w:cs="Calibri"/>
        </w:rPr>
      </w:r>
    </w:p>
    <w:p>
      <w:pPr>
        <w:pStyle w:val="1063"/>
        <w:jc w:val="right"/>
        <w:rPr>
          <w:lang w:val="en-US"/>
        </w:rPr>
      </w:pPr>
      <w:r>
        <w:rPr>
          <w:rFonts w:ascii="Arial Narrow" w:hAnsi="Arial Narrow" w:eastAsia="Calibri" w:cs="Calibri"/>
          <w:i/>
          <w:lang w:eastAsia="ja-JP"/>
        </w:rPr>
        <w:t xml:space="preserve">Таблица № 28</w:t>
      </w:r>
      <w:r>
        <w:rPr>
          <w:lang w:val="en-US"/>
        </w:rPr>
      </w:r>
      <w:r>
        <w:rPr>
          <w:lang w:val="en-US"/>
        </w:rPr>
      </w:r>
    </w:p>
    <w:tbl>
      <w:tblPr>
        <w:tblW w:w="10060" w:type="dxa"/>
        <w:tblInd w:w="113" w:type="dxa"/>
        <w:tblLayout w:type="fixed"/>
        <w:tblLook w:val="04A0" w:firstRow="1" w:lastRow="0" w:firstColumn="1" w:lastColumn="0" w:noHBand="0" w:noVBand="1"/>
      </w:tblPr>
      <w:tblGrid>
        <w:gridCol w:w="3685"/>
        <w:gridCol w:w="2193"/>
        <w:gridCol w:w="2237"/>
        <w:gridCol w:w="1945"/>
      </w:tblGrid>
      <w:tr>
        <w:trPr>
          <w:trHeight w:val="166"/>
        </w:trPr>
        <w:tc>
          <w:tcPr>
            <w:tcBorders>
              <w:top w:val="single" w:color="000000" w:sz="4" w:space="0"/>
              <w:left w:val="single" w:color="000000" w:sz="4" w:space="0"/>
              <w:bottom w:val="single" w:color="000000" w:sz="4" w:space="0"/>
              <w:right w:val="single" w:color="000000" w:sz="4" w:space="0"/>
            </w:tcBorders>
            <w:tcW w:w="3684" w:type="dxa"/>
            <w:textDirection w:val="lrTb"/>
            <w:noWrap w:val="false"/>
          </w:tcPr>
          <w:p>
            <w:pPr>
              <w:pStyle w:val="1063"/>
              <w:jc w:val="center"/>
              <w:widowControl w:val="off"/>
            </w:pPr>
            <w:r>
              <w:rPr>
                <w:rFonts w:ascii="Arial Narrow" w:hAnsi="Arial Narrow" w:cs="Calibri"/>
                <w:sz w:val="20"/>
                <w:szCs w:val="20"/>
              </w:rPr>
              <w:t xml:space="preserve">Дивиденды</w:t>
            </w:r>
            <w:r/>
          </w:p>
        </w:tc>
        <w:tc>
          <w:tcPr>
            <w:tcBorders>
              <w:top w:val="single" w:color="000000" w:sz="4" w:space="0"/>
              <w:left w:val="single" w:color="000000" w:sz="4" w:space="0"/>
              <w:bottom w:val="single" w:color="000000" w:sz="4" w:space="0"/>
              <w:right w:val="single" w:color="000000" w:sz="4" w:space="0"/>
            </w:tcBorders>
            <w:tcW w:w="2193" w:type="dxa"/>
            <w:textDirection w:val="lrTb"/>
            <w:noWrap w:val="false"/>
          </w:tcPr>
          <w:p>
            <w:pPr>
              <w:pStyle w:val="1063"/>
              <w:jc w:val="center"/>
              <w:widowControl w:val="off"/>
            </w:pPr>
            <w:r>
              <w:rPr>
                <w:rFonts w:ascii="Arial Narrow" w:hAnsi="Arial Narrow" w:cs="Calibri"/>
                <w:sz w:val="20"/>
                <w:szCs w:val="20"/>
              </w:rPr>
              <w:t xml:space="preserve">2022 г.</w:t>
            </w:r>
            <w:r/>
          </w:p>
        </w:tc>
        <w:tc>
          <w:tcPr>
            <w:tcBorders>
              <w:top w:val="single" w:color="000000" w:sz="4" w:space="0"/>
              <w:left w:val="single" w:color="000000" w:sz="4" w:space="0"/>
              <w:bottom w:val="single" w:color="000000" w:sz="4" w:space="0"/>
              <w:right w:val="single" w:color="000000" w:sz="4" w:space="0"/>
            </w:tcBorders>
            <w:tcW w:w="2237" w:type="dxa"/>
            <w:textDirection w:val="lrTb"/>
            <w:noWrap w:val="false"/>
          </w:tcPr>
          <w:p>
            <w:pPr>
              <w:pStyle w:val="1063"/>
              <w:jc w:val="center"/>
              <w:widowControl w:val="off"/>
            </w:pPr>
            <w:r>
              <w:rPr>
                <w:rFonts w:ascii="Arial Narrow" w:hAnsi="Arial Narrow" w:cs="Calibri"/>
                <w:sz w:val="20"/>
                <w:szCs w:val="20"/>
              </w:rPr>
              <w:t xml:space="preserve">2023 г.</w:t>
            </w:r>
            <w:r/>
          </w:p>
        </w:tc>
        <w:tc>
          <w:tcPr>
            <w:tcBorders>
              <w:top w:val="single" w:color="000000" w:sz="4" w:space="0"/>
              <w:left w:val="single" w:color="000000" w:sz="4" w:space="0"/>
              <w:bottom w:val="single" w:color="000000" w:sz="4" w:space="0"/>
              <w:right w:val="single" w:color="000000" w:sz="4" w:space="0"/>
            </w:tcBorders>
            <w:tcW w:w="1945" w:type="dxa"/>
            <w:textDirection w:val="lrTb"/>
            <w:noWrap w:val="false"/>
          </w:tcPr>
          <w:p>
            <w:pPr>
              <w:pStyle w:val="1063"/>
              <w:jc w:val="center"/>
              <w:widowControl w:val="off"/>
            </w:pPr>
            <w:r>
              <w:rPr>
                <w:rFonts w:ascii="Arial Narrow" w:hAnsi="Arial Narrow" w:cs="Calibri"/>
                <w:sz w:val="20"/>
                <w:szCs w:val="20"/>
              </w:rPr>
              <w:t xml:space="preserve">2024 г.</w:t>
            </w:r>
            <w:r/>
          </w:p>
        </w:tc>
      </w:tr>
      <w:tr>
        <w:trPr>
          <w:trHeight w:val="45"/>
        </w:trPr>
        <w:tc>
          <w:tcPr>
            <w:tcBorders>
              <w:top w:val="single" w:color="000000" w:sz="4" w:space="0"/>
              <w:left w:val="single" w:color="000000" w:sz="4" w:space="0"/>
              <w:bottom w:val="single" w:color="000000" w:sz="4" w:space="0"/>
              <w:right w:val="single" w:color="000000" w:sz="4" w:space="0"/>
            </w:tcBorders>
            <w:tcW w:w="3684" w:type="dxa"/>
            <w:textDirection w:val="lrTb"/>
            <w:noWrap w:val="false"/>
          </w:tcPr>
          <w:p>
            <w:pPr>
              <w:pStyle w:val="1063"/>
              <w:widowControl w:val="off"/>
            </w:pPr>
            <w:r>
              <w:rPr>
                <w:rFonts w:ascii="Arial Narrow" w:hAnsi="Arial Narrow" w:cs="Calibri"/>
                <w:sz w:val="20"/>
                <w:szCs w:val="20"/>
              </w:rPr>
              <w:t xml:space="preserve">Всего, в том числе:</w:t>
            </w:r>
            <w:r/>
          </w:p>
        </w:tc>
        <w:tc>
          <w:tcPr>
            <w:tcBorders>
              <w:top w:val="single" w:color="000000" w:sz="4" w:space="0"/>
              <w:left w:val="single" w:color="000000" w:sz="4" w:space="0"/>
              <w:bottom w:val="single" w:color="000000" w:sz="4" w:space="0"/>
              <w:right w:val="single" w:color="000000" w:sz="4" w:space="0"/>
            </w:tcBorders>
            <w:tcW w:w="2193" w:type="dxa"/>
            <w:vAlign w:val="center"/>
            <w:textDirection w:val="lrTb"/>
            <w:noWrap w:val="false"/>
          </w:tcPr>
          <w:p>
            <w:pPr>
              <w:pStyle w:val="1063"/>
              <w:jc w:val="center"/>
              <w:widowControl w:val="off"/>
            </w:pPr>
            <w:r>
              <w:rPr>
                <w:rFonts w:ascii="Arial Narrow" w:hAnsi="Arial Narrow" w:cs="Calibri"/>
                <w:sz w:val="20"/>
                <w:szCs w:val="20"/>
              </w:rPr>
              <w:t xml:space="preserve">0</w:t>
            </w:r>
            <w:r/>
          </w:p>
        </w:tc>
        <w:tc>
          <w:tcPr>
            <w:tcBorders>
              <w:top w:val="single" w:color="000000" w:sz="4" w:space="0"/>
              <w:left w:val="single" w:color="000000" w:sz="4" w:space="0"/>
              <w:bottom w:val="single" w:color="000000" w:sz="4" w:space="0"/>
              <w:right w:val="single" w:color="000000" w:sz="4" w:space="0"/>
            </w:tcBorders>
            <w:tcW w:w="2237" w:type="dxa"/>
            <w:vAlign w:val="center"/>
            <w:textDirection w:val="lrTb"/>
            <w:noWrap w:val="false"/>
          </w:tcPr>
          <w:p>
            <w:pPr>
              <w:pStyle w:val="1063"/>
              <w:jc w:val="center"/>
              <w:widowControl w:val="off"/>
            </w:pPr>
            <w:r>
              <w:rPr>
                <w:rFonts w:ascii="Arial Narrow" w:hAnsi="Arial Narrow" w:cs="Calibri"/>
                <w:sz w:val="20"/>
                <w:szCs w:val="20"/>
              </w:rPr>
              <w:t xml:space="preserve">0</w:t>
            </w:r>
            <w:r/>
          </w:p>
        </w:tc>
        <w:tc>
          <w:tcPr>
            <w:tcBorders>
              <w:top w:val="single" w:color="000000" w:sz="4" w:space="0"/>
              <w:left w:val="single" w:color="000000" w:sz="4" w:space="0"/>
              <w:bottom w:val="single" w:color="000000" w:sz="4" w:space="0"/>
              <w:right w:val="single" w:color="000000" w:sz="4" w:space="0"/>
            </w:tcBorders>
            <w:tcW w:w="1945" w:type="dxa"/>
            <w:vAlign w:val="center"/>
            <w:textDirection w:val="lrTb"/>
            <w:noWrap w:val="false"/>
          </w:tcPr>
          <w:p>
            <w:pPr>
              <w:pStyle w:val="1063"/>
              <w:jc w:val="center"/>
              <w:widowControl w:val="off"/>
            </w:pPr>
            <w:r>
              <w:rPr>
                <w:rFonts w:ascii="Arial Narrow" w:hAnsi="Arial Narrow" w:cs="Calibri"/>
                <w:sz w:val="20"/>
                <w:szCs w:val="20"/>
              </w:rPr>
              <w:t xml:space="preserve">0</w:t>
            </w:r>
            <w:r/>
          </w:p>
        </w:tc>
      </w:tr>
      <w:tr>
        <w:trPr>
          <w:trHeight w:val="45"/>
        </w:trPr>
        <w:tc>
          <w:tcPr>
            <w:tcBorders>
              <w:top w:val="single" w:color="000000" w:sz="4" w:space="0"/>
              <w:left w:val="single" w:color="000000" w:sz="4" w:space="0"/>
              <w:bottom w:val="single" w:color="000000" w:sz="4" w:space="0"/>
              <w:right w:val="single" w:color="000000" w:sz="4" w:space="0"/>
            </w:tcBorders>
            <w:tcW w:w="3684" w:type="dxa"/>
            <w:textDirection w:val="lrTb"/>
            <w:noWrap w:val="false"/>
          </w:tcPr>
          <w:p>
            <w:pPr>
              <w:pStyle w:val="1063"/>
              <w:widowControl w:val="off"/>
            </w:pPr>
            <w:r>
              <w:rPr>
                <w:rFonts w:ascii="Arial Narrow" w:hAnsi="Arial Narrow" w:cs="Calibri"/>
                <w:sz w:val="20"/>
                <w:szCs w:val="20"/>
              </w:rPr>
              <w:t xml:space="preserve">на обыкновенные акции</w:t>
            </w:r>
            <w:r/>
          </w:p>
        </w:tc>
        <w:tc>
          <w:tcPr>
            <w:tcBorders>
              <w:top w:val="single" w:color="000000" w:sz="4" w:space="0"/>
              <w:left w:val="single" w:color="000000" w:sz="4" w:space="0"/>
              <w:bottom w:val="single" w:color="000000" w:sz="4" w:space="0"/>
              <w:right w:val="single" w:color="000000" w:sz="4" w:space="0"/>
            </w:tcBorders>
            <w:tcW w:w="2193" w:type="dxa"/>
            <w:vAlign w:val="center"/>
            <w:textDirection w:val="lrTb"/>
            <w:noWrap w:val="false"/>
          </w:tcPr>
          <w:p>
            <w:pPr>
              <w:pStyle w:val="1063"/>
              <w:jc w:val="center"/>
              <w:widowControl w:val="off"/>
            </w:pPr>
            <w:r>
              <w:rPr>
                <w:rFonts w:ascii="Arial Narrow" w:hAnsi="Arial Narrow" w:cs="Calibri"/>
                <w:sz w:val="20"/>
                <w:szCs w:val="20"/>
              </w:rPr>
              <w:t xml:space="preserve">0</w:t>
            </w:r>
            <w:r/>
          </w:p>
        </w:tc>
        <w:tc>
          <w:tcPr>
            <w:tcBorders>
              <w:top w:val="single" w:color="000000" w:sz="4" w:space="0"/>
              <w:left w:val="single" w:color="000000" w:sz="4" w:space="0"/>
              <w:bottom w:val="single" w:color="000000" w:sz="4" w:space="0"/>
              <w:right w:val="single" w:color="000000" w:sz="4" w:space="0"/>
            </w:tcBorders>
            <w:tcW w:w="2237" w:type="dxa"/>
            <w:vAlign w:val="center"/>
            <w:textDirection w:val="lrTb"/>
            <w:noWrap w:val="false"/>
          </w:tcPr>
          <w:p>
            <w:pPr>
              <w:pStyle w:val="1063"/>
              <w:jc w:val="center"/>
              <w:widowControl w:val="off"/>
            </w:pPr>
            <w:r>
              <w:rPr>
                <w:rFonts w:ascii="Arial Narrow" w:hAnsi="Arial Narrow" w:cs="Calibri"/>
                <w:sz w:val="20"/>
                <w:szCs w:val="20"/>
              </w:rPr>
              <w:t xml:space="preserve">0</w:t>
            </w:r>
            <w:r/>
          </w:p>
        </w:tc>
        <w:tc>
          <w:tcPr>
            <w:tcBorders>
              <w:top w:val="single" w:color="000000" w:sz="4" w:space="0"/>
              <w:left w:val="single" w:color="000000" w:sz="4" w:space="0"/>
              <w:bottom w:val="single" w:color="000000" w:sz="4" w:space="0"/>
              <w:right w:val="single" w:color="000000" w:sz="4" w:space="0"/>
            </w:tcBorders>
            <w:tcW w:w="1945" w:type="dxa"/>
            <w:vAlign w:val="center"/>
            <w:textDirection w:val="lrTb"/>
            <w:noWrap w:val="false"/>
          </w:tcPr>
          <w:p>
            <w:pPr>
              <w:pStyle w:val="1063"/>
              <w:jc w:val="center"/>
              <w:widowControl w:val="off"/>
            </w:pPr>
            <w:r>
              <w:rPr>
                <w:rFonts w:ascii="Arial Narrow" w:hAnsi="Arial Narrow" w:cs="Calibri"/>
                <w:sz w:val="20"/>
                <w:szCs w:val="20"/>
              </w:rPr>
              <w:t xml:space="preserve">0</w:t>
            </w:r>
            <w:r/>
          </w:p>
        </w:tc>
      </w:tr>
      <w:tr>
        <w:trPr>
          <w:trHeight w:val="45"/>
        </w:trPr>
        <w:tc>
          <w:tcPr>
            <w:tcBorders>
              <w:top w:val="single" w:color="000000" w:sz="4" w:space="0"/>
              <w:left w:val="single" w:color="000000" w:sz="4" w:space="0"/>
              <w:bottom w:val="single" w:color="000000" w:sz="4" w:space="0"/>
              <w:right w:val="single" w:color="000000" w:sz="4" w:space="0"/>
            </w:tcBorders>
            <w:tcW w:w="3684" w:type="dxa"/>
            <w:textDirection w:val="lrTb"/>
            <w:noWrap w:val="false"/>
          </w:tcPr>
          <w:p>
            <w:pPr>
              <w:pStyle w:val="1063"/>
              <w:widowControl w:val="off"/>
            </w:pPr>
            <w:r>
              <w:rPr>
                <w:rFonts w:ascii="Arial Narrow" w:hAnsi="Arial Narrow" w:cs="Calibri"/>
                <w:sz w:val="20"/>
                <w:szCs w:val="20"/>
              </w:rPr>
              <w:t xml:space="preserve">на привилегированные акции</w:t>
            </w:r>
            <w:r/>
          </w:p>
        </w:tc>
        <w:tc>
          <w:tcPr>
            <w:tcBorders>
              <w:top w:val="single" w:color="000000" w:sz="4" w:space="0"/>
              <w:left w:val="single" w:color="000000" w:sz="4" w:space="0"/>
              <w:bottom w:val="single" w:color="000000" w:sz="4" w:space="0"/>
              <w:right w:val="single" w:color="000000" w:sz="4" w:space="0"/>
            </w:tcBorders>
            <w:tcW w:w="2193" w:type="dxa"/>
            <w:vAlign w:val="center"/>
            <w:textDirection w:val="lrTb"/>
            <w:noWrap w:val="false"/>
          </w:tcPr>
          <w:p>
            <w:pPr>
              <w:pStyle w:val="1063"/>
              <w:jc w:val="center"/>
              <w:widowControl w:val="off"/>
            </w:pPr>
            <w:r>
              <w:rPr>
                <w:rFonts w:ascii="Arial Narrow" w:hAnsi="Arial Narrow" w:cs="Calibri"/>
                <w:sz w:val="20"/>
                <w:szCs w:val="20"/>
              </w:rPr>
              <w:t xml:space="preserve">0</w:t>
            </w:r>
            <w:r/>
          </w:p>
        </w:tc>
        <w:tc>
          <w:tcPr>
            <w:tcBorders>
              <w:top w:val="single" w:color="000000" w:sz="4" w:space="0"/>
              <w:left w:val="single" w:color="000000" w:sz="4" w:space="0"/>
              <w:bottom w:val="single" w:color="000000" w:sz="4" w:space="0"/>
              <w:right w:val="single" w:color="000000" w:sz="4" w:space="0"/>
            </w:tcBorders>
            <w:tcW w:w="2237" w:type="dxa"/>
            <w:vAlign w:val="center"/>
            <w:textDirection w:val="lrTb"/>
            <w:noWrap w:val="false"/>
          </w:tcPr>
          <w:p>
            <w:pPr>
              <w:pStyle w:val="1063"/>
              <w:jc w:val="center"/>
              <w:widowControl w:val="off"/>
            </w:pPr>
            <w:r>
              <w:rPr>
                <w:rFonts w:ascii="Arial Narrow" w:hAnsi="Arial Narrow" w:cs="Calibri"/>
                <w:sz w:val="20"/>
                <w:szCs w:val="20"/>
              </w:rPr>
              <w:t xml:space="preserve">0</w:t>
            </w:r>
            <w:r/>
          </w:p>
        </w:tc>
        <w:tc>
          <w:tcPr>
            <w:tcBorders>
              <w:top w:val="single" w:color="000000" w:sz="4" w:space="0"/>
              <w:left w:val="single" w:color="000000" w:sz="4" w:space="0"/>
              <w:bottom w:val="single" w:color="000000" w:sz="4" w:space="0"/>
              <w:right w:val="single" w:color="000000" w:sz="4" w:space="0"/>
            </w:tcBorders>
            <w:tcW w:w="1945" w:type="dxa"/>
            <w:vAlign w:val="center"/>
            <w:textDirection w:val="lrTb"/>
            <w:noWrap w:val="false"/>
          </w:tcPr>
          <w:p>
            <w:pPr>
              <w:pStyle w:val="1063"/>
              <w:jc w:val="center"/>
              <w:widowControl w:val="off"/>
            </w:pPr>
            <w:r>
              <w:rPr>
                <w:rFonts w:ascii="Arial Narrow" w:hAnsi="Arial Narrow" w:cs="Calibri"/>
                <w:sz w:val="20"/>
                <w:szCs w:val="20"/>
              </w:rPr>
              <w:t xml:space="preserve">0</w:t>
            </w:r>
            <w:r/>
          </w:p>
        </w:tc>
      </w:tr>
    </w:tbl>
    <w:p>
      <w:pPr>
        <w:pStyle w:val="1063"/>
        <w:jc w:val="both"/>
        <w:tabs>
          <w:tab w:val="left" w:pos="566" w:leader="none"/>
          <w:tab w:val="left" w:pos="850" w:leader="none"/>
        </w:tabs>
        <w:rPr>
          <w:rFonts w:ascii="Arial Narrow" w:hAnsi="Arial Narrow" w:cs="Calibri"/>
          <w:color w:val="314e87"/>
        </w:rPr>
      </w:pPr>
      <w:r>
        <w:rPr>
          <w:rFonts w:ascii="Arial Narrow" w:hAnsi="Arial Narrow" w:cs="Calibri"/>
          <w:color w:val="314e87"/>
        </w:rPr>
      </w:r>
      <w:r>
        <w:rPr>
          <w:rFonts w:ascii="Arial Narrow" w:hAnsi="Arial Narrow" w:cs="Calibri"/>
          <w:color w:val="314e87"/>
        </w:rPr>
      </w:r>
      <w:r>
        <w:rPr>
          <w:rFonts w:ascii="Arial Narrow" w:hAnsi="Arial Narrow" w:cs="Calibri"/>
          <w:color w:val="314e87"/>
        </w:rPr>
      </w:r>
    </w:p>
    <w:p>
      <w:pPr>
        <w:pStyle w:val="1063"/>
        <w:jc w:val="both"/>
        <w:tabs>
          <w:tab w:val="left" w:pos="566" w:leader="none"/>
          <w:tab w:val="left" w:pos="850" w:leader="none"/>
        </w:tabs>
        <w:rPr>
          <w:rFonts w:ascii="Arial Narrow" w:hAnsi="Arial Narrow" w:cs="Calibri"/>
          <w:color w:val="314e87"/>
          <w:sz w:val="16"/>
          <w:szCs w:val="16"/>
          <w:shd w:val="clear" w:color="auto" w:fill="ffff00"/>
        </w:rPr>
      </w:pPr>
      <w:r>
        <w:rPr>
          <w:rFonts w:ascii="Arial Narrow" w:hAnsi="Arial Narrow" w:cs="Calibri"/>
          <w:color w:val="314e87"/>
          <w:sz w:val="16"/>
          <w:szCs w:val="16"/>
          <w:shd w:val="clear" w:color="auto" w:fill="ffff00"/>
        </w:rPr>
      </w:r>
      <w:r>
        <w:rPr>
          <w:rFonts w:ascii="Arial Narrow" w:hAnsi="Arial Narrow" w:cs="Calibri"/>
          <w:color w:val="314e87"/>
          <w:sz w:val="16"/>
          <w:szCs w:val="16"/>
          <w:shd w:val="clear" w:color="auto" w:fill="ffff00"/>
        </w:rPr>
      </w:r>
      <w:r>
        <w:rPr>
          <w:rFonts w:ascii="Arial Narrow" w:hAnsi="Arial Narrow" w:cs="Calibri"/>
          <w:color w:val="314e87"/>
          <w:sz w:val="16"/>
          <w:szCs w:val="16"/>
          <w:shd w:val="clear" w:color="auto" w:fill="ffff00"/>
        </w:rPr>
      </w:r>
    </w:p>
    <w:p>
      <w:pPr>
        <w:rPr>
          <w:rFonts w:ascii="Arial Narrow" w:hAnsi="Arial Narrow" w:eastAsia="Arial" w:cs="Calibri"/>
          <w:color w:val="0070c0"/>
          <w:lang w:eastAsia="en-US"/>
        </w:rPr>
      </w:pPr>
      <w:r>
        <w:br w:type="page" w:clear="all"/>
      </w:r>
      <w:r>
        <w:rPr>
          <w:rFonts w:ascii="Arial Narrow" w:hAnsi="Arial Narrow" w:eastAsia="Arial" w:cs="Calibri"/>
          <w:color w:val="0070c0"/>
          <w:lang w:eastAsia="en-US"/>
        </w:rPr>
      </w:r>
      <w:r>
        <w:rPr>
          <w:rFonts w:ascii="Arial Narrow" w:hAnsi="Arial Narrow" w:eastAsia="Arial" w:cs="Calibri"/>
          <w:color w:val="0070c0"/>
          <w:lang w:eastAsia="en-US"/>
        </w:rPr>
      </w:r>
    </w:p>
    <w:p>
      <w:pPr>
        <w:pStyle w:val="762"/>
        <w:jc w:val="center"/>
        <w:keepLines w:val="0"/>
        <w:spacing w:before="0" w:after="0" w:line="276" w:lineRule="auto"/>
        <w:rPr>
          <w:rFonts w:ascii="Arial Narrow" w:hAnsi="Arial Narrow" w:eastAsiaTheme="majorEastAsia" w:cstheme="minorHAnsi"/>
          <w:color w:val="314e87"/>
          <w:lang w:eastAsia="en-US"/>
        </w:rPr>
      </w:pPr>
      <w:r/>
      <w:bookmarkStart w:id="122" w:name="_Toc193883497"/>
      <w:r/>
      <w:bookmarkStart w:id="123" w:name="_Toc196126997"/>
      <w:r>
        <w:rPr>
          <w:rFonts w:ascii="Arial Narrow" w:hAnsi="Arial Narrow" w:eastAsiaTheme="majorEastAsia" w:cstheme="minorHAnsi"/>
          <w:b/>
          <w:color w:val="314e87"/>
          <w:sz w:val="28"/>
          <w:szCs w:val="28"/>
          <w:lang w:eastAsia="en-US"/>
        </w:rPr>
        <w:t xml:space="preserve">Раздел 7. ИННОВАЦИИ</w:t>
      </w:r>
      <w:bookmarkEnd w:id="122"/>
      <w:r/>
      <w:bookmarkEnd w:id="123"/>
      <w:r>
        <w:rPr>
          <w:rFonts w:ascii="Arial Narrow" w:hAnsi="Arial Narrow" w:eastAsiaTheme="majorEastAsia" w:cstheme="minorHAnsi"/>
          <w:color w:val="314e87"/>
          <w:lang w:eastAsia="en-US"/>
        </w:rPr>
      </w:r>
      <w:r>
        <w:rPr>
          <w:rFonts w:ascii="Arial Narrow" w:hAnsi="Arial Narrow" w:eastAsiaTheme="majorEastAsia" w:cstheme="minorHAnsi"/>
          <w:color w:val="314e87"/>
          <w:lang w:eastAsia="en-US"/>
        </w:rPr>
      </w:r>
    </w:p>
    <w:p>
      <w:pPr>
        <w:pStyle w:val="763"/>
        <w:jc w:val="both"/>
        <w:keepLines/>
        <w:spacing w:after="0" w:line="276" w:lineRule="auto"/>
        <w:rPr>
          <w:rFonts w:ascii="Arial Narrow" w:hAnsi="Arial Narrow" w:eastAsiaTheme="majorEastAsia" w:cstheme="minorHAnsi"/>
          <w:color w:val="314e87"/>
          <w:lang w:eastAsia="en-US" w:bidi="ru-RU"/>
        </w:rPr>
      </w:pPr>
      <w:r/>
      <w:bookmarkStart w:id="124" w:name="_Toc193883498"/>
      <w:r/>
      <w:bookmarkStart w:id="125" w:name="_Toc196126998"/>
      <w:r>
        <w:rPr>
          <w:rFonts w:ascii="Arial Narrow" w:hAnsi="Arial Narrow" w:eastAsiaTheme="majorEastAsia" w:cstheme="minorHAnsi"/>
          <w:b/>
          <w:color w:val="314e87"/>
          <w:sz w:val="24"/>
          <w:szCs w:val="24"/>
          <w:lang w:eastAsia="en-US" w:bidi="ru-RU"/>
        </w:rPr>
        <w:t xml:space="preserve">7.1.</w:t>
      </w:r>
      <w:r>
        <w:rPr>
          <w:rFonts w:ascii="Arial Narrow" w:hAnsi="Arial Narrow" w:eastAsiaTheme="majorEastAsia" w:cstheme="minorHAnsi"/>
          <w:b/>
          <w:color w:val="314e87"/>
          <w:sz w:val="24"/>
          <w:szCs w:val="24"/>
          <w:lang w:eastAsia="en-US" w:bidi="ru-RU"/>
        </w:rPr>
        <w:tab/>
        <w:t xml:space="preserve">Инновации</w:t>
      </w:r>
      <w:bookmarkEnd w:id="124"/>
      <w:r/>
      <w:bookmarkEnd w:id="125"/>
      <w:r>
        <w:rPr>
          <w:rFonts w:ascii="Arial Narrow" w:hAnsi="Arial Narrow" w:eastAsiaTheme="majorEastAsia" w:cstheme="minorHAnsi"/>
          <w:color w:val="314e87"/>
          <w:lang w:eastAsia="en-US" w:bidi="ru-RU"/>
        </w:rPr>
      </w:r>
      <w:r>
        <w:rPr>
          <w:rFonts w:ascii="Arial Narrow" w:hAnsi="Arial Narrow" w:eastAsiaTheme="majorEastAsia" w:cstheme="minorHAnsi"/>
          <w:color w:val="314e87"/>
          <w:lang w:eastAsia="en-US" w:bidi="ru-RU"/>
        </w:rPr>
      </w:r>
    </w:p>
    <w:p>
      <w:pPr>
        <w:pStyle w:val="1063"/>
        <w:ind w:firstLine="567"/>
        <w:jc w:val="both"/>
      </w:pPr>
      <w:r>
        <w:rPr>
          <w:rFonts w:ascii="Arial Narrow" w:hAnsi="Arial Narrow" w:cs="Calibri"/>
        </w:rPr>
        <w:t xml:space="preserve">ПАО «Камчатскэнерго» участвует в реализации Программы инновационного развития Группы РусГидро на 2020-2024 гг. с перспективой до 2029 года, утвержденной Советом директоров ПАО «РусГидро» 20.08.2020 (протокол от 24.08.2020 № 312).</w:t>
      </w:r>
      <w:r/>
    </w:p>
    <w:p>
      <w:pPr>
        <w:pStyle w:val="1063"/>
        <w:ind w:firstLine="567"/>
        <w:jc w:val="both"/>
        <w:rPr>
          <w:rFonts w:ascii="Arial Narrow" w:hAnsi="Arial Narrow" w:cs="Calibri"/>
          <w:sz w:val="8"/>
          <w:szCs w:val="8"/>
        </w:rPr>
      </w:pPr>
      <w:r>
        <w:rPr>
          <w:rFonts w:ascii="Arial Narrow" w:hAnsi="Arial Narrow" w:cs="Calibri"/>
          <w:sz w:val="8"/>
          <w:szCs w:val="8"/>
        </w:rPr>
      </w:r>
      <w:r>
        <w:rPr>
          <w:rFonts w:ascii="Arial Narrow" w:hAnsi="Arial Narrow" w:cs="Calibri"/>
          <w:sz w:val="8"/>
          <w:szCs w:val="8"/>
        </w:rPr>
      </w:r>
      <w:r>
        <w:rPr>
          <w:rFonts w:ascii="Arial Narrow" w:hAnsi="Arial Narrow" w:cs="Calibri"/>
          <w:sz w:val="8"/>
          <w:szCs w:val="8"/>
        </w:rPr>
      </w:r>
    </w:p>
    <w:p>
      <w:pPr>
        <w:pStyle w:val="1063"/>
        <w:jc w:val="both"/>
        <w:spacing w:after="120"/>
        <w:tabs>
          <w:tab w:val="left" w:pos="566" w:leader="none"/>
          <w:tab w:val="left" w:pos="850" w:leader="none"/>
        </w:tabs>
        <w:rPr>
          <w:b/>
        </w:rPr>
      </w:pPr>
      <w:r>
        <w:rPr>
          <w:rFonts w:ascii="Arial Narrow" w:hAnsi="Arial Narrow" w:cs="Calibri"/>
          <w:b/>
          <w:color w:val="314e87"/>
        </w:rPr>
        <w:t xml:space="preserve">Основные направления инновационного развития Общества</w:t>
      </w:r>
      <w:r>
        <w:rPr>
          <w:b/>
        </w:rPr>
      </w:r>
      <w:r>
        <w:rPr>
          <w:b/>
        </w:rPr>
      </w:r>
    </w:p>
    <w:p>
      <w:pPr>
        <w:pStyle w:val="1063"/>
        <w:ind w:firstLine="567"/>
        <w:jc w:val="both"/>
      </w:pPr>
      <w:r>
        <w:rPr>
          <w:rFonts w:ascii="Arial Narrow" w:hAnsi="Arial Narrow" w:cs="Calibri"/>
        </w:rPr>
        <w:t xml:space="preserve">Основными направлениями инновационного развития ПАО «Камчатскэнерго» (далее – Общество) в 2024 году являлись:</w:t>
      </w:r>
      <w:r/>
    </w:p>
    <w:p>
      <w:pPr>
        <w:pStyle w:val="1091"/>
        <w:numPr>
          <w:ilvl w:val="0"/>
          <w:numId w:val="8"/>
        </w:numPr>
        <w:ind w:left="0" w:firstLine="567"/>
        <w:jc w:val="both"/>
        <w:spacing w:line="276" w:lineRule="auto"/>
      </w:pPr>
      <w:r>
        <w:rPr>
          <w:rFonts w:ascii="Arial Narrow" w:hAnsi="Arial Narrow" w:cs="Calibri"/>
          <w:sz w:val="24"/>
          <w:szCs w:val="24"/>
        </w:rPr>
        <w:t xml:space="preserve">энергосбережение и повышение энергоэффективности;</w:t>
      </w:r>
      <w:r/>
    </w:p>
    <w:p>
      <w:pPr>
        <w:pStyle w:val="1091"/>
        <w:numPr>
          <w:ilvl w:val="0"/>
          <w:numId w:val="8"/>
        </w:numPr>
        <w:ind w:left="0" w:firstLine="567"/>
        <w:jc w:val="both"/>
        <w:spacing w:line="276" w:lineRule="auto"/>
        <w:rPr>
          <w:lang w:val="ru-RU"/>
        </w:rPr>
      </w:pPr>
      <w:r>
        <w:rPr>
          <w:rFonts w:ascii="Arial Narrow" w:hAnsi="Arial Narrow" w:cs="Calibri"/>
          <w:sz w:val="24"/>
          <w:szCs w:val="24"/>
          <w:lang w:val="ru-RU"/>
        </w:rPr>
        <w:t xml:space="preserve">повышение надежности энергоснабжения потребителей Центрального энергоузла Камчатского края;</w:t>
      </w:r>
      <w:r>
        <w:rPr>
          <w:lang w:val="ru-RU"/>
        </w:rPr>
      </w:r>
      <w:r>
        <w:rPr>
          <w:lang w:val="ru-RU"/>
        </w:rPr>
      </w:r>
    </w:p>
    <w:p>
      <w:pPr>
        <w:pStyle w:val="1091"/>
        <w:numPr>
          <w:ilvl w:val="0"/>
          <w:numId w:val="8"/>
        </w:numPr>
        <w:ind w:left="0" w:firstLine="567"/>
        <w:jc w:val="both"/>
        <w:spacing w:line="276" w:lineRule="auto"/>
      </w:pPr>
      <w:r>
        <w:rPr>
          <w:rFonts w:ascii="Arial Narrow" w:hAnsi="Arial Narrow" w:cs="Calibri"/>
          <w:sz w:val="24"/>
          <w:szCs w:val="24"/>
        </w:rPr>
        <w:t xml:space="preserve">внедрение новых технологий.</w:t>
      </w:r>
      <w:r/>
    </w:p>
    <w:p>
      <w:pPr>
        <w:pStyle w:val="1063"/>
        <w:jc w:val="both"/>
        <w:spacing w:after="120"/>
        <w:tabs>
          <w:tab w:val="left" w:pos="566" w:leader="none"/>
          <w:tab w:val="left" w:pos="850" w:leader="none"/>
        </w:tabs>
        <w:rPr>
          <w:rFonts w:ascii="Arial Narrow" w:hAnsi="Arial Narrow" w:cs="Calibri"/>
          <w:color w:val="314e87"/>
          <w:sz w:val="8"/>
          <w:szCs w:val="8"/>
        </w:rPr>
      </w:pPr>
      <w:r>
        <w:rPr>
          <w:rFonts w:ascii="Arial Narrow" w:hAnsi="Arial Narrow" w:cs="Calibri"/>
          <w:color w:val="314e87"/>
          <w:sz w:val="8"/>
          <w:szCs w:val="8"/>
        </w:rPr>
      </w:r>
      <w:r>
        <w:rPr>
          <w:rFonts w:ascii="Arial Narrow" w:hAnsi="Arial Narrow" w:cs="Calibri"/>
          <w:color w:val="314e87"/>
          <w:sz w:val="8"/>
          <w:szCs w:val="8"/>
        </w:rPr>
      </w:r>
      <w:r>
        <w:rPr>
          <w:rFonts w:ascii="Arial Narrow" w:hAnsi="Arial Narrow" w:cs="Calibri"/>
          <w:color w:val="314e87"/>
          <w:sz w:val="8"/>
          <w:szCs w:val="8"/>
        </w:rPr>
      </w:r>
    </w:p>
    <w:p>
      <w:pPr>
        <w:pStyle w:val="1063"/>
        <w:jc w:val="both"/>
        <w:spacing w:after="120"/>
        <w:tabs>
          <w:tab w:val="left" w:pos="566" w:leader="none"/>
          <w:tab w:val="left" w:pos="850" w:leader="none"/>
        </w:tabs>
        <w:rPr>
          <w:rFonts w:ascii="Arial Narrow" w:hAnsi="Arial Narrow" w:cs="Calibri"/>
          <w:b/>
          <w:color w:val="314e87"/>
        </w:rPr>
      </w:pPr>
      <w:r>
        <w:rPr>
          <w:rFonts w:ascii="Arial Narrow" w:hAnsi="Arial Narrow" w:cs="Calibri"/>
          <w:b/>
          <w:color w:val="314e87"/>
        </w:rPr>
        <w:t xml:space="preserve">Объем и источники финансирования инновационной деятельности</w:t>
      </w:r>
      <w:r>
        <w:rPr>
          <w:rFonts w:ascii="Arial Narrow" w:hAnsi="Arial Narrow" w:cs="Calibri"/>
          <w:b/>
          <w:color w:val="314e87"/>
        </w:rPr>
      </w:r>
      <w:r>
        <w:rPr>
          <w:rFonts w:ascii="Arial Narrow" w:hAnsi="Arial Narrow" w:cs="Calibri"/>
          <w:b/>
          <w:color w:val="314e87"/>
        </w:rPr>
      </w:r>
    </w:p>
    <w:p>
      <w:pPr>
        <w:pStyle w:val="1063"/>
        <w:ind w:firstLine="567"/>
        <w:jc w:val="both"/>
      </w:pPr>
      <w:r>
        <w:rPr>
          <w:rFonts w:ascii="Arial Narrow" w:hAnsi="Arial Narrow" w:cs="Calibri"/>
        </w:rPr>
        <w:t xml:space="preserve">Общий объем финансирования инновационных мероприятий в 2024 году составил </w:t>
      </w:r>
      <w:r>
        <w:rPr>
          <w:rFonts w:ascii="Arial Narrow" w:hAnsi="Arial Narrow" w:cs="Calibri"/>
        </w:rPr>
        <w:br/>
        <w:t xml:space="preserve">491 192,2 тыс. рублей с НДС. Источник финансирования мероприятий – собственные средства ПАО «Камчатскэнерго».</w:t>
      </w:r>
      <w:r/>
    </w:p>
    <w:p>
      <w:pPr>
        <w:pStyle w:val="1063"/>
        <w:jc w:val="both"/>
        <w:tabs>
          <w:tab w:val="left" w:pos="566" w:leader="none"/>
          <w:tab w:val="left" w:pos="850" w:leader="none"/>
        </w:tabs>
        <w:rPr>
          <w:rFonts w:ascii="Arial Narrow" w:hAnsi="Arial Narrow" w:cs="Calibri"/>
          <w:color w:val="314e87"/>
          <w:sz w:val="12"/>
          <w:szCs w:val="12"/>
        </w:rPr>
      </w:pPr>
      <w:r>
        <w:rPr>
          <w:rFonts w:ascii="Arial Narrow" w:hAnsi="Arial Narrow" w:cs="Calibri"/>
          <w:color w:val="314e87"/>
          <w:sz w:val="12"/>
          <w:szCs w:val="12"/>
        </w:rPr>
      </w:r>
      <w:r>
        <w:rPr>
          <w:rFonts w:ascii="Arial Narrow" w:hAnsi="Arial Narrow" w:cs="Calibri"/>
          <w:color w:val="314e87"/>
          <w:sz w:val="12"/>
          <w:szCs w:val="12"/>
        </w:rPr>
      </w:r>
      <w:r>
        <w:rPr>
          <w:rFonts w:ascii="Arial Narrow" w:hAnsi="Arial Narrow" w:cs="Calibri"/>
          <w:color w:val="314e87"/>
          <w:sz w:val="12"/>
          <w:szCs w:val="12"/>
        </w:rPr>
      </w:r>
    </w:p>
    <w:p>
      <w:pPr>
        <w:pStyle w:val="1063"/>
        <w:jc w:val="both"/>
        <w:spacing w:after="120"/>
        <w:tabs>
          <w:tab w:val="left" w:pos="566" w:leader="none"/>
          <w:tab w:val="left" w:pos="850" w:leader="none"/>
        </w:tabs>
        <w:rPr>
          <w:rFonts w:ascii="Arial Narrow" w:hAnsi="Arial Narrow" w:cs="Calibri"/>
          <w:b/>
          <w:color w:val="314e87"/>
        </w:rPr>
      </w:pPr>
      <w:r>
        <w:rPr>
          <w:rFonts w:ascii="Arial Narrow" w:hAnsi="Arial Narrow" w:cs="Calibri"/>
          <w:b/>
          <w:color w:val="314e87"/>
        </w:rPr>
        <w:t xml:space="preserve">Основные инновационные проекты, реализуемые в 2024 году</w:t>
      </w:r>
      <w:r>
        <w:rPr>
          <w:rFonts w:ascii="Arial Narrow" w:hAnsi="Arial Narrow" w:cs="Calibri"/>
          <w:b/>
          <w:color w:val="314e87"/>
        </w:rPr>
      </w:r>
      <w:r>
        <w:rPr>
          <w:rFonts w:ascii="Arial Narrow" w:hAnsi="Arial Narrow" w:cs="Calibri"/>
          <w:b/>
          <w:color w:val="314e87"/>
        </w:rPr>
      </w:r>
    </w:p>
    <w:p>
      <w:pPr>
        <w:pStyle w:val="1091"/>
        <w:numPr>
          <w:ilvl w:val="0"/>
          <w:numId w:val="7"/>
        </w:numPr>
        <w:ind w:left="0" w:firstLine="567"/>
        <w:jc w:val="both"/>
        <w:spacing w:line="276" w:lineRule="auto"/>
        <w:tabs>
          <w:tab w:val="left" w:pos="850" w:leader="none"/>
        </w:tabs>
        <w:rPr>
          <w:lang w:val="ru-RU"/>
        </w:rPr>
      </w:pPr>
      <w:r>
        <w:rPr>
          <w:rFonts w:ascii="Arial Narrow" w:hAnsi="Arial Narrow" w:cs="Calibri"/>
          <w:sz w:val="24"/>
          <w:szCs w:val="24"/>
          <w:lang w:val="ru-RU" w:eastAsia="en-US"/>
        </w:rPr>
        <w:t xml:space="preserve">Модернизация сетевых насосов 2-ого подъема ТЭЦ-2 с заменой двух насосов на более мощные с установкой частотно-регулируемого привода.</w:t>
      </w:r>
      <w:r>
        <w:rPr>
          <w:lang w:val="ru-RU"/>
        </w:rPr>
      </w:r>
      <w:r>
        <w:rPr>
          <w:lang w:val="ru-RU"/>
        </w:rPr>
      </w:r>
    </w:p>
    <w:p>
      <w:pPr>
        <w:pStyle w:val="1063"/>
        <w:ind w:firstLine="567"/>
        <w:jc w:val="both"/>
      </w:pPr>
      <w:r>
        <w:rPr>
          <w:rFonts w:ascii="Arial Narrow" w:hAnsi="Arial Narrow" w:cs="Calibri"/>
        </w:rPr>
        <w:t xml:space="preserve">В 2024 году произведена поставка части оборудования и материалов для мероприятия.</w:t>
      </w:r>
      <w:r/>
    </w:p>
    <w:p>
      <w:pPr>
        <w:pStyle w:val="1063"/>
        <w:ind w:firstLine="567"/>
        <w:jc w:val="both"/>
      </w:pPr>
      <w:r>
        <w:rPr>
          <w:rFonts w:ascii="Arial Narrow" w:hAnsi="Arial Narrow" w:cs="Calibri"/>
        </w:rPr>
        <w:t xml:space="preserve">Реализация мероприятия приведет к сокращению расхода электрической энергии на производственные нужды, а также увеличит срок эксплуатации электродвигателей за счет более плавных пусков.</w:t>
      </w:r>
      <w:r/>
    </w:p>
    <w:p>
      <w:pPr>
        <w:pStyle w:val="1063"/>
        <w:ind w:firstLine="567"/>
        <w:jc w:val="both"/>
      </w:pPr>
      <w:r>
        <w:rPr>
          <w:rFonts w:ascii="Arial Narrow" w:hAnsi="Arial Narrow" w:cs="Calibri"/>
        </w:rPr>
        <w:t xml:space="preserve">Фактическое финансирование в 2024 году составило 8 746,8 тыс. рублей (с НДС).</w:t>
      </w:r>
      <w:r/>
    </w:p>
    <w:p>
      <w:pPr>
        <w:pStyle w:val="1091"/>
        <w:numPr>
          <w:ilvl w:val="0"/>
          <w:numId w:val="7"/>
        </w:numPr>
        <w:ind w:left="0" w:firstLine="567"/>
        <w:jc w:val="both"/>
        <w:spacing w:line="276" w:lineRule="auto"/>
        <w:tabs>
          <w:tab w:val="left" w:pos="850" w:leader="none"/>
        </w:tabs>
        <w:rPr>
          <w:lang w:val="ru-RU"/>
        </w:rPr>
      </w:pPr>
      <w:r>
        <w:rPr>
          <w:rFonts w:ascii="Arial Narrow" w:hAnsi="Arial Narrow" w:cs="Calibri"/>
          <w:sz w:val="24"/>
          <w:szCs w:val="24"/>
          <w:lang w:val="ru-RU" w:eastAsia="en-US"/>
        </w:rPr>
        <w:t xml:space="preserve">Реконструкция ПНС-3 с заменой сетевых насосов на насосы с частотно-регулируемым приводом.</w:t>
      </w:r>
      <w:r>
        <w:rPr>
          <w:lang w:val="ru-RU"/>
        </w:rPr>
      </w:r>
      <w:r>
        <w:rPr>
          <w:lang w:val="ru-RU"/>
        </w:rPr>
      </w:r>
    </w:p>
    <w:p>
      <w:pPr>
        <w:pStyle w:val="1063"/>
        <w:ind w:firstLine="567"/>
        <w:jc w:val="both"/>
      </w:pPr>
      <w:r>
        <w:rPr>
          <w:rFonts w:ascii="Arial Narrow" w:hAnsi="Arial Narrow" w:cs="Calibri"/>
        </w:rPr>
        <w:t xml:space="preserve">В 2024 году произведена закупка оборудования и материалов для мероприятия, проведены строительно-монтажные работы.</w:t>
      </w:r>
      <w:r/>
    </w:p>
    <w:p>
      <w:pPr>
        <w:pStyle w:val="1063"/>
        <w:ind w:firstLine="567"/>
        <w:jc w:val="both"/>
      </w:pPr>
      <w:r>
        <w:rPr>
          <w:rFonts w:ascii="Arial Narrow" w:hAnsi="Arial Narrow" w:cs="Calibri"/>
        </w:rPr>
        <w:t xml:space="preserve">Реализация мероприятия приведет к сокращению расхода электрической энергии на производственные нужды, а также увеличит срок эксплуатации электродвигателей за счет более плавных пусков.</w:t>
      </w:r>
      <w:r/>
    </w:p>
    <w:p>
      <w:pPr>
        <w:pStyle w:val="1063"/>
        <w:ind w:firstLine="567"/>
        <w:jc w:val="both"/>
      </w:pPr>
      <w:r>
        <w:rPr>
          <w:rFonts w:ascii="Arial Narrow" w:hAnsi="Arial Narrow" w:cs="Calibri"/>
        </w:rPr>
        <w:t xml:space="preserve">Фактическое финансирование в 2024 году составило 168 457,6 тыс. рублей (с НДС).</w:t>
      </w:r>
      <w:r/>
    </w:p>
    <w:p>
      <w:pPr>
        <w:pStyle w:val="1063"/>
        <w:ind w:firstLine="567"/>
        <w:jc w:val="both"/>
        <w:rPr>
          <w:rFonts w:ascii="Arial Narrow" w:hAnsi="Arial Narrow" w:cs="Calibri"/>
          <w:sz w:val="8"/>
          <w:szCs w:val="8"/>
        </w:rPr>
      </w:pPr>
      <w:r>
        <w:rPr>
          <w:rFonts w:ascii="Arial Narrow" w:hAnsi="Arial Narrow" w:cs="Calibri"/>
          <w:sz w:val="8"/>
          <w:szCs w:val="8"/>
        </w:rPr>
      </w:r>
      <w:r>
        <w:rPr>
          <w:rFonts w:ascii="Arial Narrow" w:hAnsi="Arial Narrow" w:cs="Calibri"/>
          <w:sz w:val="8"/>
          <w:szCs w:val="8"/>
        </w:rPr>
      </w:r>
      <w:r>
        <w:rPr>
          <w:rFonts w:ascii="Arial Narrow" w:hAnsi="Arial Narrow" w:cs="Calibri"/>
          <w:sz w:val="8"/>
          <w:szCs w:val="8"/>
        </w:rPr>
      </w:r>
    </w:p>
    <w:p>
      <w:pPr>
        <w:pStyle w:val="1091"/>
        <w:numPr>
          <w:ilvl w:val="0"/>
          <w:numId w:val="7"/>
        </w:numPr>
        <w:ind w:left="0" w:firstLine="567"/>
        <w:jc w:val="both"/>
        <w:spacing w:line="276" w:lineRule="auto"/>
        <w:tabs>
          <w:tab w:val="left" w:pos="850" w:leader="none"/>
        </w:tabs>
        <w:rPr>
          <w:lang w:val="ru-RU"/>
        </w:rPr>
      </w:pPr>
      <w:r>
        <w:rPr>
          <w:rFonts w:ascii="Arial Narrow" w:hAnsi="Arial Narrow" w:cs="Calibri"/>
          <w:sz w:val="24"/>
          <w:szCs w:val="24"/>
          <w:lang w:val="ru-RU" w:eastAsia="en-US"/>
        </w:rPr>
        <w:t xml:space="preserve">Установка частотно-регулируемого привода на дымососах и дутьевых вентиляторах котлов </w:t>
      </w:r>
      <w:r>
        <w:rPr>
          <w:rFonts w:ascii="Arial Narrow" w:hAnsi="Arial Narrow" w:cs="Calibri"/>
          <w:sz w:val="24"/>
          <w:szCs w:val="24"/>
          <w:lang w:val="ru-RU" w:eastAsia="en-US"/>
        </w:rPr>
        <w:br/>
        <w:t xml:space="preserve">БКЗ -120-100 ст. № 8 ТЭЦ-1.</w:t>
      </w:r>
      <w:r>
        <w:rPr>
          <w:lang w:val="ru-RU"/>
        </w:rPr>
      </w:r>
      <w:r>
        <w:rPr>
          <w:lang w:val="ru-RU"/>
        </w:rPr>
      </w:r>
    </w:p>
    <w:p>
      <w:pPr>
        <w:pStyle w:val="1063"/>
        <w:ind w:firstLine="567"/>
        <w:jc w:val="both"/>
      </w:pPr>
      <w:r>
        <w:rPr>
          <w:rFonts w:ascii="Arial Narrow" w:hAnsi="Arial Narrow" w:cs="Calibri"/>
        </w:rPr>
        <w:t xml:space="preserve">Реализация проекта обеспечит сокращение потреб</w:t>
      </w:r>
      <w:r>
        <w:rPr>
          <w:rFonts w:ascii="Arial Narrow" w:hAnsi="Arial Narrow" w:cs="Calibri"/>
        </w:rPr>
        <w:t xml:space="preserve">ления электрической энергии на производственные нужды на Камчатской ТЭЦ-1, а также повысит надежность работы электрооборудования станции (дымососов и дутьевых вентиляторов котлов). В 2024 году произведена закупка оборудования на котел № 8 Камчатской ТЭЦ-1.</w:t>
      </w:r>
      <w:r/>
    </w:p>
    <w:p>
      <w:pPr>
        <w:pStyle w:val="1063"/>
        <w:ind w:firstLine="567"/>
        <w:jc w:val="both"/>
      </w:pPr>
      <w:r>
        <w:rPr>
          <w:rFonts w:ascii="Arial Narrow" w:hAnsi="Arial Narrow" w:cs="Calibri"/>
        </w:rPr>
        <w:t xml:space="preserve">Фактическое финансирование за 2024 год составило 24 103,1 тыс. руб лей (с НДС).</w:t>
      </w:r>
      <w:r/>
    </w:p>
    <w:p>
      <w:pPr>
        <w:pStyle w:val="1091"/>
        <w:numPr>
          <w:ilvl w:val="0"/>
          <w:numId w:val="7"/>
        </w:numPr>
        <w:ind w:left="0" w:firstLine="567"/>
        <w:jc w:val="both"/>
        <w:spacing w:line="276" w:lineRule="auto"/>
        <w:tabs>
          <w:tab w:val="left" w:pos="850" w:leader="none"/>
        </w:tabs>
        <w:rPr>
          <w:lang w:val="ru-RU"/>
        </w:rPr>
      </w:pPr>
      <w:r>
        <w:rPr>
          <w:rFonts w:ascii="Arial Narrow" w:hAnsi="Arial Narrow" w:cs="Calibri"/>
          <w:sz w:val="24"/>
          <w:szCs w:val="24"/>
          <w:lang w:val="ru-RU" w:eastAsia="en-US"/>
        </w:rPr>
        <w:t xml:space="preserve">Монтаж частотно-регулируемого привода на подпиточный электронасос №7 ТЭЦ-1.</w:t>
      </w:r>
      <w:r>
        <w:rPr>
          <w:lang w:val="ru-RU"/>
        </w:rPr>
      </w:r>
      <w:r>
        <w:rPr>
          <w:lang w:val="ru-RU"/>
        </w:rPr>
      </w:r>
    </w:p>
    <w:p>
      <w:pPr>
        <w:pStyle w:val="1063"/>
        <w:ind w:firstLine="567"/>
        <w:jc w:val="both"/>
      </w:pPr>
      <w:r>
        <w:rPr>
          <w:rFonts w:ascii="Arial Narrow" w:hAnsi="Arial Narrow" w:cs="Calibri"/>
        </w:rPr>
        <w:t xml:space="preserve">Реализация проекта обеспечит сокращение расхода электрической энергии на производственные нужды, а также увеличит срок эксплуатации электродвигателей за счет более плавных пусков.</w:t>
      </w:r>
      <w:r/>
    </w:p>
    <w:p>
      <w:pPr>
        <w:pStyle w:val="1063"/>
        <w:ind w:firstLine="567"/>
        <w:jc w:val="both"/>
      </w:pPr>
      <w:r>
        <w:rPr>
          <w:rFonts w:ascii="Arial Narrow" w:hAnsi="Arial Narrow" w:cs="Calibri"/>
        </w:rPr>
        <w:t xml:space="preserve">В 2024 годы выполнены строительно-монтажные работы. Объект введен в эксплуатацию.</w:t>
      </w:r>
      <w:r/>
    </w:p>
    <w:p>
      <w:pPr>
        <w:pStyle w:val="1063"/>
        <w:ind w:firstLine="567"/>
        <w:jc w:val="both"/>
      </w:pPr>
      <w:r>
        <w:rPr>
          <w:rFonts w:ascii="Arial Narrow" w:hAnsi="Arial Narrow" w:cs="Calibri"/>
        </w:rPr>
        <w:t xml:space="preserve">Объем фактического финансирования в 2024 году составил 38 576,3 тыс. рублей (с НДС).</w:t>
      </w:r>
      <w:r/>
    </w:p>
    <w:p>
      <w:pPr>
        <w:pStyle w:val="1091"/>
        <w:numPr>
          <w:ilvl w:val="0"/>
          <w:numId w:val="7"/>
        </w:numPr>
        <w:ind w:left="0" w:firstLine="567"/>
        <w:jc w:val="both"/>
        <w:spacing w:line="276" w:lineRule="auto"/>
        <w:tabs>
          <w:tab w:val="left" w:pos="850" w:leader="none"/>
        </w:tabs>
        <w:rPr>
          <w:lang w:val="ru-RU"/>
        </w:rPr>
      </w:pPr>
      <w:r>
        <w:rPr>
          <w:rFonts w:ascii="Arial Narrow" w:hAnsi="Arial Narrow" w:cs="Calibri"/>
          <w:sz w:val="24"/>
          <w:szCs w:val="24"/>
          <w:lang w:val="ru-RU" w:eastAsia="en-US"/>
        </w:rPr>
        <w:t xml:space="preserve">Реконструкция э/магнитной блокировки на подстанции 35/10 кВ «Раздольная».</w:t>
      </w:r>
      <w:r>
        <w:rPr>
          <w:lang w:val="ru-RU"/>
        </w:rPr>
      </w:r>
      <w:r>
        <w:rPr>
          <w:lang w:val="ru-RU"/>
        </w:rPr>
      </w:r>
    </w:p>
    <w:p>
      <w:pPr>
        <w:pStyle w:val="1091"/>
        <w:numPr>
          <w:ilvl w:val="0"/>
          <w:numId w:val="7"/>
        </w:numPr>
        <w:ind w:left="0" w:firstLine="567"/>
        <w:jc w:val="both"/>
        <w:spacing w:line="276" w:lineRule="auto"/>
        <w:tabs>
          <w:tab w:val="left" w:pos="850" w:leader="none"/>
        </w:tabs>
        <w:rPr>
          <w:lang w:val="ru-RU"/>
        </w:rPr>
      </w:pPr>
      <w:r>
        <w:rPr>
          <w:rFonts w:ascii="Arial Narrow" w:hAnsi="Arial Narrow" w:cs="Calibri"/>
          <w:sz w:val="24"/>
          <w:szCs w:val="24"/>
          <w:lang w:val="ru-RU" w:eastAsia="en-US"/>
        </w:rPr>
        <w:t xml:space="preserve">Реконструкция э/магнитной блокировки на подстанции 35/10 кВ «Бугры».</w:t>
      </w:r>
      <w:r>
        <w:rPr>
          <w:lang w:val="ru-RU"/>
        </w:rPr>
      </w:r>
      <w:r>
        <w:rPr>
          <w:lang w:val="ru-RU"/>
        </w:rPr>
      </w:r>
    </w:p>
    <w:p>
      <w:pPr>
        <w:pStyle w:val="1063"/>
        <w:ind w:firstLine="567"/>
        <w:jc w:val="both"/>
      </w:pPr>
      <w:r>
        <w:rPr>
          <w:rFonts w:ascii="Arial Narrow" w:hAnsi="Arial Narrow" w:cs="Calibri"/>
        </w:rPr>
        <w:t xml:space="preserve">В 2024 году разработана проектно-сметная документация по реконструкции электромагнитных блокировок указанных подстанций. Запланированные к реализации мероприятия обеспечат повышение надежности электроснабжения потребителей.</w:t>
      </w:r>
      <w:r/>
    </w:p>
    <w:p>
      <w:pPr>
        <w:pStyle w:val="1063"/>
        <w:ind w:firstLine="567"/>
        <w:jc w:val="both"/>
      </w:pPr>
      <w:r>
        <w:rPr>
          <w:rFonts w:ascii="Arial Narrow" w:hAnsi="Arial Narrow" w:cs="Calibri"/>
        </w:rPr>
        <w:t xml:space="preserve">Фактическое финансирование за 2024 год составило 946 тыс. рублей (с НДС).</w:t>
      </w:r>
      <w:r/>
    </w:p>
    <w:p>
      <w:pPr>
        <w:pStyle w:val="1091"/>
        <w:numPr>
          <w:ilvl w:val="0"/>
          <w:numId w:val="7"/>
        </w:numPr>
        <w:ind w:left="0" w:firstLine="567"/>
        <w:jc w:val="both"/>
        <w:spacing w:line="276" w:lineRule="auto"/>
        <w:tabs>
          <w:tab w:val="left" w:pos="850" w:leader="none"/>
        </w:tabs>
        <w:rPr>
          <w:lang w:val="ru-RU"/>
        </w:rPr>
      </w:pPr>
      <w:r>
        <w:rPr>
          <w:rFonts w:ascii="Arial Narrow" w:hAnsi="Arial Narrow" w:cs="Calibri"/>
          <w:sz w:val="24"/>
          <w:szCs w:val="24"/>
          <w:lang w:val="ru-RU" w:eastAsia="en-US"/>
        </w:rPr>
        <w:t xml:space="preserve">Реконструкция ВЛ-220 кВ № Л-201 «Авача - МГеоЭС» с заменой 7 существующих опор на анкерно-угловые, лавиноустойчивые опоры.</w:t>
      </w:r>
      <w:r>
        <w:rPr>
          <w:lang w:val="ru-RU"/>
        </w:rPr>
      </w:r>
      <w:r>
        <w:rPr>
          <w:lang w:val="ru-RU"/>
        </w:rPr>
      </w:r>
    </w:p>
    <w:p>
      <w:pPr>
        <w:pStyle w:val="1063"/>
        <w:ind w:firstLine="567"/>
        <w:jc w:val="both"/>
      </w:pPr>
      <w:r>
        <w:rPr>
          <w:rFonts w:ascii="Arial Narrow" w:hAnsi="Arial Narrow" w:cs="Calibri"/>
        </w:rPr>
        <w:t xml:space="preserve">Данная работа выполняется с целью сокращения затрат на этапе эксплуата</w:t>
      </w:r>
      <w:r>
        <w:rPr>
          <w:rFonts w:ascii="Arial Narrow" w:hAnsi="Arial Narrow" w:cs="Calibri"/>
        </w:rPr>
        <w:t xml:space="preserve">ции ВЛ 220 кВ путём применения ранее разработанных технологий (специальных опор и фундаментов, устойчивых к воздействиям снежных лавин), а также удовлетворение требованиям строительных норм и правил, в том числе и по увеличению сейсмостойкости конструкций.</w:t>
      </w:r>
      <w:r/>
    </w:p>
    <w:p>
      <w:pPr>
        <w:pStyle w:val="1063"/>
        <w:ind w:firstLine="567"/>
        <w:jc w:val="both"/>
      </w:pPr>
      <w:r>
        <w:rPr>
          <w:rFonts w:ascii="Arial Narrow" w:hAnsi="Arial Narrow" w:cs="Calibri"/>
        </w:rPr>
        <w:t xml:space="preserve">По результатам 2024 года выполнены работы по замене опор на сумму 53 396,2 тыс. рублей (с НДС).</w:t>
      </w:r>
      <w:r/>
    </w:p>
    <w:p>
      <w:pPr>
        <w:pStyle w:val="1063"/>
        <w:jc w:val="both"/>
        <w:tabs>
          <w:tab w:val="left" w:pos="566" w:leader="none"/>
          <w:tab w:val="left" w:pos="850" w:leader="none"/>
        </w:tabs>
        <w:rPr>
          <w:rFonts w:ascii="Arial Narrow" w:hAnsi="Arial Narrow" w:cs="Calibri"/>
          <w:color w:val="314e87"/>
          <w:sz w:val="8"/>
          <w:szCs w:val="8"/>
        </w:rPr>
      </w:pPr>
      <w:r>
        <w:rPr>
          <w:rFonts w:ascii="Arial Narrow" w:hAnsi="Arial Narrow" w:cs="Calibri"/>
          <w:color w:val="314e87"/>
          <w:sz w:val="8"/>
          <w:szCs w:val="8"/>
        </w:rPr>
      </w:r>
      <w:r>
        <w:rPr>
          <w:rFonts w:ascii="Arial Narrow" w:hAnsi="Arial Narrow" w:cs="Calibri"/>
          <w:color w:val="314e87"/>
          <w:sz w:val="8"/>
          <w:szCs w:val="8"/>
        </w:rPr>
      </w:r>
      <w:r>
        <w:rPr>
          <w:rFonts w:ascii="Arial Narrow" w:hAnsi="Arial Narrow" w:cs="Calibri"/>
          <w:color w:val="314e87"/>
          <w:sz w:val="8"/>
          <w:szCs w:val="8"/>
        </w:rPr>
      </w:r>
    </w:p>
    <w:p>
      <w:pPr>
        <w:pStyle w:val="1063"/>
        <w:jc w:val="both"/>
        <w:spacing w:after="120"/>
        <w:tabs>
          <w:tab w:val="left" w:pos="566" w:leader="none"/>
          <w:tab w:val="left" w:pos="850" w:leader="none"/>
        </w:tabs>
        <w:rPr>
          <w:b/>
        </w:rPr>
      </w:pPr>
      <w:r>
        <w:rPr>
          <w:rFonts w:ascii="Arial Narrow" w:hAnsi="Arial Narrow" w:cs="Calibri"/>
          <w:b/>
          <w:color w:val="314e87"/>
        </w:rPr>
        <w:t xml:space="preserve">Основные научно-исследовательские, опытно-конструкторские и технологические работы (НИОКР), выполненные Обществом в 2024 году</w:t>
      </w:r>
      <w:r>
        <w:rPr>
          <w:b/>
        </w:rPr>
      </w:r>
      <w:r>
        <w:rPr>
          <w:b/>
        </w:rPr>
      </w:r>
    </w:p>
    <w:p>
      <w:pPr>
        <w:pStyle w:val="1091"/>
        <w:numPr>
          <w:ilvl w:val="0"/>
          <w:numId w:val="17"/>
        </w:numPr>
        <w:ind w:left="0" w:firstLine="567"/>
        <w:jc w:val="both"/>
        <w:spacing w:line="276" w:lineRule="auto"/>
        <w:tabs>
          <w:tab w:val="left" w:pos="993" w:leader="none"/>
        </w:tabs>
        <w:rPr>
          <w:lang w:val="ru-RU"/>
        </w:rPr>
      </w:pPr>
      <w:r>
        <w:rPr>
          <w:rFonts w:ascii="Arial Narrow" w:hAnsi="Arial Narrow" w:eastAsia="Arial" w:cs="Calibri"/>
          <w:sz w:val="24"/>
          <w:szCs w:val="24"/>
          <w:lang w:val="ru-RU" w:eastAsia="en-US"/>
        </w:rPr>
        <w:t xml:space="preserve">Между</w:t>
      </w:r>
      <w:r>
        <w:rPr>
          <w:rFonts w:ascii="Arial Narrow" w:hAnsi="Arial Narrow" w:cs="Calibri"/>
          <w:sz w:val="24"/>
          <w:szCs w:val="24"/>
          <w:lang w:val="ru-RU"/>
        </w:rPr>
        <w:t xml:space="preserve"> ПАО «Камчатскэнерго» и АО «Ленгидропроект» заключе</w:t>
      </w:r>
      <w:r>
        <w:rPr>
          <w:rFonts w:ascii="Arial Narrow" w:hAnsi="Arial Narrow" w:cs="Calibri"/>
          <w:sz w:val="24"/>
          <w:szCs w:val="24"/>
          <w:lang w:val="ru-RU"/>
        </w:rPr>
        <w:t xml:space="preserve">н договор на выполнение научно-исследовательских, опытно-конструкторских и технологических работ по теме «Разработка и опытно-промышленное внедрение системы защиты от биообрастаний и коррозии трубопроводов циркуляционной воды и конденсаторов турбин ТЭЦ-1».</w:t>
      </w:r>
      <w:r>
        <w:rPr>
          <w:lang w:val="ru-RU"/>
        </w:rPr>
      </w:r>
      <w:r>
        <w:rPr>
          <w:lang w:val="ru-RU"/>
        </w:rPr>
      </w:r>
    </w:p>
    <w:p>
      <w:pPr>
        <w:pStyle w:val="1063"/>
        <w:ind w:firstLine="567"/>
        <w:jc w:val="both"/>
      </w:pPr>
      <w:r>
        <w:rPr>
          <w:rFonts w:ascii="Arial Narrow" w:hAnsi="Arial Narrow" w:cs="Calibri"/>
        </w:rPr>
        <w:t xml:space="preserve">Целью данной работы является разработка и опытно-промышленное внедрение системы защиты от биообрастаний и коррозии трубопроводов циркуляционной в</w:t>
      </w:r>
      <w:r>
        <w:rPr>
          <w:rFonts w:ascii="Arial Narrow" w:hAnsi="Arial Narrow" w:cs="Calibri"/>
        </w:rPr>
        <w:t xml:space="preserve">оды и конденсаторов турбин ТЭЦ-1, использующих морскую воду, предотвращающей закрепление грибков и бактерий на внутренних поверхностях трубопроводов и оборудования (пленки, на которой впоследствии закрепляются более крупные объекты - водоросли и моллюски).</w:t>
      </w:r>
      <w:r/>
    </w:p>
    <w:p>
      <w:pPr>
        <w:pStyle w:val="1063"/>
        <w:ind w:firstLine="567"/>
        <w:jc w:val="both"/>
      </w:pPr>
      <w:r>
        <w:rPr>
          <w:rFonts w:ascii="Arial Narrow" w:hAnsi="Arial Narrow" w:cs="Calibri"/>
        </w:rPr>
        <w:t xml:space="preserve">Данная позволит:</w:t>
      </w:r>
      <w:r/>
    </w:p>
    <w:p>
      <w:pPr>
        <w:pStyle w:val="1091"/>
        <w:numPr>
          <w:ilvl w:val="0"/>
          <w:numId w:val="16"/>
        </w:numPr>
        <w:ind w:left="0" w:firstLine="426"/>
        <w:jc w:val="both"/>
        <w:spacing w:line="276" w:lineRule="auto"/>
        <w:rPr>
          <w:lang w:val="ru-RU"/>
        </w:rPr>
      </w:pPr>
      <w:r>
        <w:rPr>
          <w:rFonts w:ascii="Arial Narrow" w:hAnsi="Arial Narrow" w:cs="Calibri"/>
          <w:sz w:val="24"/>
          <w:szCs w:val="24"/>
          <w:lang w:val="ru-RU"/>
        </w:rPr>
        <w:t xml:space="preserve">снизить расход электроэнергии на перекачку циркуляционной воды на охлаждение конденсаторов турбин;</w:t>
      </w:r>
      <w:r>
        <w:rPr>
          <w:lang w:val="ru-RU"/>
        </w:rPr>
      </w:r>
      <w:r>
        <w:rPr>
          <w:lang w:val="ru-RU"/>
        </w:rPr>
      </w:r>
    </w:p>
    <w:p>
      <w:pPr>
        <w:pStyle w:val="1091"/>
        <w:numPr>
          <w:ilvl w:val="0"/>
          <w:numId w:val="16"/>
        </w:numPr>
        <w:ind w:left="0" w:firstLine="426"/>
        <w:jc w:val="both"/>
        <w:spacing w:line="276" w:lineRule="auto"/>
        <w:rPr>
          <w:lang w:val="ru-RU"/>
        </w:rPr>
      </w:pPr>
      <w:r>
        <w:rPr>
          <w:rFonts w:ascii="Arial Narrow" w:hAnsi="Arial Narrow" w:cs="Calibri"/>
          <w:sz w:val="24"/>
          <w:szCs w:val="24"/>
          <w:lang w:val="ru-RU"/>
        </w:rPr>
        <w:t xml:space="preserve">снизить потребление охлаждающей воды на охлаждение конденсаторов турбин;</w:t>
      </w:r>
      <w:r>
        <w:rPr>
          <w:lang w:val="ru-RU"/>
        </w:rPr>
      </w:r>
      <w:r>
        <w:rPr>
          <w:lang w:val="ru-RU"/>
        </w:rPr>
      </w:r>
    </w:p>
    <w:p>
      <w:pPr>
        <w:pStyle w:val="1091"/>
        <w:numPr>
          <w:ilvl w:val="0"/>
          <w:numId w:val="16"/>
        </w:numPr>
        <w:ind w:left="0" w:firstLine="426"/>
        <w:jc w:val="both"/>
        <w:spacing w:line="276" w:lineRule="auto"/>
        <w:rPr>
          <w:lang w:val="ru-RU"/>
        </w:rPr>
      </w:pPr>
      <w:r>
        <w:rPr>
          <w:rFonts w:ascii="Arial Narrow" w:hAnsi="Arial Narrow" w:cs="Calibri"/>
          <w:sz w:val="24"/>
          <w:szCs w:val="24"/>
          <w:lang w:val="ru-RU"/>
        </w:rPr>
        <w:t xml:space="preserve">снизить затраты на восстановительные ремонтные работы по циркуляционным трубопроводам и конденсаторам турбин.</w:t>
      </w:r>
      <w:r>
        <w:rPr>
          <w:lang w:val="ru-RU"/>
        </w:rPr>
      </w:r>
      <w:r>
        <w:rPr>
          <w:lang w:val="ru-RU"/>
        </w:rPr>
      </w:r>
    </w:p>
    <w:p>
      <w:pPr>
        <w:pStyle w:val="1063"/>
        <w:ind w:firstLine="567"/>
        <w:jc w:val="both"/>
      </w:pPr>
      <w:r>
        <w:rPr>
          <w:rFonts w:ascii="Arial Narrow" w:hAnsi="Arial Narrow" w:cs="Calibri"/>
        </w:rPr>
        <w:t xml:space="preserve">Работа предусмотрена в 2 Этапа:</w:t>
      </w:r>
      <w:r/>
    </w:p>
    <w:p>
      <w:pPr>
        <w:pStyle w:val="1063"/>
        <w:ind w:firstLine="567"/>
        <w:jc w:val="both"/>
      </w:pPr>
      <w:r>
        <w:rPr>
          <w:rFonts w:ascii="Arial Narrow" w:hAnsi="Arial Narrow" w:cs="Calibri"/>
        </w:rPr>
        <w:t xml:space="preserve">Этап 1.</w:t>
      </w:r>
      <w:r/>
    </w:p>
    <w:p>
      <w:pPr>
        <w:pStyle w:val="1063"/>
        <w:ind w:firstLine="567"/>
        <w:jc w:val="both"/>
      </w:pPr>
      <w:r>
        <w:rPr>
          <w:rFonts w:ascii="Arial Narrow" w:hAnsi="Arial Narrow" w:cs="Calibri"/>
        </w:rPr>
        <w:t xml:space="preserve">Разработка технических решений, конструкторской и рабочей документации для реализации системы з</w:t>
      </w:r>
      <w:r>
        <w:rPr>
          <w:rFonts w:ascii="Arial Narrow" w:hAnsi="Arial Narrow" w:cs="Calibri"/>
        </w:rPr>
        <w:t xml:space="preserve">ащиты от биообрастаний и коррозии трубопроводов циркуляционной воды и конденсаторов турбин ТЭЦ-1, изготовление и поставка оборудования для реализации системы защиты от биообрастаний и коррозии трубопроводов циркуляционной воды и конденсаторов турбин ТЭЦ-1.</w:t>
      </w:r>
      <w:r/>
    </w:p>
    <w:p>
      <w:pPr>
        <w:pStyle w:val="1063"/>
        <w:ind w:firstLine="567"/>
        <w:jc w:val="both"/>
      </w:pPr>
      <w:r>
        <w:rPr>
          <w:rFonts w:ascii="Arial Narrow" w:hAnsi="Arial Narrow" w:cs="Calibri"/>
        </w:rPr>
        <w:t xml:space="preserve">Этап 2</w:t>
      </w:r>
      <w:r/>
    </w:p>
    <w:p>
      <w:pPr>
        <w:pStyle w:val="1063"/>
        <w:ind w:firstLine="567"/>
        <w:jc w:val="both"/>
      </w:pPr>
      <w:r>
        <w:rPr>
          <w:rFonts w:ascii="Arial Narrow" w:hAnsi="Arial Narrow" w:cs="Calibri"/>
        </w:rPr>
        <w:t xml:space="preserve">Разработка методики оценки эффективности системы защиты от биообрастаний и коррозии трубопроводов циркуляцио</w:t>
      </w:r>
      <w:r>
        <w:rPr>
          <w:rFonts w:ascii="Arial Narrow" w:hAnsi="Arial Narrow" w:cs="Calibri"/>
        </w:rPr>
        <w:t xml:space="preserve">нной воды и конденсаторов турбин ТЭЦ-1 Проведение необходимых измерений и наблюдений для оценки эффективности работы, внедренной на ТЭЦ-1 системы защиты, сравнение с участком без специальной защиты от биообрастаний и коррозии. Срок выполнения – 20.05.2025.</w:t>
      </w:r>
      <w:r/>
    </w:p>
    <w:p>
      <w:pPr>
        <w:pStyle w:val="1063"/>
        <w:ind w:firstLine="567"/>
        <w:jc w:val="both"/>
      </w:pPr>
      <w:r>
        <w:rPr>
          <w:rFonts w:ascii="Arial Narrow" w:hAnsi="Arial Narrow" w:cs="Calibri"/>
        </w:rPr>
        <w:t xml:space="preserve">По результатам 2024 года завершены работы по 1 Этапу, произведена оплата 1 этапа (с учетом ранее выплаченного аванса) в размере 22 116,9 тыс. рублей (с НДС).</w:t>
      </w:r>
      <w:r/>
    </w:p>
    <w:p>
      <w:pPr>
        <w:pStyle w:val="1091"/>
        <w:numPr>
          <w:ilvl w:val="0"/>
          <w:numId w:val="15"/>
        </w:numPr>
        <w:ind w:left="0" w:firstLine="567"/>
        <w:jc w:val="both"/>
        <w:spacing w:line="276" w:lineRule="auto"/>
        <w:tabs>
          <w:tab w:val="left" w:pos="993" w:leader="none"/>
        </w:tabs>
        <w:rPr>
          <w:lang w:val="ru-RU"/>
        </w:rPr>
      </w:pPr>
      <w:r>
        <w:rPr>
          <w:rFonts w:ascii="Arial Narrow" w:hAnsi="Arial Narrow" w:eastAsia="Arial" w:cs="Calibri"/>
          <w:sz w:val="24"/>
          <w:szCs w:val="24"/>
          <w:lang w:val="ru-RU" w:eastAsia="en-US"/>
        </w:rPr>
        <w:t xml:space="preserve">Между ПАО «Камчатскэнерго» и ФГБОУ ВО «НИУ «МЭИ» заключен договор подряда на </w:t>
      </w:r>
      <w:r>
        <w:rPr>
          <w:rFonts w:ascii="Arial Narrow" w:hAnsi="Arial Narrow" w:eastAsia="Arial" w:cs="Calibri"/>
          <w:sz w:val="24"/>
          <w:szCs w:val="24"/>
          <w:lang w:val="ru-RU" w:eastAsia="en-US"/>
        </w:rPr>
        <w:t xml:space="preserve">выполнение научно-исследовательских, опытно-конструкторских и технологических работ по теме «Создание диагностической системы для непрерывного мониторинга содержания нефтепродуктов в технической воде электростанции, возвратных и дренажных конденсатах ТЭС».</w:t>
      </w:r>
      <w:r>
        <w:rPr>
          <w:lang w:val="ru-RU"/>
        </w:rPr>
      </w:r>
      <w:r>
        <w:rPr>
          <w:lang w:val="ru-RU"/>
        </w:rPr>
      </w:r>
    </w:p>
    <w:p>
      <w:pPr>
        <w:pStyle w:val="1063"/>
        <w:ind w:firstLine="567"/>
        <w:jc w:val="both"/>
      </w:pPr>
      <w:r>
        <w:rPr>
          <w:rFonts w:ascii="Arial Narrow" w:hAnsi="Arial Narrow" w:cs="Calibri"/>
        </w:rPr>
        <w:t xml:space="preserve">Целью данной работы является создание диагностической системы, включа</w:t>
      </w:r>
      <w:r>
        <w:rPr>
          <w:rFonts w:ascii="Arial Narrow" w:hAnsi="Arial Narrow" w:cs="Calibri"/>
        </w:rPr>
        <w:t xml:space="preserve">ющей в себя уникальный поточный тензиометрический анализатор нефтепродуктов и комплекс технических и программных средств в автоматическом режиме контролирующей содержание нефтепродуктов в технической воде, возвратных и дренажных конденсатах электростанций.</w:t>
      </w:r>
      <w:r/>
    </w:p>
    <w:p>
      <w:pPr>
        <w:pStyle w:val="1063"/>
        <w:ind w:firstLine="567"/>
        <w:jc w:val="both"/>
      </w:pPr>
      <w:r>
        <w:rPr>
          <w:rFonts w:ascii="Arial Narrow" w:hAnsi="Arial Narrow" w:cs="Calibri"/>
        </w:rPr>
        <w:tab/>
        <w:t xml:space="preserve">Внедрение диагностической системы для непрерывного мониторинга содержания нефтепродуктов обеспечит:</w:t>
      </w:r>
      <w:r/>
    </w:p>
    <w:p>
      <w:pPr>
        <w:pStyle w:val="1091"/>
        <w:numPr>
          <w:ilvl w:val="0"/>
          <w:numId w:val="16"/>
        </w:numPr>
        <w:ind w:left="0" w:firstLine="426"/>
        <w:jc w:val="both"/>
        <w:spacing w:line="276" w:lineRule="auto"/>
        <w:rPr>
          <w:lang w:val="ru-RU"/>
        </w:rPr>
      </w:pPr>
      <w:r>
        <w:rPr>
          <w:rFonts w:ascii="Arial Narrow" w:hAnsi="Arial Narrow" w:cs="Calibri"/>
          <w:sz w:val="24"/>
          <w:szCs w:val="24"/>
          <w:lang w:val="ru-RU"/>
        </w:rPr>
        <w:t xml:space="preserve">повышение экологической безопасности электростанций ПАО «Камчатскэнерго» посредством своевременного обнаружения превышения предельно допустимых концентраций нефтепродуктов в водных средах ТЭС и оперативного принятие мер по устранению причин загрязнения;</w:t>
      </w:r>
      <w:r>
        <w:rPr>
          <w:lang w:val="ru-RU"/>
        </w:rPr>
      </w:r>
      <w:r>
        <w:rPr>
          <w:lang w:val="ru-RU"/>
        </w:rPr>
      </w:r>
    </w:p>
    <w:p>
      <w:pPr>
        <w:pStyle w:val="1091"/>
        <w:numPr>
          <w:ilvl w:val="0"/>
          <w:numId w:val="16"/>
        </w:numPr>
        <w:ind w:left="0" w:firstLine="426"/>
        <w:jc w:val="both"/>
        <w:spacing w:line="276" w:lineRule="auto"/>
        <w:rPr>
          <w:lang w:val="ru-RU"/>
        </w:rPr>
      </w:pPr>
      <w:r>
        <w:rPr>
          <w:rFonts w:ascii="Arial Narrow" w:hAnsi="Arial Narrow" w:cs="Calibri"/>
          <w:sz w:val="24"/>
          <w:szCs w:val="24"/>
          <w:lang w:val="ru-RU"/>
        </w:rPr>
        <w:t xml:space="preserve">повышение надежности оборудования и снижение затрат на капитальный ремонт и замену оборудования;</w:t>
      </w:r>
      <w:r>
        <w:rPr>
          <w:lang w:val="ru-RU"/>
        </w:rPr>
      </w:r>
      <w:r>
        <w:rPr>
          <w:lang w:val="ru-RU"/>
        </w:rPr>
      </w:r>
    </w:p>
    <w:p>
      <w:pPr>
        <w:pStyle w:val="1091"/>
        <w:numPr>
          <w:ilvl w:val="0"/>
          <w:numId w:val="16"/>
        </w:numPr>
        <w:ind w:left="0" w:firstLine="426"/>
        <w:jc w:val="both"/>
        <w:spacing w:line="276" w:lineRule="auto"/>
        <w:rPr>
          <w:lang w:val="ru-RU"/>
        </w:rPr>
      </w:pPr>
      <w:r>
        <w:rPr>
          <w:rFonts w:ascii="Arial Narrow" w:hAnsi="Arial Narrow" w:cs="Calibri"/>
          <w:sz w:val="24"/>
          <w:szCs w:val="24"/>
          <w:lang w:val="ru-RU"/>
        </w:rPr>
        <w:t xml:space="preserve">снижение аварийных ситуаций и внеплановых остановов за счет уменьшения коррозионных повреждений трубопроводов и оборудования;</w:t>
      </w:r>
      <w:r>
        <w:rPr>
          <w:lang w:val="ru-RU"/>
        </w:rPr>
      </w:r>
      <w:r>
        <w:rPr>
          <w:lang w:val="ru-RU"/>
        </w:rPr>
      </w:r>
    </w:p>
    <w:p>
      <w:pPr>
        <w:pStyle w:val="1091"/>
        <w:numPr>
          <w:ilvl w:val="0"/>
          <w:numId w:val="16"/>
        </w:numPr>
        <w:ind w:left="0" w:firstLine="426"/>
        <w:jc w:val="both"/>
        <w:spacing w:line="276" w:lineRule="auto"/>
        <w:rPr>
          <w:lang w:val="ru-RU"/>
        </w:rPr>
      </w:pPr>
      <w:r>
        <w:rPr>
          <w:rFonts w:ascii="Arial Narrow" w:hAnsi="Arial Narrow" w:cs="Calibri"/>
          <w:sz w:val="24"/>
          <w:szCs w:val="24"/>
          <w:lang w:val="ru-RU"/>
        </w:rPr>
        <w:t xml:space="preserve">снижение пережога топлива за счет снижения интенсивности образования термобарьерных отложений.</w:t>
      </w:r>
      <w:r>
        <w:rPr>
          <w:lang w:val="ru-RU"/>
        </w:rPr>
      </w:r>
      <w:r>
        <w:rPr>
          <w:lang w:val="ru-RU"/>
        </w:rPr>
      </w:r>
    </w:p>
    <w:p>
      <w:pPr>
        <w:pStyle w:val="1063"/>
        <w:ind w:firstLine="567"/>
        <w:jc w:val="both"/>
      </w:pPr>
      <w:r>
        <w:rPr>
          <w:rFonts w:ascii="Arial Narrow" w:hAnsi="Arial Narrow" w:cs="Calibri"/>
        </w:rPr>
        <w:t xml:space="preserve">Работа предусмотрена в 3 Этапа:</w:t>
      </w:r>
      <w:r/>
    </w:p>
    <w:p>
      <w:pPr>
        <w:pStyle w:val="1063"/>
        <w:ind w:firstLine="567"/>
        <w:jc w:val="both"/>
      </w:pPr>
      <w:r>
        <w:rPr>
          <w:rFonts w:ascii="Arial Narrow" w:hAnsi="Arial Narrow" w:cs="Calibri"/>
        </w:rPr>
        <w:t xml:space="preserve">Этап 1.</w:t>
      </w:r>
      <w:r>
        <w:rPr>
          <w:rFonts w:ascii="Arial Narrow" w:hAnsi="Arial Narrow" w:cs="Calibri"/>
        </w:rPr>
        <w:t xml:space="preserve"> Проведение исследований по определению эффективности применения тензиометрии для контроля нефтепродуктов в водных средах Камчатских ТЭС. Разработка технических решений по мониторингу нефтепродуктов в водных средах Камчатских ТЭС тензиометрическим методом;</w:t>
      </w:r>
      <w:r/>
    </w:p>
    <w:p>
      <w:pPr>
        <w:pStyle w:val="1063"/>
        <w:ind w:firstLine="567"/>
        <w:jc w:val="both"/>
      </w:pPr>
      <w:r>
        <w:rPr>
          <w:rFonts w:ascii="Arial Narrow" w:hAnsi="Arial Narrow" w:cs="Calibri"/>
        </w:rPr>
        <w:t xml:space="preserve">Этап 2. Разработка и изготовление опытного образца диагностической системы для непрерывного мониторинга содержания нефтепродуктов в технической воде электростанции, возвратных и дренажных конденсатах ТЭС ПАО «Камчатскэнерго».</w:t>
      </w:r>
      <w:r/>
    </w:p>
    <w:p>
      <w:pPr>
        <w:pStyle w:val="1063"/>
        <w:ind w:firstLine="567"/>
        <w:jc w:val="both"/>
      </w:pPr>
      <w:r/>
      <w:bookmarkStart w:id="126" w:name="_Ref361320450"/>
      <w:r>
        <w:rPr>
          <w:rFonts w:ascii="Arial Narrow" w:hAnsi="Arial Narrow" w:cs="Calibri"/>
        </w:rPr>
        <w:t xml:space="preserve">Этап 3. Испытани</w:t>
      </w:r>
      <w:r>
        <w:rPr>
          <w:rFonts w:ascii="Arial Narrow" w:hAnsi="Arial Narrow" w:cs="Calibri"/>
        </w:rPr>
        <w:t xml:space="preserve">е и пилотное внедрение опытного образца диагностической системы для непрерывного мониторинга содержания нефтепродуктов в технической воде электростанции, возвратных и дренажных конденсатах ТЭС ПАО "Камчатскэнерго" на одном из объектов ПАО «Камчатскэнерго».</w:t>
      </w:r>
      <w:bookmarkEnd w:id="126"/>
      <w:r/>
      <w:r/>
    </w:p>
    <w:p>
      <w:pPr>
        <w:pStyle w:val="1063"/>
        <w:ind w:firstLine="567"/>
        <w:jc w:val="both"/>
      </w:pPr>
      <w:r>
        <w:rPr>
          <w:rFonts w:ascii="Arial Narrow" w:hAnsi="Arial Narrow" w:cs="Calibri"/>
        </w:rPr>
        <w:t xml:space="preserve">По результатам 2024 года завершены работы по 1 Этапу, произведена оплата в размере </w:t>
      </w:r>
      <w:r>
        <w:rPr>
          <w:rFonts w:ascii="Arial Narrow" w:hAnsi="Arial Narrow" w:cs="Calibri"/>
        </w:rPr>
        <w:br/>
        <w:t xml:space="preserve">11 825,0 тыс. рублей (с НДС).</w:t>
      </w:r>
      <w:r/>
    </w:p>
    <w:p>
      <w:pPr>
        <w:pStyle w:val="1091"/>
        <w:numPr>
          <w:ilvl w:val="0"/>
          <w:numId w:val="15"/>
        </w:numPr>
        <w:ind w:left="0" w:firstLine="567"/>
        <w:jc w:val="both"/>
        <w:spacing w:line="276" w:lineRule="auto"/>
        <w:tabs>
          <w:tab w:val="left" w:pos="993" w:leader="none"/>
        </w:tabs>
        <w:rPr>
          <w:lang w:val="ru-RU"/>
        </w:rPr>
      </w:pPr>
      <w:r>
        <w:rPr>
          <w:rFonts w:ascii="Arial Narrow" w:hAnsi="Arial Narrow" w:eastAsia="Arial" w:cs="Calibri"/>
          <w:sz w:val="24"/>
          <w:szCs w:val="24"/>
          <w:lang w:val="ru-RU" w:eastAsia="en-US"/>
        </w:rPr>
        <w:t xml:space="preserve">Между ПАО «Камчатскэнерго» и АО «ВНИИнефть» заключен договор подряда на выполнение научно-исследовательских, опытно-конструкторских и технологических работ по тем</w:t>
      </w:r>
      <w:r>
        <w:rPr>
          <w:rFonts w:ascii="Arial Narrow" w:hAnsi="Arial Narrow" w:eastAsia="Arial" w:cs="Calibri"/>
          <w:sz w:val="24"/>
          <w:szCs w:val="24"/>
          <w:lang w:val="ru-RU" w:eastAsia="en-US"/>
        </w:rPr>
        <w:t xml:space="preserve">е «Разработка оптимизированной для Мутновского месторождения парогидротерм технологии  восстановления производительности геотермальных скважин, вышедших из строя в результате кольматации фильтровых участков стволов  и трещинных коллекторов подводящих зон».</w:t>
      </w:r>
      <w:r>
        <w:rPr>
          <w:lang w:val="ru-RU"/>
        </w:rPr>
      </w:r>
      <w:r>
        <w:rPr>
          <w:lang w:val="ru-RU"/>
        </w:rPr>
      </w:r>
    </w:p>
    <w:p>
      <w:pPr>
        <w:pStyle w:val="1063"/>
        <w:ind w:firstLine="567"/>
        <w:jc w:val="both"/>
      </w:pPr>
      <w:r>
        <w:rPr>
          <w:rFonts w:ascii="Arial Narrow" w:hAnsi="Arial Narrow" w:cs="Calibri"/>
        </w:rPr>
        <w:t xml:space="preserve">Целью данной работы является разработка направлена на создание оптимизированной для Мутновского месторожд</w:t>
      </w:r>
      <w:r>
        <w:rPr>
          <w:rFonts w:ascii="Arial Narrow" w:hAnsi="Arial Narrow" w:cs="Calibri"/>
        </w:rPr>
        <w:t xml:space="preserve">ения парогидротерм технологии поддержания и восстановления производительности эксплуатационных и реинжекционных геотермальных скважин, вышедших из строя в результате процесса кольматации фильтровых участков стволов и трещинных коллекторов и подводящих зон.</w:t>
      </w:r>
      <w:r/>
    </w:p>
    <w:p>
      <w:pPr>
        <w:pStyle w:val="1063"/>
        <w:ind w:firstLine="567"/>
        <w:jc w:val="both"/>
      </w:pPr>
      <w:r>
        <w:rPr>
          <w:rFonts w:ascii="Arial Narrow" w:hAnsi="Arial Narrow" w:cs="Calibri"/>
        </w:rPr>
        <w:t xml:space="preserve">В перечень Работ по Договору входят:</w:t>
      </w:r>
      <w:r/>
    </w:p>
    <w:p>
      <w:pPr>
        <w:pStyle w:val="1063"/>
        <w:ind w:firstLine="567"/>
        <w:jc w:val="both"/>
      </w:pPr>
      <w:r>
        <w:rPr>
          <w:rFonts w:ascii="Arial Narrow" w:hAnsi="Arial Narrow" w:cs="Calibri"/>
        </w:rPr>
        <w:t xml:space="preserve">1 Этап. Создание и тестирование лабораторного стенда, определение условий выпадения твердой фазы в стволе скважины, выбор линейки ингибиторов;</w:t>
      </w:r>
      <w:r/>
    </w:p>
    <w:p>
      <w:pPr>
        <w:pStyle w:val="1063"/>
        <w:ind w:firstLine="567"/>
        <w:jc w:val="both"/>
      </w:pPr>
      <w:r>
        <w:rPr>
          <w:rFonts w:ascii="Arial Narrow" w:hAnsi="Arial Narrow" w:cs="Calibri"/>
        </w:rPr>
        <w:t xml:space="preserve">2 Этап. Аналитический расчет условий выпадения твердой фазы в стволе. Определение зон с максимальным риском зарастания ствола;</w:t>
      </w:r>
      <w:r/>
    </w:p>
    <w:p>
      <w:pPr>
        <w:pStyle w:val="1063"/>
        <w:ind w:firstLine="567"/>
        <w:jc w:val="both"/>
      </w:pPr>
      <w:r>
        <w:rPr>
          <w:rFonts w:ascii="Arial Narrow" w:hAnsi="Arial Narrow" w:cs="Calibri"/>
        </w:rPr>
        <w:t xml:space="preserve">3 Этап. Отбор пластового флюида. Подбор ингибитора и интерпретация исследований</w:t>
      </w:r>
      <w:bookmarkStart w:id="127" w:name="_Ref361320450_Копия_1"/>
      <w:r>
        <w:rPr>
          <w:rFonts w:ascii="Arial Narrow" w:hAnsi="Arial Narrow" w:cs="Calibri"/>
        </w:rPr>
        <w:t xml:space="preserve">;</w:t>
      </w:r>
      <w:bookmarkEnd w:id="127"/>
      <w:r/>
      <w:r/>
    </w:p>
    <w:p>
      <w:pPr>
        <w:pStyle w:val="1063"/>
        <w:ind w:firstLine="567"/>
        <w:jc w:val="both"/>
      </w:pPr>
      <w:r>
        <w:rPr>
          <w:rFonts w:ascii="Arial Narrow" w:hAnsi="Arial Narrow" w:cs="Calibri"/>
        </w:rPr>
        <w:t xml:space="preserve">4 Этап. Численная модель течения флюида в геотермальной скважине;</w:t>
      </w:r>
      <w:r/>
    </w:p>
    <w:p>
      <w:pPr>
        <w:pStyle w:val="1063"/>
        <w:ind w:firstLine="567"/>
        <w:jc w:val="both"/>
      </w:pPr>
      <w:r>
        <w:rPr>
          <w:rFonts w:ascii="Arial Narrow" w:hAnsi="Arial Narrow" w:cs="Calibri"/>
        </w:rPr>
        <w:t xml:space="preserve">5 Этап. Оценка жизненного цикла скважины. ТЭО. Программа ОПИ;</w:t>
      </w:r>
      <w:r/>
    </w:p>
    <w:p>
      <w:pPr>
        <w:pStyle w:val="1063"/>
        <w:ind w:firstLine="567"/>
        <w:jc w:val="both"/>
      </w:pPr>
      <w:r>
        <w:rPr>
          <w:rFonts w:ascii="Arial Narrow" w:hAnsi="Arial Narrow" w:cs="Calibri"/>
        </w:rPr>
        <w:t xml:space="preserve">6 Этап. Итоговый отчет.</w:t>
      </w:r>
      <w:r/>
    </w:p>
    <w:p>
      <w:pPr>
        <w:pStyle w:val="1063"/>
        <w:ind w:firstLine="567"/>
        <w:jc w:val="both"/>
      </w:pPr>
      <w:r>
        <w:rPr>
          <w:rFonts w:ascii="Arial Narrow" w:hAnsi="Arial Narrow" w:cs="Calibri"/>
        </w:rPr>
        <w:t xml:space="preserve">Реализация данной работы обеспечит:</w:t>
      </w:r>
      <w:r/>
    </w:p>
    <w:p>
      <w:pPr>
        <w:pStyle w:val="1091"/>
        <w:numPr>
          <w:ilvl w:val="0"/>
          <w:numId w:val="16"/>
        </w:numPr>
        <w:ind w:left="0" w:firstLine="426"/>
        <w:jc w:val="both"/>
        <w:spacing w:line="276" w:lineRule="auto"/>
        <w:rPr>
          <w:lang w:val="ru-RU"/>
        </w:rPr>
      </w:pPr>
      <w:r>
        <w:rPr>
          <w:rFonts w:ascii="Arial Narrow" w:hAnsi="Arial Narrow" w:cs="Calibri"/>
          <w:sz w:val="24"/>
          <w:szCs w:val="24"/>
          <w:lang w:val="ru-RU"/>
        </w:rPr>
        <w:t xml:space="preserve">восстановление расходных характеристик эксплуатационных скважин ВМГеоЭС и МГеоЭС-1, производительность которых снизилась в следствии кольматации (зарастании) питающих зон;</w:t>
      </w:r>
      <w:r>
        <w:rPr>
          <w:lang w:val="ru-RU"/>
        </w:rPr>
      </w:r>
      <w:r>
        <w:rPr>
          <w:lang w:val="ru-RU"/>
        </w:rPr>
      </w:r>
    </w:p>
    <w:p>
      <w:pPr>
        <w:pStyle w:val="1091"/>
        <w:numPr>
          <w:ilvl w:val="0"/>
          <w:numId w:val="16"/>
        </w:numPr>
        <w:ind w:left="0" w:firstLine="426"/>
        <w:jc w:val="both"/>
        <w:spacing w:line="276" w:lineRule="auto"/>
        <w:rPr>
          <w:lang w:val="ru-RU"/>
        </w:rPr>
      </w:pPr>
      <w:r>
        <w:rPr>
          <w:rFonts w:ascii="Arial Narrow" w:hAnsi="Arial Narrow" w:cs="Calibri"/>
          <w:sz w:val="24"/>
          <w:szCs w:val="24"/>
          <w:lang w:val="ru-RU"/>
        </w:rPr>
        <w:t xml:space="preserve">увеличение проницаемости этих зон, также удаление выпавшей твердой фазы в эксплуатационных колоннах скважин добычи и реинжекции;</w:t>
      </w:r>
      <w:r>
        <w:rPr>
          <w:lang w:val="ru-RU"/>
        </w:rPr>
      </w:r>
      <w:r>
        <w:rPr>
          <w:lang w:val="ru-RU"/>
        </w:rPr>
      </w:r>
    </w:p>
    <w:p>
      <w:pPr>
        <w:pStyle w:val="1091"/>
        <w:numPr>
          <w:ilvl w:val="0"/>
          <w:numId w:val="16"/>
        </w:numPr>
        <w:ind w:left="0" w:firstLine="426"/>
        <w:jc w:val="both"/>
        <w:spacing w:line="276" w:lineRule="auto"/>
        <w:rPr>
          <w:lang w:val="ru-RU"/>
        </w:rPr>
      </w:pPr>
      <w:r>
        <w:rPr>
          <w:rFonts w:ascii="Arial Narrow" w:hAnsi="Arial Narrow" w:cs="Calibri"/>
          <w:sz w:val="24"/>
          <w:szCs w:val="24"/>
          <w:lang w:val="ru-RU"/>
        </w:rPr>
        <w:t xml:space="preserve">повышение устойчивости режимов работы скважин, участвующих в технологических схемах ВМГеоЭС и МГеоЭС-1;</w:t>
      </w:r>
      <w:r>
        <w:rPr>
          <w:lang w:val="ru-RU"/>
        </w:rPr>
      </w:r>
      <w:r>
        <w:rPr>
          <w:lang w:val="ru-RU"/>
        </w:rPr>
      </w:r>
    </w:p>
    <w:p>
      <w:pPr>
        <w:pStyle w:val="1091"/>
        <w:numPr>
          <w:ilvl w:val="0"/>
          <w:numId w:val="16"/>
        </w:numPr>
        <w:ind w:left="0" w:firstLine="426"/>
        <w:jc w:val="both"/>
        <w:spacing w:line="276" w:lineRule="auto"/>
        <w:rPr>
          <w:lang w:val="ru-RU"/>
        </w:rPr>
      </w:pPr>
      <w:r>
        <w:rPr>
          <w:rFonts w:ascii="Arial Narrow" w:hAnsi="Arial Narrow" w:cs="Calibri"/>
          <w:sz w:val="24"/>
          <w:szCs w:val="24"/>
          <w:lang w:val="ru-RU"/>
        </w:rPr>
        <w:t xml:space="preserve">построение более точных прогнозов по месторождению и срокам жизни геотермальных скважин на Мутновском месторождении парогидротерм.</w:t>
      </w:r>
      <w:r>
        <w:rPr>
          <w:lang w:val="ru-RU"/>
        </w:rPr>
      </w:r>
      <w:r>
        <w:rPr>
          <w:lang w:val="ru-RU"/>
        </w:rPr>
      </w:r>
    </w:p>
    <w:p>
      <w:pPr>
        <w:pStyle w:val="1063"/>
        <w:ind w:firstLine="567"/>
        <w:jc w:val="both"/>
      </w:pPr>
      <w:r>
        <w:rPr>
          <w:rFonts w:ascii="Arial Narrow" w:hAnsi="Arial Narrow" w:cs="Calibri"/>
        </w:rPr>
        <w:t xml:space="preserve">Помимо этого реализация данного проекта позволит увеличить срок службы рабочих скважин (оценочно) и произвести расконсервацию существующих скважин, что сделает возможным снизить затраты на бурение скважин и строительство трасс ПВС.</w:t>
      </w:r>
      <w:r/>
    </w:p>
    <w:p>
      <w:pPr>
        <w:pStyle w:val="1063"/>
        <w:ind w:firstLine="567"/>
        <w:jc w:val="both"/>
      </w:pPr>
      <w:r>
        <w:rPr>
          <w:rFonts w:ascii="Arial Narrow" w:hAnsi="Arial Narrow" w:cs="Calibri"/>
        </w:rPr>
        <w:t xml:space="preserve">По результатам 2024 года завершены работы по 1 и 2 Этапам, произведена оплата в размере </w:t>
      </w:r>
      <w:r>
        <w:rPr>
          <w:rFonts w:ascii="Arial Narrow" w:hAnsi="Arial Narrow" w:cs="Calibri"/>
        </w:rPr>
        <w:br/>
        <w:t xml:space="preserve">22 188,0 тыс. рублей (с НДС).</w:t>
      </w:r>
      <w:r/>
    </w:p>
    <w:p>
      <w:pPr>
        <w:pStyle w:val="1091"/>
        <w:numPr>
          <w:ilvl w:val="0"/>
          <w:numId w:val="15"/>
        </w:numPr>
        <w:ind w:left="0" w:firstLine="567"/>
        <w:jc w:val="both"/>
        <w:spacing w:line="276" w:lineRule="auto"/>
        <w:tabs>
          <w:tab w:val="left" w:pos="993" w:leader="none"/>
        </w:tabs>
        <w:rPr>
          <w:lang w:val="ru-RU"/>
        </w:rPr>
      </w:pPr>
      <w:r>
        <w:rPr>
          <w:rFonts w:ascii="Arial Narrow" w:hAnsi="Arial Narrow" w:eastAsia="Arial" w:cs="Calibri"/>
          <w:sz w:val="24"/>
          <w:szCs w:val="24"/>
          <w:lang w:val="ru-RU" w:eastAsia="en-US"/>
        </w:rPr>
        <w:t xml:space="preserve">Между ПАО «Камчатскэне</w:t>
      </w:r>
      <w:r>
        <w:rPr>
          <w:rFonts w:ascii="Arial Narrow" w:hAnsi="Arial Narrow" w:eastAsia="Arial" w:cs="Calibri"/>
          <w:sz w:val="24"/>
          <w:szCs w:val="24"/>
          <w:lang w:val="ru-RU" w:eastAsia="en-US"/>
        </w:rPr>
        <w:t xml:space="preserve">рго» и ООО «АЛЛТЕРМ» заключен договор на выполнение научно-исследовательских, опытно-конструкторских и технологических работ по теме «Комплекс глубокой утилизации энергетического потенциала геотермального теплоносителя на базе органического цикла Ренкина».</w:t>
      </w:r>
      <w:r>
        <w:rPr>
          <w:lang w:val="ru-RU"/>
        </w:rPr>
      </w:r>
      <w:r>
        <w:rPr>
          <w:lang w:val="ru-RU"/>
        </w:rPr>
      </w:r>
    </w:p>
    <w:p>
      <w:pPr>
        <w:pStyle w:val="1063"/>
        <w:ind w:firstLine="567"/>
        <w:jc w:val="both"/>
      </w:pPr>
      <w:r>
        <w:rPr>
          <w:rFonts w:ascii="Arial Narrow" w:hAnsi="Arial Narrow" w:cs="Calibri"/>
        </w:rPr>
        <w:t xml:space="preserve">Целью данной работы является создание основных технологических и технических решений для максимально полной утилизации энергии геотермального теплоносителя Мутновского и Паужетского месторождений, в том числе, в виде устьевых энергоблоков.</w:t>
      </w:r>
      <w:r/>
    </w:p>
    <w:p>
      <w:pPr>
        <w:pStyle w:val="1063"/>
        <w:ind w:firstLine="567"/>
        <w:jc w:val="both"/>
      </w:pPr>
      <w:r>
        <w:rPr>
          <w:rFonts w:ascii="Arial Narrow" w:hAnsi="Arial Narrow" w:cs="Calibri"/>
        </w:rPr>
        <w:t xml:space="preserve">Работа предусмотрена в 2 Этапа:</w:t>
      </w:r>
      <w:r/>
    </w:p>
    <w:p>
      <w:pPr>
        <w:pStyle w:val="1063"/>
        <w:ind w:firstLine="567"/>
        <w:jc w:val="both"/>
      </w:pPr>
      <w:r>
        <w:rPr>
          <w:rFonts w:ascii="Arial Narrow" w:hAnsi="Arial Narrow" w:cs="Calibri"/>
        </w:rPr>
        <w:t xml:space="preserve">1 Этап:</w:t>
      </w:r>
      <w:r/>
    </w:p>
    <w:p>
      <w:pPr>
        <w:pStyle w:val="1063"/>
        <w:ind w:firstLine="567"/>
        <w:jc w:val="both"/>
      </w:pPr>
      <w:r>
        <w:rPr>
          <w:rFonts w:ascii="Arial Narrow" w:hAnsi="Arial Narrow" w:cs="Calibri"/>
        </w:rPr>
        <w:t xml:space="preserve">- обследование ГеоЭС Заказчика и обоснование потенциала увеличения мощности станции при внедрении ЭУ ОЦР;</w:t>
      </w:r>
      <w:r/>
    </w:p>
    <w:p>
      <w:pPr>
        <w:pStyle w:val="1063"/>
        <w:ind w:firstLine="567"/>
        <w:jc w:val="both"/>
      </w:pPr>
      <w:r>
        <w:rPr>
          <w:rFonts w:ascii="Arial Narrow" w:hAnsi="Arial Narrow" w:cs="Calibri"/>
        </w:rPr>
        <w:t xml:space="preserve">- обоснование выбора РТ ОЦР;</w:t>
      </w:r>
      <w:r/>
    </w:p>
    <w:p>
      <w:pPr>
        <w:pStyle w:val="1063"/>
        <w:ind w:firstLine="567"/>
        <w:jc w:val="both"/>
      </w:pPr>
      <w:r>
        <w:rPr>
          <w:rFonts w:ascii="Arial Narrow" w:hAnsi="Arial Narrow" w:cs="Calibri"/>
        </w:rPr>
        <w:t xml:space="preserve">- расчетное обоснование параметров цикла ЭУ ОЦР;</w:t>
      </w:r>
      <w:r/>
    </w:p>
    <w:p>
      <w:pPr>
        <w:pStyle w:val="1063"/>
        <w:ind w:firstLine="567"/>
        <w:jc w:val="both"/>
      </w:pPr>
      <w:r>
        <w:rPr>
          <w:rFonts w:ascii="Arial Narrow" w:hAnsi="Arial Narrow" w:cs="Calibri"/>
        </w:rPr>
        <w:t xml:space="preserve">- экспериментальные исследования параметров теплообмена при кипении и конденсации РТ;</w:t>
      </w:r>
      <w:r/>
    </w:p>
    <w:p>
      <w:pPr>
        <w:pStyle w:val="1063"/>
        <w:ind w:firstLine="567"/>
        <w:jc w:val="both"/>
      </w:pPr>
      <w:r>
        <w:rPr>
          <w:rFonts w:ascii="Arial Narrow" w:hAnsi="Arial Narrow" w:cs="Calibri"/>
        </w:rPr>
        <w:t xml:space="preserve">- проведение патентных исследований;</w:t>
      </w:r>
      <w:r/>
    </w:p>
    <w:p>
      <w:pPr>
        <w:pStyle w:val="1063"/>
        <w:ind w:firstLine="567"/>
        <w:jc w:val="both"/>
      </w:pPr>
      <w:r>
        <w:rPr>
          <w:rFonts w:ascii="Arial Narrow" w:hAnsi="Arial Narrow" w:cs="Calibri"/>
        </w:rPr>
        <w:t xml:space="preserve">- выпуск научно-технического отчета.</w:t>
      </w:r>
      <w:r/>
    </w:p>
    <w:p>
      <w:pPr>
        <w:pStyle w:val="1063"/>
        <w:ind w:firstLine="567"/>
        <w:jc w:val="both"/>
      </w:pPr>
      <w:r>
        <w:rPr>
          <w:rFonts w:ascii="Arial Narrow" w:hAnsi="Arial Narrow" w:cs="Calibri"/>
        </w:rPr>
        <w:t xml:space="preserve">2 Этап:</w:t>
      </w:r>
      <w:r/>
    </w:p>
    <w:p>
      <w:pPr>
        <w:pStyle w:val="1063"/>
        <w:ind w:firstLine="567"/>
        <w:jc w:val="both"/>
      </w:pPr>
      <w:r>
        <w:rPr>
          <w:rFonts w:ascii="Arial Narrow" w:hAnsi="Arial Narrow" w:cs="Calibri"/>
        </w:rPr>
        <w:t xml:space="preserve">- разработка и согласование с Заказчиком эскизного проекта опытного образца ЭУ ОЦР;</w:t>
      </w:r>
      <w:r/>
    </w:p>
    <w:p>
      <w:pPr>
        <w:pStyle w:val="1063"/>
        <w:ind w:firstLine="567"/>
        <w:jc w:val="both"/>
      </w:pPr>
      <w:r>
        <w:rPr>
          <w:rFonts w:ascii="Arial Narrow" w:hAnsi="Arial Narrow" w:cs="Calibri"/>
        </w:rPr>
        <w:t xml:space="preserve">- разработка и согласование с Заказчиком технических требований на основное оборудование ЭУ ОЦР с обеспечением максимальной степени локализации;</w:t>
      </w:r>
      <w:r/>
    </w:p>
    <w:p>
      <w:pPr>
        <w:pStyle w:val="1063"/>
        <w:ind w:firstLine="567"/>
        <w:jc w:val="both"/>
      </w:pPr>
      <w:r>
        <w:rPr>
          <w:rFonts w:ascii="Arial Narrow" w:hAnsi="Arial Narrow" w:cs="Calibri"/>
        </w:rPr>
        <w:t xml:space="preserve">- анализ производственных возможностей отечественных предприятий и разработка перечня производителей оборудования ЭУ ОЦР;</w:t>
      </w:r>
      <w:r/>
    </w:p>
    <w:p>
      <w:pPr>
        <w:pStyle w:val="1063"/>
        <w:ind w:firstLine="567"/>
        <w:jc w:val="both"/>
      </w:pPr>
      <w:r>
        <w:rPr>
          <w:rFonts w:ascii="Arial Narrow" w:hAnsi="Arial Narrow" w:cs="Calibri"/>
        </w:rPr>
        <w:t xml:space="preserve">- разработка и согласование с Заказчиком технического проекта опытного образца ЭУ ОЦР;</w:t>
      </w:r>
      <w:r/>
    </w:p>
    <w:p>
      <w:pPr>
        <w:pStyle w:val="1063"/>
        <w:ind w:firstLine="567"/>
        <w:jc w:val="both"/>
      </w:pPr>
      <w:r>
        <w:rPr>
          <w:rFonts w:ascii="Arial Narrow" w:hAnsi="Arial Narrow" w:cs="Calibri"/>
        </w:rPr>
        <w:t xml:space="preserve">- разработка и согласование с Заказчиком предварительного ТЭО на техническое перевооружение ГеоЭС Заказчика с вводом ЭУ ОЦР;</w:t>
      </w:r>
      <w:r/>
    </w:p>
    <w:p>
      <w:pPr>
        <w:pStyle w:val="1063"/>
        <w:ind w:firstLine="567"/>
        <w:jc w:val="both"/>
      </w:pPr>
      <w:r>
        <w:rPr>
          <w:rFonts w:ascii="Arial Narrow" w:hAnsi="Arial Narrow" w:cs="Calibri"/>
        </w:rPr>
        <w:t xml:space="preserve">- разработка и согласование с Заказчиком ТЗ на изготовление ЭУ ОЦР;</w:t>
      </w:r>
      <w:r/>
    </w:p>
    <w:p>
      <w:pPr>
        <w:pStyle w:val="1063"/>
        <w:ind w:firstLine="567"/>
        <w:jc w:val="both"/>
      </w:pPr>
      <w:r>
        <w:rPr>
          <w:rFonts w:ascii="Arial Narrow" w:hAnsi="Arial Narrow" w:cs="Calibri"/>
        </w:rPr>
        <w:t xml:space="preserve">- разработка и согласование с Заказчиком ТЗ на техническое перевооружение ГеоЭС Заказчика с вводом ЭУ ОЦР;</w:t>
      </w:r>
      <w:r/>
    </w:p>
    <w:p>
      <w:pPr>
        <w:pStyle w:val="1063"/>
        <w:ind w:firstLine="567"/>
        <w:jc w:val="both"/>
      </w:pPr>
      <w:r>
        <w:rPr>
          <w:rFonts w:ascii="Arial Narrow" w:hAnsi="Arial Narrow" w:cs="Calibri"/>
        </w:rPr>
        <w:t xml:space="preserve">- выпуск отчета о научно-исследовательской работе;</w:t>
      </w:r>
      <w:r/>
    </w:p>
    <w:p>
      <w:pPr>
        <w:pStyle w:val="1063"/>
        <w:ind w:firstLine="567"/>
        <w:jc w:val="both"/>
      </w:pPr>
      <w:r>
        <w:rPr>
          <w:rFonts w:ascii="Arial Narrow" w:hAnsi="Arial Narrow" w:cs="Calibri"/>
        </w:rPr>
        <w:t xml:space="preserve">- подготовка проектов патентных заявок.</w:t>
      </w:r>
      <w:r/>
    </w:p>
    <w:p>
      <w:pPr>
        <w:pStyle w:val="1063"/>
        <w:ind w:firstLine="567"/>
        <w:jc w:val="both"/>
      </w:pPr>
      <w:r>
        <w:rPr>
          <w:rFonts w:ascii="Arial Narrow" w:hAnsi="Arial Narrow" w:cs="Calibri"/>
        </w:rPr>
        <w:t xml:space="preserve">В результате выполнения работ ожидается получение дополнительной мощности Мутновской ГеоЭС, а также новых энергоблоков на период проведения плановых выпусков новых скважин.</w:t>
      </w:r>
      <w:r/>
    </w:p>
    <w:p>
      <w:pPr>
        <w:pStyle w:val="1063"/>
        <w:ind w:firstLine="567"/>
        <w:jc w:val="both"/>
      </w:pPr>
      <w:r>
        <w:rPr>
          <w:rFonts w:ascii="Arial Narrow" w:hAnsi="Arial Narrow" w:cs="Calibri"/>
        </w:rPr>
        <w:t xml:space="preserve">Дополнительным преимуществом применения бинарной технологии является снижение теплового загрязнения в случае получения разрешения на сброс отработанного на БЭС сепарата (в цикле установки с ОРТ) за счет снижения его температуры.</w:t>
      </w:r>
      <w:r/>
    </w:p>
    <w:p>
      <w:pPr>
        <w:pStyle w:val="1063"/>
        <w:ind w:firstLine="567"/>
        <w:jc w:val="both"/>
      </w:pPr>
      <w:r>
        <w:rPr>
          <w:rFonts w:ascii="Arial Narrow" w:hAnsi="Arial Narrow" w:cs="Calibri"/>
        </w:rPr>
        <w:t xml:space="preserve"> По результатам 2024 года завершены работы по 1 Этапу, произведена оплата в размере </w:t>
      </w:r>
      <w:r>
        <w:rPr>
          <w:rFonts w:ascii="Arial Narrow" w:hAnsi="Arial Narrow" w:cs="Calibri"/>
        </w:rPr>
        <w:br/>
        <w:t xml:space="preserve">5 280,3 тыс. рублей (без НДС).</w:t>
      </w:r>
      <w:r/>
    </w:p>
    <w:p>
      <w:pPr>
        <w:pStyle w:val="1091"/>
        <w:numPr>
          <w:ilvl w:val="0"/>
          <w:numId w:val="17"/>
        </w:numPr>
        <w:ind w:left="0" w:firstLine="567"/>
        <w:jc w:val="both"/>
        <w:spacing w:line="276" w:lineRule="auto"/>
        <w:tabs>
          <w:tab w:val="left" w:pos="993" w:leader="none"/>
        </w:tabs>
        <w:rPr>
          <w:lang w:val="ru-RU"/>
        </w:rPr>
      </w:pPr>
      <w:r>
        <w:rPr>
          <w:rFonts w:ascii="Arial Narrow" w:hAnsi="Arial Narrow" w:eastAsia="Arial" w:cs="Calibri"/>
          <w:sz w:val="24"/>
          <w:szCs w:val="24"/>
          <w:lang w:val="ru-RU" w:eastAsia="en-US"/>
        </w:rPr>
        <w:t xml:space="preserve">Между ПАО «Камчатскэнерго» и АО «Ленгидропроект» заключен Договор подряда на выполнение изыскательских работ и научно-исследовательских работ для разработки проектной документации на площадке будущего строительства Мутновской ГеоЭС-2 для нужд ПАО</w:t>
      </w:r>
      <w:r>
        <w:rPr>
          <w:rFonts w:ascii="Arial Narrow" w:hAnsi="Arial Narrow" w:eastAsia="Arial" w:cs="Calibri"/>
          <w:sz w:val="24"/>
          <w:szCs w:val="24"/>
          <w:lang w:eastAsia="en-US"/>
        </w:rPr>
        <w:t xml:space="preserve"> </w:t>
      </w:r>
      <w:r>
        <w:rPr>
          <w:rFonts w:ascii="Arial Narrow" w:hAnsi="Arial Narrow" w:eastAsia="Arial" w:cs="Calibri"/>
          <w:sz w:val="24"/>
          <w:szCs w:val="24"/>
          <w:lang w:val="ru-RU" w:eastAsia="en-US"/>
        </w:rPr>
        <w:t xml:space="preserve">«Камчатскэнерго».</w:t>
      </w:r>
      <w:r>
        <w:rPr>
          <w:lang w:val="ru-RU"/>
        </w:rPr>
      </w:r>
      <w:r>
        <w:rPr>
          <w:lang w:val="ru-RU"/>
        </w:rPr>
      </w:r>
    </w:p>
    <w:p>
      <w:pPr>
        <w:pStyle w:val="1063"/>
        <w:ind w:firstLine="567"/>
        <w:jc w:val="both"/>
      </w:pPr>
      <w:r>
        <w:rPr>
          <w:rFonts w:ascii="Arial Narrow" w:hAnsi="Arial Narrow" w:cs="Calibri"/>
        </w:rPr>
        <w:t xml:space="preserve">Реализация работ предусмотрена в 3 этапа:</w:t>
      </w:r>
      <w:r/>
    </w:p>
    <w:p>
      <w:pPr>
        <w:pStyle w:val="1063"/>
        <w:ind w:firstLine="567"/>
        <w:jc w:val="both"/>
      </w:pPr>
      <w:r>
        <w:rPr>
          <w:rFonts w:ascii="Arial Narrow" w:hAnsi="Arial Narrow" w:cs="Calibri"/>
        </w:rPr>
        <w:t xml:space="preserve">1 Этап. Полевые инженерные изыскания;</w:t>
      </w:r>
      <w:r/>
    </w:p>
    <w:p>
      <w:pPr>
        <w:pStyle w:val="1063"/>
        <w:ind w:firstLine="567"/>
        <w:jc w:val="both"/>
      </w:pPr>
      <w:r>
        <w:rPr>
          <w:rFonts w:ascii="Arial Narrow" w:hAnsi="Arial Narrow" w:cs="Calibri"/>
        </w:rPr>
        <w:t xml:space="preserve">2 Этап. Лабораторные и камеральные инженерные изыскания;</w:t>
      </w:r>
      <w:r/>
    </w:p>
    <w:p>
      <w:pPr>
        <w:pStyle w:val="1063"/>
        <w:ind w:firstLine="567"/>
        <w:jc w:val="both"/>
      </w:pPr>
      <w:r>
        <w:rPr>
          <w:rFonts w:ascii="Arial Narrow" w:hAnsi="Arial Narrow" w:cs="Calibri"/>
        </w:rPr>
        <w:t xml:space="preserve">3 Этап. Научно-исследовательские работы (Оценка пепловой опасности).</w:t>
      </w:r>
      <w:r/>
    </w:p>
    <w:p>
      <w:pPr>
        <w:pStyle w:val="1063"/>
        <w:ind w:firstLine="567"/>
        <w:jc w:val="both"/>
      </w:pPr>
      <w:r>
        <w:rPr>
          <w:rFonts w:ascii="Arial Narrow" w:hAnsi="Arial Narrow" w:cs="Calibri"/>
        </w:rPr>
        <w:t xml:space="preserve">По итогам 2024 года приняты работы по 1 и 2 этапу на сумму 14 988,6 тыс. рублей (без НДС).</w:t>
      </w:r>
      <w:r/>
    </w:p>
    <w:p>
      <w:pPr>
        <w:pStyle w:val="1063"/>
        <w:jc w:val="both"/>
        <w:tabs>
          <w:tab w:val="left" w:pos="566" w:leader="none"/>
          <w:tab w:val="left" w:pos="850" w:leader="none"/>
        </w:tabs>
        <w:rPr>
          <w:rFonts w:ascii="Arial Narrow" w:hAnsi="Arial Narrow" w:cs="Calibri"/>
          <w:color w:val="314e87"/>
          <w:sz w:val="8"/>
          <w:szCs w:val="8"/>
        </w:rPr>
      </w:pPr>
      <w:r>
        <w:rPr>
          <w:rFonts w:ascii="Arial Narrow" w:hAnsi="Arial Narrow" w:cs="Calibri"/>
          <w:color w:val="314e87"/>
          <w:sz w:val="8"/>
          <w:szCs w:val="8"/>
        </w:rPr>
      </w:r>
      <w:r>
        <w:rPr>
          <w:rFonts w:ascii="Arial Narrow" w:hAnsi="Arial Narrow" w:cs="Calibri"/>
          <w:color w:val="314e87"/>
          <w:sz w:val="8"/>
          <w:szCs w:val="8"/>
        </w:rPr>
      </w:r>
      <w:r>
        <w:rPr>
          <w:rFonts w:ascii="Arial Narrow" w:hAnsi="Arial Narrow" w:cs="Calibri"/>
          <w:color w:val="314e87"/>
          <w:sz w:val="8"/>
          <w:szCs w:val="8"/>
        </w:rPr>
      </w:r>
    </w:p>
    <w:p>
      <w:pPr>
        <w:pStyle w:val="1063"/>
        <w:jc w:val="both"/>
        <w:spacing w:after="120"/>
        <w:tabs>
          <w:tab w:val="left" w:pos="566" w:leader="none"/>
          <w:tab w:val="left" w:pos="850" w:leader="none"/>
        </w:tabs>
      </w:pPr>
      <w:r>
        <w:rPr>
          <w:rFonts w:ascii="Arial Narrow" w:hAnsi="Arial Narrow" w:cs="Calibri"/>
          <w:color w:val="314e87"/>
        </w:rPr>
        <w:t xml:space="preserve">Выполнение мероприятий по развитию системы управления инновационной деятельностью Общества в 2024 году</w:t>
      </w:r>
      <w:r/>
    </w:p>
    <w:p>
      <w:pPr>
        <w:pStyle w:val="1063"/>
        <w:ind w:firstLine="567"/>
        <w:jc w:val="both"/>
      </w:pPr>
      <w:r>
        <w:rPr>
          <w:rFonts w:ascii="Arial Narrow" w:hAnsi="Arial Narrow" w:cs="Calibri"/>
        </w:rPr>
        <w:t xml:space="preserve">В инновационной деятельности ПАО «Камчатскэнерго» руководствуется:</w:t>
      </w:r>
      <w:r/>
    </w:p>
    <w:p>
      <w:pPr>
        <w:pStyle w:val="1091"/>
        <w:numPr>
          <w:ilvl w:val="0"/>
          <w:numId w:val="7"/>
        </w:numPr>
        <w:ind w:left="0" w:firstLine="567"/>
        <w:jc w:val="both"/>
        <w:spacing w:line="276" w:lineRule="auto"/>
        <w:tabs>
          <w:tab w:val="left" w:pos="850" w:leader="none"/>
        </w:tabs>
        <w:rPr>
          <w:lang w:val="ru-RU"/>
        </w:rPr>
      </w:pPr>
      <w:r>
        <w:rPr>
          <w:rFonts w:ascii="Arial Narrow" w:hAnsi="Arial Narrow" w:cs="Calibri"/>
          <w:sz w:val="24"/>
          <w:szCs w:val="24"/>
          <w:lang w:val="ru-RU" w:eastAsia="en-US"/>
        </w:rPr>
        <w:t xml:space="preserve">Положением о формировании и мониторинге выполнения ПИР, утвержденным приказом ПАО</w:t>
      </w:r>
      <w:r>
        <w:rPr>
          <w:rFonts w:ascii="Arial Narrow" w:hAnsi="Arial Narrow" w:cs="Calibri"/>
          <w:sz w:val="24"/>
          <w:szCs w:val="24"/>
          <w:lang w:eastAsia="en-US"/>
        </w:rPr>
        <w:t xml:space="preserve"> </w:t>
      </w:r>
      <w:r>
        <w:rPr>
          <w:rFonts w:ascii="Arial Narrow" w:hAnsi="Arial Narrow" w:cs="Calibri"/>
          <w:sz w:val="24"/>
          <w:szCs w:val="24"/>
          <w:lang w:val="ru-RU" w:eastAsia="en-US"/>
        </w:rPr>
        <w:t xml:space="preserve">«Камчатскэнерго» от 11.11.2020 № 678 «А»;</w:t>
      </w:r>
      <w:r>
        <w:rPr>
          <w:lang w:val="ru-RU"/>
        </w:rPr>
      </w:r>
      <w:r>
        <w:rPr>
          <w:lang w:val="ru-RU"/>
        </w:rPr>
      </w:r>
    </w:p>
    <w:p>
      <w:pPr>
        <w:pStyle w:val="1091"/>
        <w:numPr>
          <w:ilvl w:val="0"/>
          <w:numId w:val="7"/>
        </w:numPr>
        <w:ind w:left="0" w:firstLine="567"/>
        <w:jc w:val="both"/>
        <w:spacing w:line="276" w:lineRule="auto"/>
        <w:tabs>
          <w:tab w:val="left" w:pos="850" w:leader="none"/>
        </w:tabs>
        <w:rPr>
          <w:lang w:val="ru-RU"/>
        </w:rPr>
      </w:pPr>
      <w:r>
        <w:rPr>
          <w:rFonts w:ascii="Arial Narrow" w:hAnsi="Arial Narrow" w:cs="Calibri"/>
          <w:sz w:val="24"/>
          <w:szCs w:val="24"/>
          <w:lang w:val="ru-RU" w:eastAsia="en-US"/>
        </w:rPr>
        <w:t xml:space="preserve">Регламентом процесса «Управление научно-исследовательскими и опытно-конструкторскими работами в Группе РусГидро», утвержденные приказом ПАО «РусГидро» от 01.06.2020 № 419 (приняты к исполнению в рамках приказа ПАО «Камчатскэнерго» от 11.06.2020 № 336 «А»);</w:t>
      </w:r>
      <w:r>
        <w:rPr>
          <w:lang w:val="ru-RU"/>
        </w:rPr>
      </w:r>
      <w:r>
        <w:rPr>
          <w:lang w:val="ru-RU"/>
        </w:rPr>
      </w:r>
    </w:p>
    <w:p>
      <w:pPr>
        <w:pStyle w:val="1091"/>
        <w:numPr>
          <w:ilvl w:val="0"/>
          <w:numId w:val="7"/>
        </w:numPr>
        <w:ind w:left="0" w:firstLine="567"/>
        <w:jc w:val="both"/>
        <w:spacing w:line="276" w:lineRule="auto"/>
        <w:tabs>
          <w:tab w:val="left" w:pos="850" w:leader="none"/>
        </w:tabs>
        <w:rPr>
          <w:lang w:val="ru-RU"/>
        </w:rPr>
      </w:pPr>
      <w:r>
        <w:rPr>
          <w:rFonts w:ascii="Arial Narrow" w:hAnsi="Arial Narrow" w:cs="Calibri"/>
          <w:sz w:val="24"/>
          <w:szCs w:val="24"/>
          <w:lang w:val="ru-RU" w:eastAsia="en-US"/>
        </w:rPr>
        <w:t xml:space="preserve">Положением о процессе управления научно-исследовательскими и опытно-конструкторскими работами, утвержденным приказом ПАО «Камчатскэнерго» от 30.12.3021 № 845 «А».</w:t>
      </w:r>
      <w:r>
        <w:rPr>
          <w:lang w:val="ru-RU"/>
        </w:rPr>
      </w:r>
      <w:r>
        <w:rPr>
          <w:lang w:val="ru-RU"/>
        </w:rPr>
      </w:r>
    </w:p>
    <w:p>
      <w:pPr>
        <w:pStyle w:val="1063"/>
        <w:ind w:firstLine="567"/>
        <w:jc w:val="both"/>
      </w:pPr>
      <w:r>
        <w:rPr>
          <w:rFonts w:ascii="Arial Narrow" w:hAnsi="Arial Narrow" w:cs="Calibri"/>
        </w:rPr>
        <w:t xml:space="preserve">В</w:t>
      </w:r>
      <w:r>
        <w:rPr>
          <w:rFonts w:ascii="Arial Narrow" w:hAnsi="Arial Narrow" w:cs="Calibri"/>
        </w:rPr>
        <w:t xml:space="preserve"> целях соблюдения требований Федерального закона от 18.07.2011 № 223-ФЗ «О закупках товаров, работ, услуг отдельно взятыми видами юридических лиц», постановления Правительства Российской Федерации от 18.12.2015 № 1442 «О закупках инновационной продукции, в</w:t>
      </w:r>
      <w:r>
        <w:rPr>
          <w:rFonts w:ascii="Arial Narrow" w:hAnsi="Arial Narrow" w:cs="Calibri"/>
        </w:rPr>
        <w:t xml:space="preserve">ысокотехнологичной продукции отдельными видами юридических лиц и внесении изменений в отдельные акты Правительства Российской Федерации» в ПАО «Камчатскэнерго» ежегодно утверждается План закупки инновационной и (или) высокотехнологичной продукции Общества.</w:t>
      </w:r>
      <w:r/>
    </w:p>
    <w:p>
      <w:pPr>
        <w:pStyle w:val="1063"/>
        <w:ind w:firstLine="567"/>
        <w:jc w:val="both"/>
      </w:pPr>
      <w:r>
        <w:rPr>
          <w:rFonts w:ascii="Arial Narrow" w:hAnsi="Arial Narrow" w:cs="Calibri"/>
        </w:rPr>
        <w:t xml:space="preserve">На основании Регламента процесса «Подготовка, корректировка и мониторинг выполнения планов закупки инновационной и (или) высокотехнологичной продукции ПАО «РусГидро» и его подконтрольными организациями», утвержденного приказом ПАО </w:t>
      </w:r>
      <w:r>
        <w:rPr>
          <w:rFonts w:ascii="Arial Narrow" w:hAnsi="Arial Narrow" w:cs="Calibri"/>
        </w:rPr>
        <w:t xml:space="preserve">«РусГидро» от 31.07.2020 № 584, в ПАО «Камчатскэнерго» утвержден Регламент процесса «Подготовка, корректировка и мониторинг выполнения планов закупки инновационной и (или) высокотехнологичной продукции ПАО «Камчатскэнерго» (приказ от 13.08.2020 № 458 «А»).</w:t>
      </w:r>
      <w:r/>
    </w:p>
    <w:p>
      <w:pPr>
        <w:pStyle w:val="1063"/>
        <w:ind w:firstLine="567"/>
        <w:jc w:val="both"/>
      </w:pPr>
      <w:r>
        <w:rPr>
          <w:rFonts w:ascii="Arial Narrow" w:hAnsi="Arial Narrow" w:cs="Calibri"/>
        </w:rPr>
        <w:t xml:space="preserve">Для оценки целесообразности внедрения инновационных проектов, а также для рассмотрения планов научно-исследовательских, опытно-конструкторских работ в Обществе проводятся заседания научно-технического совета ПАО «Камчатскэнерго».</w:t>
      </w:r>
      <w:r/>
    </w:p>
    <w:p>
      <w:pPr>
        <w:pStyle w:val="1063"/>
        <w:jc w:val="both"/>
        <w:tabs>
          <w:tab w:val="left" w:pos="566" w:leader="none"/>
          <w:tab w:val="left" w:pos="850" w:leader="none"/>
        </w:tabs>
        <w:rPr>
          <w:rFonts w:ascii="Arial Narrow" w:hAnsi="Arial Narrow" w:cs="Calibri"/>
          <w:color w:val="314e87"/>
          <w:sz w:val="8"/>
          <w:szCs w:val="8"/>
        </w:rPr>
      </w:pPr>
      <w:r>
        <w:rPr>
          <w:rFonts w:ascii="Arial Narrow" w:hAnsi="Arial Narrow" w:cs="Calibri"/>
          <w:color w:val="314e87"/>
          <w:sz w:val="8"/>
          <w:szCs w:val="8"/>
        </w:rPr>
      </w:r>
      <w:r>
        <w:rPr>
          <w:rFonts w:ascii="Arial Narrow" w:hAnsi="Arial Narrow" w:cs="Calibri"/>
          <w:color w:val="314e87"/>
          <w:sz w:val="8"/>
          <w:szCs w:val="8"/>
        </w:rPr>
      </w:r>
      <w:r>
        <w:rPr>
          <w:rFonts w:ascii="Arial Narrow" w:hAnsi="Arial Narrow" w:cs="Calibri"/>
          <w:color w:val="314e87"/>
          <w:sz w:val="8"/>
          <w:szCs w:val="8"/>
        </w:rPr>
      </w:r>
    </w:p>
    <w:p>
      <w:pPr>
        <w:pStyle w:val="1063"/>
        <w:jc w:val="both"/>
        <w:spacing w:after="120"/>
        <w:tabs>
          <w:tab w:val="left" w:pos="566" w:leader="none"/>
          <w:tab w:val="left" w:pos="850" w:leader="none"/>
        </w:tabs>
        <w:rPr>
          <w:b/>
        </w:rPr>
      </w:pPr>
      <w:r>
        <w:rPr>
          <w:rFonts w:ascii="Arial Narrow" w:hAnsi="Arial Narrow" w:cs="Calibri"/>
          <w:b/>
          <w:color w:val="314e87"/>
        </w:rPr>
        <w:t xml:space="preserve">Мероприятия в области освоения новых технологий</w:t>
      </w:r>
      <w:r>
        <w:rPr>
          <w:b/>
        </w:rPr>
      </w:r>
      <w:r>
        <w:rPr>
          <w:b/>
        </w:rPr>
      </w:r>
    </w:p>
    <w:p>
      <w:pPr>
        <w:pStyle w:val="1091"/>
        <w:numPr>
          <w:ilvl w:val="0"/>
          <w:numId w:val="7"/>
        </w:numPr>
        <w:ind w:left="0" w:firstLine="567"/>
        <w:jc w:val="both"/>
        <w:spacing w:line="276" w:lineRule="auto"/>
        <w:tabs>
          <w:tab w:val="left" w:pos="850" w:leader="none"/>
        </w:tabs>
        <w:rPr>
          <w:lang w:val="ru-RU"/>
        </w:rPr>
      </w:pPr>
      <w:r>
        <w:rPr>
          <w:rFonts w:ascii="Arial Narrow" w:hAnsi="Arial Narrow" w:cs="Calibri"/>
          <w:sz w:val="24"/>
          <w:szCs w:val="24"/>
          <w:lang w:val="ru-RU" w:eastAsia="en-US"/>
        </w:rPr>
        <w:t xml:space="preserve">Установка счетчиков электрической энергии с возможностью подключения к интеллектуальным системам учета и монтаж коммуникационного оборудования (УСПД, модемы) в Центральном энергоузле ПАО</w:t>
      </w:r>
      <w:r>
        <w:rPr>
          <w:rFonts w:ascii="Arial Narrow" w:hAnsi="Arial Narrow" w:cs="Calibri"/>
          <w:sz w:val="24"/>
          <w:szCs w:val="24"/>
          <w:lang w:eastAsia="en-US"/>
        </w:rPr>
        <w:t xml:space="preserve"> </w:t>
      </w:r>
      <w:r>
        <w:rPr>
          <w:rFonts w:ascii="Arial Narrow" w:hAnsi="Arial Narrow" w:cs="Calibri"/>
          <w:sz w:val="24"/>
          <w:szCs w:val="24"/>
          <w:lang w:val="ru-RU" w:eastAsia="en-US"/>
        </w:rPr>
        <w:t xml:space="preserve">«Камчатскэнерго», класс напряжения 0,23 (0,4) 6-20 кВ (52958 приборов учета).</w:t>
      </w:r>
      <w:r>
        <w:rPr>
          <w:lang w:val="ru-RU"/>
        </w:rPr>
      </w:r>
      <w:r>
        <w:rPr>
          <w:lang w:val="ru-RU"/>
        </w:rPr>
      </w:r>
    </w:p>
    <w:p>
      <w:pPr>
        <w:pStyle w:val="1091"/>
        <w:numPr>
          <w:ilvl w:val="0"/>
          <w:numId w:val="7"/>
        </w:numPr>
        <w:ind w:left="0" w:firstLine="567"/>
        <w:jc w:val="both"/>
        <w:spacing w:line="276" w:lineRule="auto"/>
        <w:tabs>
          <w:tab w:val="left" w:pos="850" w:leader="none"/>
        </w:tabs>
        <w:rPr>
          <w:lang w:val="ru-RU"/>
        </w:rPr>
      </w:pPr>
      <w:r>
        <w:rPr>
          <w:rFonts w:ascii="Arial Narrow" w:hAnsi="Arial Narrow" w:cs="Calibri"/>
          <w:sz w:val="24"/>
          <w:szCs w:val="24"/>
          <w:lang w:val="ru-RU" w:eastAsia="en-US"/>
        </w:rPr>
        <w:t xml:space="preserve">Установка приборов учета в соответствии с Федеральным законом от 27.12.2018 № 522 при истечении МПИ, отсутствии прибора учета у потребителя, выходе </w:t>
      </w:r>
      <w:r>
        <w:rPr>
          <w:rFonts w:ascii="Arial Narrow" w:hAnsi="Arial Narrow" w:cs="Calibri"/>
          <w:sz w:val="24"/>
          <w:szCs w:val="24"/>
          <w:lang w:val="ru-RU" w:eastAsia="en-US"/>
        </w:rPr>
        <w:t xml:space="preserve">из строя, технологическом присоединении и создание интеллектуальной системы учета электроэнергии (выполнение проектных, строительно-монтажных и пусконаладочных работ по созданию интеллектуальной системы учета электроэнергии) в количестве 3 844 точек учета.</w:t>
      </w:r>
      <w:r>
        <w:rPr>
          <w:lang w:val="ru-RU"/>
        </w:rPr>
      </w:r>
      <w:r>
        <w:rPr>
          <w:lang w:val="ru-RU"/>
        </w:rPr>
      </w:r>
    </w:p>
    <w:p>
      <w:pPr>
        <w:pStyle w:val="1091"/>
        <w:numPr>
          <w:ilvl w:val="0"/>
          <w:numId w:val="7"/>
        </w:numPr>
        <w:ind w:left="0" w:firstLine="567"/>
        <w:jc w:val="both"/>
        <w:spacing w:line="276" w:lineRule="auto"/>
        <w:tabs>
          <w:tab w:val="left" w:pos="850" w:leader="none"/>
        </w:tabs>
        <w:rPr>
          <w:lang w:val="ru-RU"/>
        </w:rPr>
      </w:pPr>
      <w:r>
        <w:rPr>
          <w:rFonts w:ascii="Arial Narrow" w:hAnsi="Arial Narrow" w:cs="Calibri"/>
          <w:sz w:val="24"/>
          <w:szCs w:val="24"/>
          <w:lang w:val="ru-RU" w:eastAsia="en-US"/>
        </w:rPr>
        <w:t xml:space="preserve">Установка приборов учета в соответствии с Федеральным законом от 27.12.2018 № 522 при истечении МПИ, при отсутствии прибора учета и выходе прибора учета из строя у потребителя, класс напряжения 0,23 (0,4) кВ (4 573 прибора учета)</w:t>
      </w:r>
      <w:r>
        <w:rPr>
          <w:lang w:val="ru-RU"/>
        </w:rPr>
      </w:r>
      <w:r>
        <w:rPr>
          <w:lang w:val="ru-RU"/>
        </w:rPr>
      </w:r>
    </w:p>
    <w:p>
      <w:pPr>
        <w:pStyle w:val="1063"/>
        <w:ind w:firstLine="567"/>
        <w:jc w:val="both"/>
      </w:pPr>
      <w:r>
        <w:rPr>
          <w:rFonts w:ascii="Arial Narrow" w:hAnsi="Arial Narrow" w:cs="Calibri"/>
        </w:rPr>
        <w:t xml:space="preserve">Реализация про</w:t>
      </w:r>
      <w:r>
        <w:rPr>
          <w:rFonts w:ascii="Arial Narrow" w:hAnsi="Arial Narrow" w:cs="Calibri"/>
        </w:rPr>
        <w:t xml:space="preserve">ектов обеспечит выполнение федерального законодательства, а также позволит исключить возможность скрытого подключения и хищения электрической энергии. В ходе выполнения мероприятия установлены современные приборы учета с дополнительными датчиками мощности.</w:t>
      </w:r>
      <w:r/>
    </w:p>
    <w:p>
      <w:pPr>
        <w:pStyle w:val="1063"/>
        <w:ind w:firstLine="567"/>
        <w:jc w:val="both"/>
      </w:pPr>
      <w:r>
        <w:rPr>
          <w:rFonts w:ascii="Arial Narrow" w:hAnsi="Arial Narrow" w:cs="Calibri"/>
        </w:rPr>
        <w:t xml:space="preserve">Фактическое финансирование в 2024 году составило 88 065,8 тыс. рублей (с НДС).</w:t>
      </w:r>
      <w:r/>
    </w:p>
    <w:p>
      <w:pPr>
        <w:pStyle w:val="1063"/>
        <w:ind w:firstLine="567"/>
        <w:jc w:val="both"/>
      </w:pPr>
      <w:r>
        <w:rPr>
          <w:rFonts w:ascii="Arial Narrow" w:hAnsi="Arial Narrow" w:cs="Calibri"/>
        </w:rPr>
        <w:t xml:space="preserve">Мероприятия в области совершенствования организации инновационной деятельности и бизнес-процессов в Обществе в 2024 году не проводились.</w:t>
      </w:r>
      <w:r/>
    </w:p>
    <w:p>
      <w:pPr>
        <w:pStyle w:val="1063"/>
        <w:jc w:val="both"/>
        <w:tabs>
          <w:tab w:val="left" w:pos="566" w:leader="none"/>
          <w:tab w:val="left" w:pos="850" w:leader="none"/>
        </w:tabs>
        <w:rPr>
          <w:rFonts w:ascii="Arial Narrow" w:hAnsi="Arial Narrow" w:cs="Calibri"/>
          <w:color w:val="314e87"/>
          <w:sz w:val="12"/>
          <w:szCs w:val="12"/>
        </w:rPr>
      </w:pPr>
      <w:r>
        <w:rPr>
          <w:rFonts w:ascii="Arial Narrow" w:hAnsi="Arial Narrow" w:cs="Calibri"/>
          <w:color w:val="314e87"/>
          <w:sz w:val="12"/>
          <w:szCs w:val="12"/>
        </w:rPr>
      </w:r>
      <w:r>
        <w:rPr>
          <w:rFonts w:ascii="Arial Narrow" w:hAnsi="Arial Narrow" w:cs="Calibri"/>
          <w:color w:val="314e87"/>
          <w:sz w:val="12"/>
          <w:szCs w:val="12"/>
        </w:rPr>
      </w:r>
      <w:r>
        <w:rPr>
          <w:rFonts w:ascii="Arial Narrow" w:hAnsi="Arial Narrow" w:cs="Calibri"/>
          <w:color w:val="314e87"/>
          <w:sz w:val="12"/>
          <w:szCs w:val="12"/>
        </w:rPr>
      </w:r>
    </w:p>
    <w:p>
      <w:pPr>
        <w:pStyle w:val="1063"/>
        <w:jc w:val="both"/>
        <w:spacing w:after="120"/>
        <w:tabs>
          <w:tab w:val="left" w:pos="566" w:leader="none"/>
          <w:tab w:val="left" w:pos="850" w:leader="none"/>
        </w:tabs>
      </w:pPr>
      <w:r>
        <w:rPr>
          <w:rFonts w:ascii="Arial Narrow" w:hAnsi="Arial Narrow" w:cs="Calibri"/>
          <w:color w:val="314e87"/>
        </w:rPr>
        <w:t xml:space="preserve">Планы и задачи Общества в области инновационного развития на 2025 году</w:t>
      </w:r>
      <w:r/>
    </w:p>
    <w:p>
      <w:pPr>
        <w:pStyle w:val="1063"/>
        <w:ind w:firstLine="567"/>
        <w:jc w:val="both"/>
      </w:pPr>
      <w:r>
        <w:rPr>
          <w:rFonts w:ascii="Arial Narrow" w:hAnsi="Arial Narrow" w:cs="Calibri"/>
        </w:rPr>
        <w:t xml:space="preserve">1. Выполнение мероприятий, предусмотренных проектом Среднесрочного плана реализации мероприятий Программы инновационного развития Группы РусГидро в части ПАО «Камчатскэнерго» </w:t>
      </w:r>
      <w:r>
        <w:rPr>
          <w:rFonts w:ascii="Arial Narrow" w:hAnsi="Arial Narrow" w:cs="Calibri"/>
        </w:rPr>
        <w:br/>
        <w:t xml:space="preserve">в 2025 году.</w:t>
      </w:r>
      <w:r/>
    </w:p>
    <w:p>
      <w:pPr>
        <w:pStyle w:val="1063"/>
        <w:ind w:firstLine="567"/>
        <w:jc w:val="both"/>
      </w:pPr>
      <w:r>
        <w:rPr>
          <w:rFonts w:ascii="Arial Narrow" w:hAnsi="Arial Narrow" w:cs="Calibri"/>
        </w:rPr>
        <w:t xml:space="preserve">2. Выполнение Плана закупки инновационной и (или) высокотехнологичной продукции Общества.</w:t>
      </w:r>
      <w:r/>
    </w:p>
    <w:p>
      <w:pPr>
        <w:pStyle w:val="1063"/>
        <w:ind w:firstLine="567"/>
        <w:jc w:val="both"/>
        <w:rPr>
          <w:rFonts w:ascii="Arial Narrow" w:hAnsi="Arial Narrow" w:cs="Calibri"/>
        </w:rPr>
      </w:pPr>
      <w:r>
        <w:rPr>
          <w:rFonts w:ascii="Arial Narrow" w:hAnsi="Arial Narrow" w:cs="Calibri"/>
        </w:rPr>
        <w:t xml:space="preserve">3. Завершение НИОКР Разработка и опытно-промышленное внедрение системы защиты от биообрастаний и коррозии трубопроводов циркуляционной воды и конденсаторов турбин ТЭЦ-1 </w:t>
      </w:r>
      <w:r>
        <w:rPr>
          <w:rFonts w:ascii="Arial Narrow" w:hAnsi="Arial Narrow" w:cs="Calibri"/>
        </w:rPr>
        <w:br/>
        <w:t xml:space="preserve">(2022-2025 годы).</w:t>
      </w:r>
      <w:r>
        <w:rPr>
          <w:rFonts w:ascii="Arial Narrow" w:hAnsi="Arial Narrow" w:cs="Calibri"/>
        </w:rPr>
      </w:r>
      <w:r>
        <w:rPr>
          <w:rFonts w:ascii="Arial Narrow" w:hAnsi="Arial Narrow" w:cs="Calibri"/>
        </w:rPr>
      </w:r>
    </w:p>
    <w:p>
      <w:pPr>
        <w:pStyle w:val="1063"/>
        <w:ind w:firstLine="567"/>
        <w:jc w:val="both"/>
      </w:pPr>
      <w:r>
        <w:rPr>
          <w:rFonts w:ascii="Arial Narrow" w:hAnsi="Arial Narrow" w:cs="Calibri"/>
        </w:rPr>
        <w:t xml:space="preserve">4. Завершение НИОКР Комплекс глубокой утилизации энергетического потенциала геотермального теплоносителя на базе органического цикла Ренкина (2024-2025 годы).</w:t>
      </w:r>
      <w:r/>
    </w:p>
    <w:p>
      <w:pPr>
        <w:pStyle w:val="1063"/>
        <w:ind w:firstLine="567"/>
        <w:jc w:val="both"/>
      </w:pPr>
      <w:r>
        <w:rPr>
          <w:rFonts w:ascii="Arial Narrow" w:hAnsi="Arial Narrow" w:cs="Calibri"/>
        </w:rPr>
        <w:t xml:space="preserve">5. Выполнение НИОКР Создание диагностической системы для непрерывного мониторинга содержания нефтепродуктов в технической воде электростанции, возвратных и дренажных конденсатах ТЭС (2024-2026 годы).</w:t>
      </w:r>
      <w:r/>
    </w:p>
    <w:p>
      <w:pPr>
        <w:pStyle w:val="1063"/>
        <w:ind w:firstLine="567"/>
        <w:jc w:val="both"/>
      </w:pPr>
      <w:r>
        <w:rPr>
          <w:rFonts w:ascii="Arial Narrow" w:hAnsi="Arial Narrow" w:cs="Calibri"/>
        </w:rPr>
        <w:t xml:space="preserve">6. Завершение и</w:t>
      </w:r>
      <w:r>
        <w:rPr>
          <w:rFonts w:ascii="Arial Narrow" w:hAnsi="Arial Narrow" w:cs="Calibri"/>
        </w:rPr>
        <w:t xml:space="preserve">нженерных и научно-исследовательских работ в части выполнения 3 этапа Научно-исследовательские работы (Оценка пепловой опасности) в рамках разработки проектной документации на строительство Мутновской ГеоЭС-2 для нужд ПАО «Камчатскэнерго» (2024-2025 годы).</w:t>
      </w:r>
      <w:r/>
    </w:p>
    <w:p>
      <w:pPr>
        <w:pStyle w:val="1063"/>
        <w:ind w:firstLine="567"/>
        <w:jc w:val="both"/>
      </w:pPr>
      <w:r>
        <w:rPr>
          <w:rFonts w:ascii="Arial Narrow" w:hAnsi="Arial Narrow" w:cs="Calibri"/>
        </w:rPr>
        <w:t xml:space="preserve">6. Продолжение производства работ по НИОКР Разработка </w:t>
      </w:r>
      <w:r>
        <w:rPr>
          <w:rFonts w:ascii="Arial Narrow" w:hAnsi="Arial Narrow" w:cs="Calibri"/>
        </w:rPr>
        <w:t xml:space="preserve">оптимизированной для Мутновского месторождения парогидротерм технологии восстановления производительности геотермальных скважин, вышедших из строя в результате кольматации фильтровых участков стволов и трещинных коллекторов подводящих зон (2024-2026 годы).</w:t>
      </w:r>
      <w:r/>
    </w:p>
    <w:p>
      <w:pPr>
        <w:pStyle w:val="1063"/>
        <w:ind w:firstLine="567"/>
        <w:jc w:val="both"/>
      </w:pPr>
      <w:r>
        <w:rPr>
          <w:rFonts w:ascii="Arial Narrow" w:hAnsi="Arial Narrow" w:cs="Calibri"/>
        </w:rPr>
        <w:t xml:space="preserve">7. Заключение договора и начало производства работ по НИОКР Проведение мониторинга эрозионного износа лопаток последних ступеней паровых турбин и разработка способа упрочнения стеллитовых пластин (2025-2027 годы).</w:t>
      </w:r>
      <w:r/>
    </w:p>
    <w:p>
      <w:pPr>
        <w:pStyle w:val="1063"/>
        <w:ind w:firstLine="567"/>
        <w:jc w:val="both"/>
      </w:pPr>
      <w:r>
        <w:rPr>
          <w:rFonts w:ascii="Arial Narrow" w:hAnsi="Arial Narrow" w:cs="Calibri"/>
        </w:rPr>
        <w:t xml:space="preserve">8. Заключение договора и начало производства работ по НИОКР Разработка технологии электросвар</w:t>
      </w:r>
      <w:r>
        <w:rPr>
          <w:rFonts w:ascii="Arial Narrow" w:hAnsi="Arial Narrow" w:cs="Calibri"/>
        </w:rPr>
        <w:t xml:space="preserve">очных работ по устранению порывов на трубопроводах и резервуарах с возможностью производства работ при пониженных температурах окружающей среды до - 20°С, без опорожнения с остаточным давлением до 3,0 кг/см2. и температурой воды до 115° С (2025-2028 годы).</w:t>
      </w:r>
      <w:r/>
    </w:p>
    <w:p>
      <w:pPr>
        <w:pStyle w:val="1063"/>
        <w:ind w:firstLine="567"/>
        <w:jc w:val="both"/>
      </w:pPr>
      <w:r>
        <w:rPr>
          <w:rFonts w:ascii="Arial Narrow" w:hAnsi="Arial Narrow" w:cs="Calibri"/>
        </w:rPr>
        <w:t xml:space="preserve">  9. Заключен</w:t>
      </w:r>
      <w:r>
        <w:rPr>
          <w:rFonts w:ascii="Arial Narrow" w:hAnsi="Arial Narrow" w:cs="Calibri"/>
        </w:rPr>
        <w:t xml:space="preserve">ие договора и начало производства работ по НИОКР Создание системы мониторинга параметров эксплуатационных геотермальных скважин с возможностью дистанционного регулирования и управления системой сбора теплоносителя на Мутновском месторождении парогидротерм </w:t>
      </w:r>
      <w:r>
        <w:rPr>
          <w:rFonts w:ascii="Arial Narrow" w:hAnsi="Arial Narrow" w:cs="Calibri"/>
        </w:rPr>
        <w:br/>
        <w:t xml:space="preserve">(2025-2027 годы).</w:t>
      </w:r>
      <w:r/>
    </w:p>
    <w:p>
      <w:pPr>
        <w:rPr>
          <w:rFonts w:ascii="Arial Narrow" w:hAnsi="Arial Narrow" w:eastAsia="Arial" w:cs="Calibri"/>
          <w:b/>
          <w:i/>
          <w:color w:val="ff0000"/>
          <w:lang w:eastAsia="en-US"/>
        </w:rPr>
      </w:pPr>
      <w:r>
        <w:br w:type="page" w:clear="all"/>
      </w:r>
      <w:r>
        <w:rPr>
          <w:rFonts w:ascii="Arial Narrow" w:hAnsi="Arial Narrow" w:eastAsia="Arial" w:cs="Calibri"/>
          <w:b/>
          <w:i/>
          <w:color w:val="ff0000"/>
          <w:lang w:eastAsia="en-US"/>
        </w:rPr>
      </w:r>
      <w:r>
        <w:rPr>
          <w:rFonts w:ascii="Arial Narrow" w:hAnsi="Arial Narrow" w:eastAsia="Arial" w:cs="Calibri"/>
          <w:b/>
          <w:i/>
          <w:color w:val="ff0000"/>
          <w:lang w:eastAsia="en-US"/>
        </w:rPr>
      </w:r>
    </w:p>
    <w:p>
      <w:pPr>
        <w:pStyle w:val="762"/>
        <w:jc w:val="center"/>
        <w:keepLines w:val="0"/>
        <w:spacing w:before="0" w:after="0" w:line="276" w:lineRule="auto"/>
        <w:rPr>
          <w:rFonts w:ascii="Arial Narrow" w:hAnsi="Arial Narrow" w:eastAsiaTheme="majorEastAsia" w:cstheme="minorHAnsi"/>
          <w:color w:val="314e87"/>
          <w:lang w:eastAsia="en-US"/>
        </w:rPr>
      </w:pPr>
      <w:r/>
      <w:bookmarkStart w:id="128" w:name="_Toc196126999"/>
      <w:r/>
      <w:bookmarkStart w:id="129" w:name="_Toc193883499"/>
      <w:r>
        <w:rPr>
          <w:rFonts w:ascii="Arial Narrow" w:hAnsi="Arial Narrow" w:eastAsiaTheme="majorEastAsia" w:cstheme="minorHAnsi"/>
          <w:b/>
          <w:color w:val="314e87"/>
          <w:sz w:val="28"/>
          <w:szCs w:val="28"/>
          <w:lang w:eastAsia="en-US"/>
        </w:rPr>
        <w:t xml:space="preserve">Раздел 8. КАДРОВАЯ И СОЦИАЛЬНАЯ ПОЛИТИКА</w:t>
      </w:r>
      <w:bookmarkEnd w:id="128"/>
      <w:r/>
      <w:bookmarkEnd w:id="129"/>
      <w:r>
        <w:rPr>
          <w:rFonts w:ascii="Arial Narrow" w:hAnsi="Arial Narrow" w:eastAsiaTheme="majorEastAsia" w:cstheme="minorHAnsi"/>
          <w:color w:val="314e87"/>
          <w:lang w:eastAsia="en-US"/>
        </w:rPr>
      </w:r>
      <w:r>
        <w:rPr>
          <w:rFonts w:ascii="Arial Narrow" w:hAnsi="Arial Narrow" w:eastAsiaTheme="majorEastAsia" w:cstheme="minorHAnsi"/>
          <w:color w:val="314e87"/>
          <w:lang w:eastAsia="en-US"/>
        </w:rPr>
      </w:r>
    </w:p>
    <w:p>
      <w:pPr>
        <w:pStyle w:val="763"/>
        <w:jc w:val="both"/>
        <w:keepLines/>
        <w:spacing w:after="0" w:line="276" w:lineRule="auto"/>
        <w:rPr>
          <w:rFonts w:ascii="Arial Narrow" w:hAnsi="Arial Narrow" w:eastAsiaTheme="majorEastAsia" w:cstheme="minorHAnsi"/>
          <w:color w:val="314e87"/>
          <w:lang w:eastAsia="en-US" w:bidi="ru-RU"/>
        </w:rPr>
      </w:pPr>
      <w:r/>
      <w:bookmarkStart w:id="130" w:name="_Toc193883500"/>
      <w:r/>
      <w:bookmarkStart w:id="131" w:name="_Toc196127000"/>
      <w:r>
        <w:rPr>
          <w:rFonts w:ascii="Arial Narrow" w:hAnsi="Arial Narrow" w:eastAsiaTheme="majorEastAsia" w:cstheme="minorHAnsi"/>
          <w:b/>
          <w:color w:val="314e87"/>
          <w:sz w:val="24"/>
          <w:szCs w:val="24"/>
          <w:lang w:eastAsia="en-US" w:bidi="ru-RU"/>
        </w:rPr>
        <w:t xml:space="preserve">8.1. Кадровая политика Общества</w:t>
      </w:r>
      <w:bookmarkEnd w:id="130"/>
      <w:r/>
      <w:bookmarkEnd w:id="131"/>
      <w:r>
        <w:rPr>
          <w:rFonts w:ascii="Arial Narrow" w:hAnsi="Arial Narrow" w:eastAsiaTheme="majorEastAsia" w:cstheme="minorHAnsi"/>
          <w:color w:val="314e87"/>
          <w:lang w:eastAsia="en-US" w:bidi="ru-RU"/>
        </w:rPr>
      </w:r>
      <w:r>
        <w:rPr>
          <w:rFonts w:ascii="Arial Narrow" w:hAnsi="Arial Narrow" w:eastAsiaTheme="majorEastAsia" w:cstheme="minorHAnsi"/>
          <w:color w:val="314e87"/>
          <w:lang w:eastAsia="en-US" w:bidi="ru-RU"/>
        </w:rPr>
      </w:r>
    </w:p>
    <w:p>
      <w:pPr>
        <w:pStyle w:val="1063"/>
        <w:jc w:val="both"/>
        <w:spacing w:before="120" w:after="120"/>
        <w:tabs>
          <w:tab w:val="left" w:pos="566" w:leader="none"/>
          <w:tab w:val="left" w:pos="850" w:leader="none"/>
        </w:tabs>
        <w:rPr>
          <w:b/>
        </w:rPr>
      </w:pPr>
      <w:r>
        <w:rPr>
          <w:rFonts w:ascii="Arial Narrow" w:hAnsi="Arial Narrow" w:cs="Calibri"/>
          <w:b/>
          <w:color w:val="314e87"/>
        </w:rPr>
        <w:t xml:space="preserve">Списочная численность персонала</w:t>
      </w:r>
      <w:r>
        <w:rPr>
          <w:b/>
        </w:rPr>
      </w:r>
      <w:r>
        <w:rPr>
          <w:b/>
        </w:rPr>
      </w:r>
    </w:p>
    <w:p>
      <w:pPr>
        <w:pStyle w:val="1063"/>
        <w:jc w:val="right"/>
        <w:rPr>
          <w:lang w:val="en-US"/>
        </w:rPr>
      </w:pPr>
      <w:r>
        <w:rPr>
          <w:rFonts w:ascii="Arial Narrow" w:hAnsi="Arial Narrow" w:eastAsia="Calibri" w:cs="Calibri"/>
          <w:i/>
          <w:lang w:eastAsia="ja-JP"/>
        </w:rPr>
        <w:t xml:space="preserve">Таблица № 29</w:t>
      </w:r>
      <w:r>
        <w:rPr>
          <w:lang w:val="en-US"/>
        </w:rPr>
      </w:r>
      <w:r>
        <w:rPr>
          <w:lang w:val="en-US"/>
        </w:rPr>
      </w:r>
    </w:p>
    <w:tbl>
      <w:tblPr>
        <w:tblW w:w="10103" w:type="dxa"/>
        <w:jc w:val="center"/>
        <w:tblLayout w:type="fixed"/>
        <w:tblLook w:val="04A0" w:firstRow="1" w:lastRow="0" w:firstColumn="1" w:lastColumn="0" w:noHBand="0" w:noVBand="1"/>
      </w:tblPr>
      <w:tblGrid>
        <w:gridCol w:w="3542"/>
        <w:gridCol w:w="2256"/>
        <w:gridCol w:w="2019"/>
        <w:gridCol w:w="2286"/>
      </w:tblGrid>
      <w:tr>
        <w:trPr>
          <w:jc w:val="center"/>
          <w:trHeight w:val="45"/>
        </w:trPr>
        <w:tc>
          <w:tcPr>
            <w:tcBorders>
              <w:top w:val="single" w:color="000000" w:sz="4" w:space="0"/>
              <w:left w:val="single" w:color="000000" w:sz="4" w:space="0"/>
              <w:bottom w:val="single" w:color="000000" w:sz="4" w:space="0"/>
              <w:right w:val="single" w:color="000000" w:sz="4" w:space="0"/>
            </w:tcBorders>
            <w:tcW w:w="3541" w:type="dxa"/>
            <w:vAlign w:val="center"/>
            <w:textDirection w:val="lrTb"/>
            <w:noWrap w:val="false"/>
          </w:tcPr>
          <w:p>
            <w:pPr>
              <w:pStyle w:val="1146"/>
              <w:ind w:firstLine="0"/>
              <w:jc w:val="center"/>
              <w:spacing w:line="276" w:lineRule="auto"/>
              <w:widowControl w:val="off"/>
              <w:rPr>
                <w:rFonts w:ascii="Arial Narrow" w:hAnsi="Arial Narrow" w:cs="Calibri"/>
                <w:b/>
                <w:sz w:val="20"/>
              </w:rPr>
            </w:pPr>
            <w:r>
              <w:rPr>
                <w:rFonts w:ascii="Arial Narrow" w:hAnsi="Arial Narrow" w:cs="Calibri"/>
                <w:b/>
                <w:sz w:val="20"/>
              </w:rPr>
            </w:r>
            <w:r>
              <w:rPr>
                <w:rFonts w:ascii="Arial Narrow" w:hAnsi="Arial Narrow" w:cs="Calibri"/>
                <w:b/>
                <w:sz w:val="20"/>
              </w:rPr>
            </w:r>
            <w:r>
              <w:rPr>
                <w:rFonts w:ascii="Arial Narrow" w:hAnsi="Arial Narrow" w:cs="Calibri"/>
                <w:b/>
                <w:sz w:val="20"/>
              </w:rPr>
            </w:r>
          </w:p>
        </w:tc>
        <w:tc>
          <w:tcPr>
            <w:tcBorders>
              <w:top w:val="single" w:color="000000" w:sz="4" w:space="0"/>
              <w:left w:val="single" w:color="000000" w:sz="4" w:space="0"/>
              <w:bottom w:val="single" w:color="000000" w:sz="4" w:space="0"/>
              <w:right w:val="single" w:color="000000" w:sz="4" w:space="0"/>
            </w:tcBorders>
            <w:tcW w:w="2256" w:type="dxa"/>
            <w:vAlign w:val="center"/>
            <w:textDirection w:val="lrTb"/>
            <w:noWrap w:val="false"/>
          </w:tcPr>
          <w:p>
            <w:pPr>
              <w:pStyle w:val="1146"/>
              <w:ind w:firstLine="0"/>
              <w:jc w:val="center"/>
              <w:spacing w:line="276" w:lineRule="auto"/>
              <w:widowControl w:val="off"/>
              <w:rPr>
                <w:sz w:val="20"/>
              </w:rPr>
            </w:pPr>
            <w:r>
              <w:rPr>
                <w:rFonts w:ascii="Arial Narrow" w:hAnsi="Arial Narrow" w:cs="Calibri"/>
                <w:b/>
                <w:sz w:val="20"/>
              </w:rPr>
              <w:t xml:space="preserve">31.12.2022</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2019" w:type="dxa"/>
            <w:vAlign w:val="center"/>
            <w:textDirection w:val="lrTb"/>
            <w:noWrap w:val="false"/>
          </w:tcPr>
          <w:p>
            <w:pPr>
              <w:pStyle w:val="1146"/>
              <w:ind w:firstLine="0"/>
              <w:jc w:val="center"/>
              <w:spacing w:line="276" w:lineRule="auto"/>
              <w:widowControl w:val="off"/>
              <w:rPr>
                <w:sz w:val="20"/>
              </w:rPr>
            </w:pPr>
            <w:r>
              <w:rPr>
                <w:rFonts w:ascii="Arial Narrow" w:hAnsi="Arial Narrow" w:cs="Calibri"/>
                <w:b/>
                <w:sz w:val="20"/>
              </w:rPr>
              <w:t xml:space="preserve">31.12.2023</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2286" w:type="dxa"/>
            <w:vAlign w:val="center"/>
            <w:textDirection w:val="lrTb"/>
            <w:noWrap w:val="false"/>
          </w:tcPr>
          <w:p>
            <w:pPr>
              <w:pStyle w:val="1146"/>
              <w:ind w:firstLine="0"/>
              <w:jc w:val="center"/>
              <w:spacing w:line="276" w:lineRule="auto"/>
              <w:widowControl w:val="off"/>
              <w:rPr>
                <w:sz w:val="20"/>
              </w:rPr>
            </w:pPr>
            <w:r>
              <w:rPr>
                <w:rFonts w:ascii="Arial Narrow" w:hAnsi="Arial Narrow" w:cs="Calibri"/>
                <w:b/>
                <w:sz w:val="20"/>
              </w:rPr>
              <w:t xml:space="preserve">31.12.2024</w:t>
            </w:r>
            <w:r>
              <w:rPr>
                <w:sz w:val="20"/>
              </w:rPr>
            </w:r>
            <w:r>
              <w:rPr>
                <w:sz w:val="20"/>
              </w:rPr>
            </w:r>
          </w:p>
        </w:tc>
      </w:tr>
      <w:tr>
        <w:trPr>
          <w:jc w:val="center"/>
          <w:trHeight w:val="56"/>
        </w:trPr>
        <w:tc>
          <w:tcPr>
            <w:tcBorders>
              <w:top w:val="single" w:color="000000" w:sz="4" w:space="0"/>
              <w:left w:val="single" w:color="000000" w:sz="4" w:space="0"/>
              <w:bottom w:val="single" w:color="000000" w:sz="4" w:space="0"/>
              <w:right w:val="single" w:color="000000" w:sz="4" w:space="0"/>
            </w:tcBorders>
            <w:tcW w:w="3541" w:type="dxa"/>
            <w:textDirection w:val="lrTb"/>
            <w:noWrap w:val="false"/>
          </w:tcPr>
          <w:p>
            <w:pPr>
              <w:pStyle w:val="1146"/>
              <w:ind w:firstLine="0"/>
              <w:jc w:val="center"/>
              <w:spacing w:line="276" w:lineRule="auto"/>
              <w:widowControl w:val="off"/>
              <w:rPr>
                <w:sz w:val="20"/>
              </w:rPr>
            </w:pPr>
            <w:r>
              <w:rPr>
                <w:rFonts w:ascii="Arial Narrow" w:hAnsi="Arial Narrow" w:cs="Calibri"/>
                <w:b/>
                <w:sz w:val="20"/>
              </w:rPr>
              <w:t xml:space="preserve">Работники</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2256"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3 969</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2019"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3 903</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2286"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3 896</w:t>
            </w:r>
            <w:r>
              <w:rPr>
                <w:sz w:val="20"/>
                <w:szCs w:val="20"/>
              </w:rPr>
            </w:r>
            <w:r>
              <w:rPr>
                <w:sz w:val="20"/>
                <w:szCs w:val="20"/>
              </w:rPr>
            </w:r>
          </w:p>
        </w:tc>
      </w:tr>
    </w:tbl>
    <w:p>
      <w:pPr>
        <w:pStyle w:val="1063"/>
        <w:ind w:firstLine="567"/>
        <w:jc w:val="both"/>
      </w:pPr>
      <w:r>
        <w:rPr>
          <w:rFonts w:ascii="Arial Narrow" w:hAnsi="Arial Narrow" w:cs="Calibri"/>
        </w:rPr>
        <w:t xml:space="preserve">Списочная численность персонала ПАО «Камчатскэнерго» по состоянию на 31.12.2024 составила </w:t>
      </w:r>
      <w:r>
        <w:rPr>
          <w:rFonts w:ascii="Arial Narrow" w:hAnsi="Arial Narrow" w:cs="Calibri"/>
        </w:rPr>
        <w:br/>
        <w:t xml:space="preserve">3 896 человек и по сравнению с началом года снизилась на 7 человек. Из списочной численности персонала 75 % мужчин и 25 % женщин.  </w:t>
      </w:r>
      <w:r/>
    </w:p>
    <w:p>
      <w:pPr>
        <w:pStyle w:val="1063"/>
        <w:ind w:firstLine="567"/>
        <w:jc w:val="both"/>
      </w:pPr>
      <w:r>
        <w:rPr>
          <w:rFonts w:ascii="Arial Narrow" w:hAnsi="Arial Narrow" w:cs="Calibri"/>
        </w:rPr>
        <w:t xml:space="preserve">Снижение списочной численности Общества обусловлено естественной текучестью персонала и не является существенной, по сравнению с предыдущим отчетным периодом.</w:t>
      </w:r>
      <w:r/>
    </w:p>
    <w:p>
      <w:pPr>
        <w:pStyle w:val="1063"/>
        <w:ind w:firstLine="567"/>
        <w:jc w:val="both"/>
        <w:rPr>
          <w:rFonts w:ascii="Arial Narrow" w:hAnsi="Arial Narrow" w:cs="Calibri"/>
          <w:sz w:val="12"/>
          <w:szCs w:val="12"/>
        </w:rPr>
      </w:pPr>
      <w:r>
        <w:rPr>
          <w:rFonts w:ascii="Arial Narrow" w:hAnsi="Arial Narrow" w:cs="Calibri"/>
          <w:sz w:val="12"/>
          <w:szCs w:val="12"/>
        </w:rPr>
      </w:r>
      <w:r>
        <w:rPr>
          <w:rFonts w:ascii="Arial Narrow" w:hAnsi="Arial Narrow" w:cs="Calibri"/>
          <w:sz w:val="12"/>
          <w:szCs w:val="12"/>
        </w:rPr>
      </w:r>
      <w:r>
        <w:rPr>
          <w:rFonts w:ascii="Arial Narrow" w:hAnsi="Arial Narrow" w:cs="Calibri"/>
          <w:sz w:val="12"/>
          <w:szCs w:val="12"/>
        </w:rPr>
      </w:r>
    </w:p>
    <w:p>
      <w:pPr>
        <w:pStyle w:val="1063"/>
        <w:jc w:val="both"/>
        <w:tabs>
          <w:tab w:val="left" w:pos="566" w:leader="none"/>
          <w:tab w:val="left" w:pos="850" w:leader="none"/>
        </w:tabs>
        <w:rPr>
          <w:b/>
        </w:rPr>
      </w:pPr>
      <w:r>
        <w:rPr>
          <w:rFonts w:ascii="Arial Narrow" w:hAnsi="Arial Narrow" w:cs="Calibri"/>
          <w:b/>
          <w:color w:val="314e87"/>
        </w:rPr>
        <w:t xml:space="preserve">Возрастной состав работников</w:t>
      </w:r>
      <w:r>
        <w:rPr>
          <w:b/>
        </w:rPr>
      </w:r>
      <w:r>
        <w:rPr>
          <w:b/>
        </w:rPr>
      </w:r>
    </w:p>
    <w:p>
      <w:pPr>
        <w:pStyle w:val="1063"/>
        <w:ind w:left="7200" w:firstLine="720"/>
        <w:jc w:val="right"/>
        <w:rPr>
          <w:lang w:val="en-US"/>
        </w:rPr>
      </w:pPr>
      <w:r>
        <w:rPr>
          <w:rFonts w:ascii="Arial Narrow" w:hAnsi="Arial Narrow" w:eastAsia="Calibri" w:cs="Calibri"/>
          <w:i/>
          <w:lang w:eastAsia="ja-JP"/>
        </w:rPr>
        <w:t xml:space="preserve">        Таблица № 30</w:t>
      </w:r>
      <w:r>
        <w:rPr>
          <w:lang w:val="en-US"/>
        </w:rPr>
      </w:r>
      <w:r>
        <w:rPr>
          <w:lang w:val="en-US"/>
        </w:rPr>
      </w:r>
    </w:p>
    <w:tbl>
      <w:tblPr>
        <w:tblW w:w="10133" w:type="dxa"/>
        <w:jc w:val="center"/>
        <w:tblLayout w:type="fixed"/>
        <w:tblLook w:val="04A0" w:firstRow="1" w:lastRow="0" w:firstColumn="1" w:lastColumn="0" w:noHBand="0" w:noVBand="1"/>
      </w:tblPr>
      <w:tblGrid>
        <w:gridCol w:w="5525"/>
        <w:gridCol w:w="783"/>
        <w:gridCol w:w="765"/>
        <w:gridCol w:w="936"/>
        <w:gridCol w:w="567"/>
        <w:gridCol w:w="907"/>
        <w:gridCol w:w="650"/>
      </w:tblGrid>
      <w:tr>
        <w:trPr>
          <w:jc w:val="center"/>
          <w:trHeight w:val="45"/>
        </w:trPr>
        <w:tc>
          <w:tcPr>
            <w:tcBorders>
              <w:top w:val="single" w:color="000000" w:sz="4" w:space="0"/>
              <w:left w:val="single" w:color="000000" w:sz="4" w:space="0"/>
              <w:bottom w:val="single" w:color="000000" w:sz="4" w:space="0"/>
              <w:right w:val="single" w:color="000000" w:sz="4" w:space="0"/>
            </w:tcBorders>
            <w:tcW w:w="5524" w:type="dxa"/>
            <w:vAlign w:val="center"/>
            <w:vMerge w:val="restart"/>
            <w:textDirection w:val="lrTb"/>
            <w:noWrap w:val="false"/>
          </w:tcPr>
          <w:p>
            <w:pPr>
              <w:pStyle w:val="1146"/>
              <w:ind w:firstLine="0"/>
              <w:jc w:val="center"/>
              <w:widowControl w:val="off"/>
              <w:rPr>
                <w:sz w:val="20"/>
              </w:rPr>
            </w:pPr>
            <w:r>
              <w:rPr>
                <w:rFonts w:ascii="Arial Narrow" w:hAnsi="Arial Narrow" w:cs="Calibri"/>
                <w:b/>
                <w:sz w:val="20"/>
              </w:rPr>
              <w:t xml:space="preserve">Возраст</w:t>
            </w:r>
            <w:r>
              <w:rPr>
                <w:sz w:val="20"/>
              </w:rPr>
            </w:r>
            <w:r>
              <w:rPr>
                <w:sz w:val="20"/>
              </w:rPr>
            </w:r>
          </w:p>
        </w:tc>
        <w:tc>
          <w:tcPr>
            <w:gridSpan w:val="2"/>
            <w:tcBorders>
              <w:top w:val="single" w:color="000000" w:sz="4" w:space="0"/>
              <w:left w:val="single" w:color="000000" w:sz="4" w:space="0"/>
              <w:bottom w:val="single" w:color="000000" w:sz="4" w:space="0"/>
              <w:right w:val="single" w:color="000000" w:sz="4" w:space="0"/>
            </w:tcBorders>
            <w:tcW w:w="1548" w:type="dxa"/>
            <w:vAlign w:val="center"/>
            <w:textDirection w:val="lrTb"/>
            <w:noWrap w:val="false"/>
          </w:tcPr>
          <w:p>
            <w:pPr>
              <w:pStyle w:val="1146"/>
              <w:ind w:firstLine="0"/>
              <w:jc w:val="center"/>
              <w:widowControl w:val="off"/>
              <w:rPr>
                <w:sz w:val="20"/>
              </w:rPr>
            </w:pPr>
            <w:r>
              <w:rPr>
                <w:rFonts w:ascii="Arial Narrow" w:hAnsi="Arial Narrow" w:cs="Calibri"/>
                <w:b/>
                <w:sz w:val="20"/>
              </w:rPr>
              <w:t xml:space="preserve">31.12.2022</w:t>
            </w:r>
            <w:r>
              <w:rPr>
                <w:sz w:val="20"/>
              </w:rPr>
            </w:r>
            <w:r>
              <w:rPr>
                <w:sz w:val="20"/>
              </w:rPr>
            </w:r>
          </w:p>
        </w:tc>
        <w:tc>
          <w:tcPr>
            <w:gridSpan w:val="2"/>
            <w:tcBorders>
              <w:top w:val="single" w:color="000000" w:sz="4" w:space="0"/>
              <w:left w:val="single" w:color="000000" w:sz="4" w:space="0"/>
              <w:bottom w:val="single" w:color="000000" w:sz="4" w:space="0"/>
              <w:right w:val="single" w:color="000000" w:sz="4" w:space="0"/>
            </w:tcBorders>
            <w:tcW w:w="1503" w:type="dxa"/>
            <w:vAlign w:val="center"/>
            <w:textDirection w:val="lrTb"/>
            <w:noWrap w:val="false"/>
          </w:tcPr>
          <w:p>
            <w:pPr>
              <w:pStyle w:val="1146"/>
              <w:ind w:firstLine="0"/>
              <w:jc w:val="center"/>
              <w:widowControl w:val="off"/>
              <w:rPr>
                <w:sz w:val="20"/>
              </w:rPr>
            </w:pPr>
            <w:r>
              <w:rPr>
                <w:rFonts w:ascii="Arial Narrow" w:hAnsi="Arial Narrow" w:cs="Calibri"/>
                <w:b/>
                <w:sz w:val="20"/>
              </w:rPr>
              <w:t xml:space="preserve">31.12.2023</w:t>
            </w:r>
            <w:r>
              <w:rPr>
                <w:sz w:val="20"/>
              </w:rPr>
            </w:r>
            <w:r>
              <w:rPr>
                <w:sz w:val="20"/>
              </w:rPr>
            </w:r>
          </w:p>
        </w:tc>
        <w:tc>
          <w:tcPr>
            <w:gridSpan w:val="2"/>
            <w:tcBorders>
              <w:top w:val="single" w:color="000000" w:sz="4" w:space="0"/>
              <w:left w:val="single" w:color="000000" w:sz="4" w:space="0"/>
              <w:bottom w:val="single" w:color="000000" w:sz="4" w:space="0"/>
              <w:right w:val="single" w:color="000000" w:sz="4" w:space="0"/>
            </w:tcBorders>
            <w:tcW w:w="1557" w:type="dxa"/>
            <w:vAlign w:val="center"/>
            <w:textDirection w:val="lrTb"/>
            <w:noWrap w:val="false"/>
          </w:tcPr>
          <w:p>
            <w:pPr>
              <w:pStyle w:val="1146"/>
              <w:ind w:firstLine="0"/>
              <w:jc w:val="center"/>
              <w:widowControl w:val="off"/>
              <w:rPr>
                <w:sz w:val="20"/>
              </w:rPr>
            </w:pPr>
            <w:r>
              <w:rPr>
                <w:rFonts w:ascii="Arial Narrow" w:hAnsi="Arial Narrow" w:cs="Calibri"/>
                <w:b/>
                <w:sz w:val="20"/>
              </w:rPr>
              <w:t xml:space="preserve">31.12.2024</w:t>
            </w:r>
            <w:r>
              <w:rPr>
                <w:sz w:val="20"/>
              </w:rPr>
            </w:r>
            <w:r>
              <w:rPr>
                <w:sz w:val="20"/>
              </w:rPr>
            </w:r>
          </w:p>
        </w:tc>
      </w:tr>
      <w:tr>
        <w:trPr>
          <w:jc w:val="center"/>
          <w:trHeight w:val="45"/>
        </w:trPr>
        <w:tc>
          <w:tcPr>
            <w:tcBorders>
              <w:top w:val="single" w:color="000000" w:sz="4" w:space="0"/>
              <w:left w:val="single" w:color="000000" w:sz="4" w:space="0"/>
              <w:bottom w:val="single" w:color="000000" w:sz="4" w:space="0"/>
              <w:right w:val="single" w:color="000000" w:sz="4" w:space="0"/>
            </w:tcBorders>
            <w:tcW w:w="5524"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783" w:type="dxa"/>
            <w:vAlign w:val="center"/>
            <w:textDirection w:val="lrTb"/>
            <w:noWrap w:val="false"/>
          </w:tcPr>
          <w:p>
            <w:pPr>
              <w:pStyle w:val="1146"/>
              <w:ind w:firstLine="0"/>
              <w:jc w:val="center"/>
              <w:widowControl w:val="off"/>
              <w:rPr>
                <w:sz w:val="20"/>
              </w:rPr>
            </w:pPr>
            <w:r>
              <w:rPr>
                <w:rFonts w:ascii="Arial Narrow" w:hAnsi="Arial Narrow" w:cs="Calibri"/>
                <w:b/>
                <w:sz w:val="20"/>
              </w:rPr>
              <w:t xml:space="preserve">чел.</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765" w:type="dxa"/>
            <w:vAlign w:val="center"/>
            <w:textDirection w:val="lrTb"/>
            <w:noWrap w:val="false"/>
          </w:tcPr>
          <w:p>
            <w:pPr>
              <w:pStyle w:val="1146"/>
              <w:ind w:firstLine="0"/>
              <w:jc w:val="center"/>
              <w:widowControl w:val="off"/>
              <w:rPr>
                <w:sz w:val="20"/>
              </w:rPr>
            </w:pPr>
            <w:r>
              <w:rPr>
                <w:rFonts w:ascii="Arial Narrow" w:hAnsi="Arial Narrow" w:cs="Calibri"/>
                <w:b/>
                <w:sz w:val="20"/>
              </w:rPr>
              <w:t xml:space="preserve">%</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936" w:type="dxa"/>
            <w:vAlign w:val="center"/>
            <w:textDirection w:val="lrTb"/>
            <w:noWrap w:val="false"/>
          </w:tcPr>
          <w:p>
            <w:pPr>
              <w:pStyle w:val="1146"/>
              <w:ind w:firstLine="0"/>
              <w:jc w:val="center"/>
              <w:widowControl w:val="off"/>
              <w:rPr>
                <w:sz w:val="20"/>
              </w:rPr>
            </w:pPr>
            <w:r>
              <w:rPr>
                <w:rFonts w:ascii="Arial Narrow" w:hAnsi="Arial Narrow" w:cs="Calibri"/>
                <w:b/>
                <w:sz w:val="20"/>
              </w:rPr>
              <w:t xml:space="preserve">чел.</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567" w:type="dxa"/>
            <w:vAlign w:val="center"/>
            <w:textDirection w:val="lrTb"/>
            <w:noWrap w:val="false"/>
          </w:tcPr>
          <w:p>
            <w:pPr>
              <w:pStyle w:val="1146"/>
              <w:ind w:firstLine="0"/>
              <w:jc w:val="center"/>
              <w:widowControl w:val="off"/>
              <w:rPr>
                <w:sz w:val="20"/>
              </w:rPr>
            </w:pPr>
            <w:r>
              <w:rPr>
                <w:rFonts w:ascii="Arial Narrow" w:hAnsi="Arial Narrow" w:cs="Calibri"/>
                <w:b/>
                <w:sz w:val="20"/>
              </w:rPr>
              <w:t xml:space="preserve">%</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907" w:type="dxa"/>
            <w:vAlign w:val="center"/>
            <w:textDirection w:val="lrTb"/>
            <w:noWrap w:val="false"/>
          </w:tcPr>
          <w:p>
            <w:pPr>
              <w:pStyle w:val="1146"/>
              <w:ind w:firstLine="0"/>
              <w:jc w:val="center"/>
              <w:widowControl w:val="off"/>
              <w:rPr>
                <w:sz w:val="20"/>
              </w:rPr>
            </w:pPr>
            <w:r>
              <w:rPr>
                <w:rFonts w:ascii="Arial Narrow" w:hAnsi="Arial Narrow" w:cs="Calibri"/>
                <w:b/>
                <w:sz w:val="20"/>
              </w:rPr>
              <w:t xml:space="preserve">чел.</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650" w:type="dxa"/>
            <w:vAlign w:val="center"/>
            <w:textDirection w:val="lrTb"/>
            <w:noWrap w:val="false"/>
          </w:tcPr>
          <w:p>
            <w:pPr>
              <w:pStyle w:val="1146"/>
              <w:ind w:firstLine="0"/>
              <w:jc w:val="center"/>
              <w:widowControl w:val="off"/>
              <w:rPr>
                <w:sz w:val="20"/>
              </w:rPr>
            </w:pPr>
            <w:r>
              <w:rPr>
                <w:rFonts w:ascii="Arial Narrow" w:hAnsi="Arial Narrow" w:cs="Calibri"/>
                <w:b/>
                <w:sz w:val="20"/>
              </w:rPr>
              <w:t xml:space="preserve">%</w:t>
            </w:r>
            <w:r>
              <w:rPr>
                <w:sz w:val="20"/>
              </w:rPr>
            </w:r>
            <w:r>
              <w:rPr>
                <w:sz w:val="20"/>
              </w:rPr>
            </w:r>
          </w:p>
        </w:tc>
      </w:tr>
      <w:tr>
        <w:trPr>
          <w:jc w:val="center"/>
          <w:trHeight w:val="45"/>
        </w:trPr>
        <w:tc>
          <w:tcPr>
            <w:tcBorders>
              <w:top w:val="single" w:color="000000" w:sz="4" w:space="0"/>
              <w:left w:val="single" w:color="000000" w:sz="4" w:space="0"/>
              <w:bottom w:val="single" w:color="000000" w:sz="4" w:space="0"/>
              <w:right w:val="single" w:color="000000" w:sz="4" w:space="0"/>
            </w:tcBorders>
            <w:tcW w:w="5524" w:type="dxa"/>
            <w:vAlign w:val="center"/>
            <w:textDirection w:val="lrTb"/>
            <w:noWrap w:val="false"/>
          </w:tcPr>
          <w:p>
            <w:pPr>
              <w:pStyle w:val="1146"/>
              <w:ind w:firstLine="0"/>
              <w:jc w:val="left"/>
              <w:widowControl w:val="off"/>
              <w:rPr>
                <w:sz w:val="20"/>
              </w:rPr>
            </w:pPr>
            <w:r>
              <w:rPr>
                <w:rFonts w:ascii="Arial Narrow" w:hAnsi="Arial Narrow" w:cs="Calibri"/>
                <w:sz w:val="20"/>
              </w:rPr>
              <w:t xml:space="preserve">До 30 лет</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783"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320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765"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8,1</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36"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293</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67"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7,5</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07"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307</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650"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7,9</w:t>
            </w:r>
            <w:r>
              <w:rPr>
                <w:sz w:val="20"/>
                <w:szCs w:val="20"/>
              </w:rPr>
            </w:r>
            <w:r>
              <w:rPr>
                <w:sz w:val="20"/>
                <w:szCs w:val="20"/>
              </w:rPr>
            </w:r>
          </w:p>
        </w:tc>
      </w:tr>
      <w:tr>
        <w:trPr>
          <w:jc w:val="center"/>
          <w:trHeight w:val="45"/>
        </w:trPr>
        <w:tc>
          <w:tcPr>
            <w:tcBorders>
              <w:top w:val="single" w:color="000000" w:sz="4" w:space="0"/>
              <w:left w:val="single" w:color="000000" w:sz="4" w:space="0"/>
              <w:bottom w:val="single" w:color="000000" w:sz="4" w:space="0"/>
              <w:right w:val="single" w:color="000000" w:sz="4" w:space="0"/>
            </w:tcBorders>
            <w:tcW w:w="5524" w:type="dxa"/>
            <w:vAlign w:val="center"/>
            <w:textDirection w:val="lrTb"/>
            <w:noWrap w:val="false"/>
          </w:tcPr>
          <w:p>
            <w:pPr>
              <w:pStyle w:val="1146"/>
              <w:ind w:firstLine="0"/>
              <w:jc w:val="left"/>
              <w:widowControl w:val="off"/>
              <w:rPr>
                <w:sz w:val="20"/>
              </w:rPr>
            </w:pPr>
            <w:r>
              <w:rPr>
                <w:rFonts w:ascii="Arial Narrow" w:hAnsi="Arial Narrow" w:cs="Calibri"/>
                <w:sz w:val="20"/>
              </w:rPr>
              <w:t xml:space="preserve">От 30 до 50 лет</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783"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2 205</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765"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55,5</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36"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2 156</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67"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55,2</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07"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2 102</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650"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53,9</w:t>
            </w:r>
            <w:r>
              <w:rPr>
                <w:sz w:val="20"/>
                <w:szCs w:val="20"/>
              </w:rPr>
            </w:r>
            <w:r>
              <w:rPr>
                <w:sz w:val="20"/>
                <w:szCs w:val="20"/>
              </w:rPr>
            </w:r>
          </w:p>
        </w:tc>
      </w:tr>
      <w:tr>
        <w:trPr>
          <w:jc w:val="center"/>
          <w:trHeight w:val="56"/>
        </w:trPr>
        <w:tc>
          <w:tcPr>
            <w:tcBorders>
              <w:top w:val="single" w:color="000000" w:sz="4" w:space="0"/>
              <w:left w:val="single" w:color="000000" w:sz="4" w:space="0"/>
              <w:bottom w:val="single" w:color="000000" w:sz="4" w:space="0"/>
              <w:right w:val="single" w:color="000000" w:sz="4" w:space="0"/>
            </w:tcBorders>
            <w:tcW w:w="5524" w:type="dxa"/>
            <w:vAlign w:val="center"/>
            <w:textDirection w:val="lrTb"/>
            <w:noWrap w:val="false"/>
          </w:tcPr>
          <w:p>
            <w:pPr>
              <w:pStyle w:val="1146"/>
              <w:ind w:firstLine="0"/>
              <w:jc w:val="left"/>
              <w:widowControl w:val="off"/>
              <w:rPr>
                <w:sz w:val="20"/>
              </w:rPr>
            </w:pPr>
            <w:r>
              <w:rPr>
                <w:rFonts w:ascii="Arial Narrow" w:hAnsi="Arial Narrow" w:cs="Calibri"/>
                <w:sz w:val="20"/>
              </w:rPr>
              <w:t xml:space="preserve">Старше 50 лет</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783"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1 444</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765"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36,4</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36"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1 454</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67"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37,3</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07"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1 487</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650"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38,2</w:t>
            </w:r>
            <w:r>
              <w:rPr>
                <w:sz w:val="20"/>
                <w:szCs w:val="20"/>
              </w:rPr>
            </w:r>
            <w:r>
              <w:rPr>
                <w:sz w:val="20"/>
                <w:szCs w:val="20"/>
              </w:rPr>
            </w:r>
          </w:p>
        </w:tc>
      </w:tr>
      <w:tr>
        <w:trPr>
          <w:jc w:val="center"/>
          <w:trHeight w:val="45"/>
        </w:trPr>
        <w:tc>
          <w:tcPr>
            <w:tcBorders>
              <w:top w:val="single" w:color="000000" w:sz="4" w:space="0"/>
              <w:left w:val="single" w:color="000000" w:sz="4" w:space="0"/>
              <w:bottom w:val="single" w:color="000000" w:sz="4" w:space="0"/>
              <w:right w:val="single" w:color="000000" w:sz="4" w:space="0"/>
            </w:tcBorders>
            <w:tcW w:w="5524" w:type="dxa"/>
            <w:vAlign w:val="center"/>
            <w:textDirection w:val="lrTb"/>
            <w:noWrap w:val="false"/>
          </w:tcPr>
          <w:p>
            <w:pPr>
              <w:pStyle w:val="1146"/>
              <w:ind w:firstLine="0"/>
              <w:jc w:val="left"/>
              <w:widowControl w:val="off"/>
              <w:rPr>
                <w:sz w:val="20"/>
              </w:rPr>
            </w:pPr>
            <w:r>
              <w:rPr>
                <w:rFonts w:ascii="Arial Narrow" w:hAnsi="Arial Narrow" w:cs="Calibri"/>
                <w:sz w:val="20"/>
              </w:rPr>
              <w:t xml:space="preserve">в том числе пенсионеры по возрасту (работающие)</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783"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355</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765"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8,9</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36"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357</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67"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9,1</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07"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354</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650"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9</w:t>
            </w:r>
            <w:r>
              <w:rPr>
                <w:sz w:val="20"/>
                <w:szCs w:val="20"/>
              </w:rPr>
            </w:r>
            <w:r>
              <w:rPr>
                <w:sz w:val="20"/>
                <w:szCs w:val="20"/>
              </w:rPr>
            </w:r>
          </w:p>
        </w:tc>
      </w:tr>
      <w:tr>
        <w:trPr>
          <w:jc w:val="center"/>
          <w:trHeight w:val="56"/>
        </w:trPr>
        <w:tc>
          <w:tcPr>
            <w:tcBorders>
              <w:top w:val="single" w:color="000000" w:sz="4" w:space="0"/>
              <w:left w:val="single" w:color="000000" w:sz="4" w:space="0"/>
              <w:bottom w:val="single" w:color="000000" w:sz="4" w:space="0"/>
              <w:right w:val="single" w:color="000000" w:sz="4" w:space="0"/>
            </w:tcBorders>
            <w:tcW w:w="5524" w:type="dxa"/>
            <w:vAlign w:val="center"/>
            <w:textDirection w:val="lrTb"/>
            <w:noWrap w:val="false"/>
          </w:tcPr>
          <w:p>
            <w:pPr>
              <w:pStyle w:val="1146"/>
              <w:ind w:firstLine="0"/>
              <w:jc w:val="left"/>
              <w:widowControl w:val="off"/>
              <w:rPr>
                <w:sz w:val="20"/>
              </w:rPr>
            </w:pPr>
            <w:r>
              <w:rPr>
                <w:rFonts w:ascii="Arial Narrow" w:hAnsi="Arial Narrow" w:cs="Calibri"/>
                <w:b/>
                <w:sz w:val="20"/>
              </w:rPr>
              <w:t xml:space="preserve">Всего</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783"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3 969</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765"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100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36"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3 903</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67"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100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907"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3 896</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650"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100</w:t>
            </w:r>
            <w:r>
              <w:rPr>
                <w:sz w:val="20"/>
                <w:szCs w:val="20"/>
              </w:rPr>
            </w:r>
            <w:r>
              <w:rPr>
                <w:sz w:val="20"/>
                <w:szCs w:val="20"/>
              </w:rPr>
            </w:r>
          </w:p>
        </w:tc>
      </w:tr>
      <w:tr>
        <w:trPr>
          <w:jc w:val="center"/>
          <w:trHeight w:val="56"/>
        </w:trPr>
        <w:tc>
          <w:tcPr>
            <w:tcBorders>
              <w:top w:val="single" w:color="000000" w:sz="4" w:space="0"/>
              <w:left w:val="single" w:color="000000" w:sz="4" w:space="0"/>
              <w:bottom w:val="single" w:color="000000" w:sz="4" w:space="0"/>
              <w:right w:val="single" w:color="000000" w:sz="4" w:space="0"/>
            </w:tcBorders>
            <w:tcW w:w="5524" w:type="dxa"/>
            <w:vAlign w:val="center"/>
            <w:textDirection w:val="lrTb"/>
            <w:noWrap w:val="false"/>
          </w:tcPr>
          <w:p>
            <w:pPr>
              <w:pStyle w:val="1146"/>
              <w:ind w:firstLine="0"/>
              <w:jc w:val="left"/>
              <w:widowControl w:val="off"/>
              <w:rPr>
                <w:sz w:val="20"/>
              </w:rPr>
            </w:pPr>
            <w:r>
              <w:rPr>
                <w:rFonts w:ascii="Arial Narrow" w:hAnsi="Arial Narrow" w:cs="Calibri"/>
                <w:sz w:val="20"/>
              </w:rPr>
              <w:t xml:space="preserve">Средний возраст</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783"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45</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765" w:type="dxa"/>
            <w:vAlign w:val="center"/>
            <w:textDirection w:val="lrTb"/>
            <w:noWrap w:val="false"/>
          </w:tcPr>
          <w:p>
            <w:pPr>
              <w:pStyle w:val="1063"/>
              <w:jc w:val="center"/>
              <w:widowControl w:val="off"/>
              <w:rPr>
                <w:rFonts w:ascii="Arial Narrow" w:hAnsi="Arial Narrow" w:cs="Calibri"/>
                <w:sz w:val="20"/>
                <w:szCs w:val="20"/>
                <w:lang w:eastAsia="ru-RU"/>
              </w:rPr>
            </w:pPr>
            <w:r>
              <w:rPr>
                <w:rFonts w:ascii="Arial Narrow" w:hAnsi="Arial Narrow" w:cs="Calibri"/>
                <w:sz w:val="20"/>
                <w:szCs w:val="20"/>
                <w:lang w:eastAsia="ru-RU"/>
              </w:rPr>
            </w:r>
            <w:r>
              <w:rPr>
                <w:rFonts w:ascii="Arial Narrow" w:hAnsi="Arial Narrow" w:cs="Calibri"/>
                <w:sz w:val="20"/>
                <w:szCs w:val="20"/>
                <w:lang w:eastAsia="ru-RU"/>
              </w:rPr>
            </w:r>
            <w:r>
              <w:rPr>
                <w:rFonts w:ascii="Arial Narrow" w:hAnsi="Arial Narrow" w:cs="Calibri"/>
                <w:sz w:val="20"/>
                <w:szCs w:val="20"/>
                <w:lang w:eastAsia="ru-RU"/>
              </w:rPr>
            </w:r>
          </w:p>
        </w:tc>
        <w:tc>
          <w:tcPr>
            <w:tcBorders>
              <w:top w:val="single" w:color="000000" w:sz="4" w:space="0"/>
              <w:left w:val="single" w:color="000000" w:sz="4" w:space="0"/>
              <w:bottom w:val="single" w:color="000000" w:sz="4" w:space="0"/>
              <w:right w:val="single" w:color="000000" w:sz="4" w:space="0"/>
            </w:tcBorders>
            <w:tcW w:w="936"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43,7</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67" w:type="dxa"/>
            <w:vAlign w:val="center"/>
            <w:textDirection w:val="lrTb"/>
            <w:noWrap w:val="false"/>
          </w:tcPr>
          <w:p>
            <w:pPr>
              <w:pStyle w:val="1063"/>
              <w:jc w:val="center"/>
              <w:widowControl w:val="off"/>
              <w:rPr>
                <w:rFonts w:ascii="Arial Narrow" w:hAnsi="Arial Narrow" w:cs="Calibri"/>
                <w:sz w:val="20"/>
                <w:szCs w:val="20"/>
                <w:lang w:eastAsia="ru-RU"/>
              </w:rPr>
            </w:pPr>
            <w:r>
              <w:rPr>
                <w:rFonts w:ascii="Arial Narrow" w:hAnsi="Arial Narrow" w:cs="Calibri"/>
                <w:sz w:val="20"/>
                <w:szCs w:val="20"/>
                <w:lang w:eastAsia="ru-RU"/>
              </w:rPr>
            </w:r>
            <w:r>
              <w:rPr>
                <w:rFonts w:ascii="Arial Narrow" w:hAnsi="Arial Narrow" w:cs="Calibri"/>
                <w:sz w:val="20"/>
                <w:szCs w:val="20"/>
                <w:lang w:eastAsia="ru-RU"/>
              </w:rPr>
            </w:r>
            <w:r>
              <w:rPr>
                <w:rFonts w:ascii="Arial Narrow" w:hAnsi="Arial Narrow" w:cs="Calibri"/>
                <w:sz w:val="20"/>
                <w:szCs w:val="20"/>
                <w:lang w:eastAsia="ru-RU"/>
              </w:rPr>
            </w:r>
          </w:p>
        </w:tc>
        <w:tc>
          <w:tcPr>
            <w:tcBorders>
              <w:top w:val="single" w:color="000000" w:sz="4" w:space="0"/>
              <w:left w:val="single" w:color="000000" w:sz="4" w:space="0"/>
              <w:bottom w:val="single" w:color="000000" w:sz="4" w:space="0"/>
              <w:right w:val="single" w:color="000000" w:sz="4" w:space="0"/>
            </w:tcBorders>
            <w:tcW w:w="907"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44,5</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650" w:type="dxa"/>
            <w:vAlign w:val="center"/>
            <w:textDirection w:val="lrTb"/>
            <w:noWrap w:val="false"/>
          </w:tcPr>
          <w:p>
            <w:pPr>
              <w:pStyle w:val="1063"/>
              <w:jc w:val="center"/>
              <w:widowControl w:val="off"/>
              <w:rPr>
                <w:rFonts w:ascii="Arial Narrow" w:hAnsi="Arial Narrow" w:cs="Calibri"/>
                <w:sz w:val="20"/>
                <w:szCs w:val="20"/>
                <w:lang w:eastAsia="ru-RU"/>
              </w:rPr>
            </w:pPr>
            <w:r>
              <w:rPr>
                <w:rFonts w:ascii="Arial Narrow" w:hAnsi="Arial Narrow" w:cs="Calibri"/>
                <w:sz w:val="20"/>
                <w:szCs w:val="20"/>
                <w:lang w:eastAsia="ru-RU"/>
              </w:rPr>
            </w:r>
            <w:r>
              <w:rPr>
                <w:rFonts w:ascii="Arial Narrow" w:hAnsi="Arial Narrow" w:cs="Calibri"/>
                <w:sz w:val="20"/>
                <w:szCs w:val="20"/>
                <w:lang w:eastAsia="ru-RU"/>
              </w:rPr>
            </w:r>
            <w:r>
              <w:rPr>
                <w:rFonts w:ascii="Arial Narrow" w:hAnsi="Arial Narrow" w:cs="Calibri"/>
                <w:sz w:val="20"/>
                <w:szCs w:val="20"/>
                <w:lang w:eastAsia="ru-RU"/>
              </w:rPr>
            </w:r>
          </w:p>
        </w:tc>
      </w:tr>
    </w:tbl>
    <w:p>
      <w:pPr>
        <w:pStyle w:val="1063"/>
        <w:ind w:firstLine="567"/>
        <w:jc w:val="both"/>
        <w:spacing w:before="120"/>
      </w:pPr>
      <w:r>
        <w:rPr>
          <w:rFonts w:ascii="Arial Narrow" w:hAnsi="Arial Narrow" w:cs="Calibri"/>
        </w:rPr>
        <w:t xml:space="preserve">В Обществе работает 354 пенсионеров, что составляет 9 % от общей численности, что незначительно отличается от соответствующего показателя за 2023 год.</w:t>
      </w:r>
      <w:r/>
    </w:p>
    <w:p>
      <w:pPr>
        <w:pStyle w:val="1063"/>
        <w:ind w:firstLine="567"/>
        <w:jc w:val="both"/>
      </w:pPr>
      <w:r>
        <w:rPr>
          <w:rFonts w:ascii="Arial Narrow" w:hAnsi="Arial Narrow" w:cs="Calibri"/>
        </w:rPr>
        <w:t xml:space="preserve">В целях эффекти</w:t>
      </w:r>
      <w:r>
        <w:rPr>
          <w:rFonts w:ascii="Arial Narrow" w:hAnsi="Arial Narrow" w:cs="Calibri"/>
        </w:rPr>
        <w:t xml:space="preserve">вной работы Общества и постепенного вовлечения молодых специалистов в деятельность предприятия, позволяющего передать опыт и необходимые навыки молодым специалистам, в Обществе производится работа по привлечению и трудоустройству молодых специалистов, а им</w:t>
      </w:r>
      <w:r>
        <w:rPr>
          <w:rFonts w:ascii="Arial Narrow" w:hAnsi="Arial Narrow" w:cs="Calibri"/>
        </w:rPr>
        <w:t xml:space="preserve">енно: сотрудничество с ВУЗами и СУЗами в целях организации производственной и преддипломной практики на объектах Общества, подготовки молодых специалистов по наиболее востребованным профессиями с целью последующего трудоустройства, привлечение молодых спец</w:t>
      </w:r>
      <w:r>
        <w:rPr>
          <w:rFonts w:ascii="Arial Narrow" w:hAnsi="Arial Narrow" w:cs="Calibri"/>
        </w:rPr>
        <w:t xml:space="preserve">иалистов в рамках программы «Трудовая мобильность». Общество участвует в реализации федеральной программы по целевому обучению молодежи Камчатского края для нужд работодателя по наиболее востребованным и высококвалифицированным специальностям в энергетике.</w:t>
      </w:r>
      <w:r/>
    </w:p>
    <w:p>
      <w:pPr>
        <w:pStyle w:val="1063"/>
        <w:jc w:val="both"/>
        <w:tabs>
          <w:tab w:val="left" w:pos="566" w:leader="none"/>
          <w:tab w:val="left" w:pos="850" w:leader="none"/>
        </w:tabs>
        <w:rPr>
          <w:rFonts w:ascii="Arial Narrow" w:hAnsi="Arial Narrow" w:cs="Calibri"/>
          <w:color w:val="314e87"/>
          <w:sz w:val="12"/>
          <w:szCs w:val="12"/>
        </w:rPr>
      </w:pPr>
      <w:r>
        <w:rPr>
          <w:rFonts w:ascii="Arial Narrow" w:hAnsi="Arial Narrow" w:cs="Calibri"/>
          <w:color w:val="314e87"/>
          <w:sz w:val="12"/>
          <w:szCs w:val="12"/>
        </w:rPr>
      </w:r>
      <w:r>
        <w:rPr>
          <w:rFonts w:ascii="Arial Narrow" w:hAnsi="Arial Narrow" w:cs="Calibri"/>
          <w:color w:val="314e87"/>
          <w:sz w:val="12"/>
          <w:szCs w:val="12"/>
        </w:rPr>
      </w:r>
      <w:r>
        <w:rPr>
          <w:rFonts w:ascii="Arial Narrow" w:hAnsi="Arial Narrow" w:cs="Calibri"/>
          <w:color w:val="314e87"/>
          <w:sz w:val="12"/>
          <w:szCs w:val="12"/>
        </w:rPr>
      </w:r>
    </w:p>
    <w:p>
      <w:pPr>
        <w:pStyle w:val="1063"/>
        <w:jc w:val="both"/>
        <w:tabs>
          <w:tab w:val="left" w:pos="566" w:leader="none"/>
          <w:tab w:val="left" w:pos="850" w:leader="none"/>
        </w:tabs>
        <w:rPr>
          <w:b/>
        </w:rPr>
      </w:pPr>
      <w:r>
        <w:rPr>
          <w:rFonts w:ascii="Arial Narrow" w:hAnsi="Arial Narrow" w:cs="Calibri"/>
          <w:b/>
          <w:color w:val="314e87"/>
        </w:rPr>
        <w:t xml:space="preserve">Структура работников по категориям</w:t>
      </w:r>
      <w:r>
        <w:rPr>
          <w:b/>
        </w:rPr>
      </w:r>
      <w:r>
        <w:rPr>
          <w:b/>
        </w:rPr>
      </w:r>
    </w:p>
    <w:p>
      <w:pPr>
        <w:pStyle w:val="1063"/>
        <w:ind w:left="7200" w:firstLine="720"/>
        <w:jc w:val="center"/>
      </w:pPr>
      <w:r>
        <w:rPr>
          <w:rFonts w:ascii="Arial Narrow" w:hAnsi="Arial Narrow" w:eastAsia="Calibri" w:cs="Calibri"/>
          <w:i/>
          <w:lang w:eastAsia="ja-JP"/>
        </w:rPr>
        <w:t xml:space="preserve">         Таблица № 31</w:t>
      </w:r>
      <w:r/>
    </w:p>
    <w:tbl>
      <w:tblPr>
        <w:tblW w:w="10060" w:type="dxa"/>
        <w:jc w:val="center"/>
        <w:tblLayout w:type="fixed"/>
        <w:tblLook w:val="04A0" w:firstRow="1" w:lastRow="0" w:firstColumn="1" w:lastColumn="0" w:noHBand="0" w:noVBand="1"/>
      </w:tblPr>
      <w:tblGrid>
        <w:gridCol w:w="2932"/>
        <w:gridCol w:w="1253"/>
        <w:gridCol w:w="1088"/>
        <w:gridCol w:w="1076"/>
        <w:gridCol w:w="1264"/>
        <w:gridCol w:w="1089"/>
        <w:gridCol w:w="1358"/>
      </w:tblGrid>
      <w:tr>
        <w:trPr>
          <w:jc w:val="center"/>
          <w:trHeight w:val="45"/>
        </w:trPr>
        <w:tc>
          <w:tcPr>
            <w:tcBorders>
              <w:top w:val="single" w:color="000000" w:sz="4" w:space="0"/>
              <w:left w:val="single" w:color="000000" w:sz="4" w:space="0"/>
              <w:bottom w:val="single" w:color="000000" w:sz="4" w:space="0"/>
              <w:right w:val="single" w:color="000000" w:sz="4" w:space="0"/>
            </w:tcBorders>
            <w:tcW w:w="2931" w:type="dxa"/>
            <w:vAlign w:val="center"/>
            <w:vMerge w:val="restart"/>
            <w:textDirection w:val="lrTb"/>
            <w:noWrap w:val="false"/>
          </w:tcPr>
          <w:p>
            <w:pPr>
              <w:pStyle w:val="1146"/>
              <w:ind w:firstLine="0"/>
              <w:jc w:val="center"/>
              <w:widowControl w:val="off"/>
              <w:rPr>
                <w:sz w:val="20"/>
              </w:rPr>
            </w:pPr>
            <w:r>
              <w:rPr>
                <w:rFonts w:ascii="Arial Narrow" w:hAnsi="Arial Narrow" w:cs="Calibri"/>
                <w:b/>
                <w:sz w:val="20"/>
              </w:rPr>
              <w:t xml:space="preserve">Категории</w:t>
            </w:r>
            <w:r>
              <w:rPr>
                <w:sz w:val="20"/>
              </w:rPr>
            </w:r>
            <w:r>
              <w:rPr>
                <w:sz w:val="20"/>
              </w:rPr>
            </w:r>
          </w:p>
        </w:tc>
        <w:tc>
          <w:tcPr>
            <w:gridSpan w:val="2"/>
            <w:tcBorders>
              <w:top w:val="single" w:color="000000" w:sz="4" w:space="0"/>
              <w:left w:val="single" w:color="000000" w:sz="4" w:space="0"/>
              <w:bottom w:val="single" w:color="000000" w:sz="4" w:space="0"/>
              <w:right w:val="single" w:color="000000" w:sz="4" w:space="0"/>
            </w:tcBorders>
            <w:tcW w:w="2341" w:type="dxa"/>
            <w:vAlign w:val="center"/>
            <w:textDirection w:val="lrTb"/>
            <w:noWrap w:val="false"/>
          </w:tcPr>
          <w:p>
            <w:pPr>
              <w:pStyle w:val="1146"/>
              <w:ind w:firstLine="0"/>
              <w:jc w:val="center"/>
              <w:widowControl w:val="off"/>
              <w:rPr>
                <w:sz w:val="20"/>
              </w:rPr>
            </w:pPr>
            <w:r>
              <w:rPr>
                <w:rFonts w:ascii="Arial Narrow" w:hAnsi="Arial Narrow" w:cs="Calibri"/>
                <w:b/>
                <w:sz w:val="20"/>
              </w:rPr>
              <w:t xml:space="preserve">31.12.2022</w:t>
            </w:r>
            <w:r>
              <w:rPr>
                <w:sz w:val="20"/>
              </w:rPr>
            </w:r>
            <w:r>
              <w:rPr>
                <w:sz w:val="20"/>
              </w:rPr>
            </w:r>
          </w:p>
        </w:tc>
        <w:tc>
          <w:tcPr>
            <w:gridSpan w:val="2"/>
            <w:tcBorders>
              <w:top w:val="single" w:color="000000" w:sz="4" w:space="0"/>
              <w:left w:val="single" w:color="000000" w:sz="4" w:space="0"/>
              <w:bottom w:val="single" w:color="000000" w:sz="4" w:space="0"/>
              <w:right w:val="single" w:color="000000" w:sz="4" w:space="0"/>
            </w:tcBorders>
            <w:tcW w:w="2340" w:type="dxa"/>
            <w:vAlign w:val="center"/>
            <w:textDirection w:val="lrTb"/>
            <w:noWrap w:val="false"/>
          </w:tcPr>
          <w:p>
            <w:pPr>
              <w:pStyle w:val="1146"/>
              <w:ind w:firstLine="0"/>
              <w:jc w:val="center"/>
              <w:widowControl w:val="off"/>
              <w:rPr>
                <w:sz w:val="20"/>
              </w:rPr>
            </w:pPr>
            <w:r>
              <w:rPr>
                <w:rFonts w:ascii="Arial Narrow" w:hAnsi="Arial Narrow" w:cs="Calibri"/>
                <w:b/>
                <w:sz w:val="20"/>
              </w:rPr>
              <w:t xml:space="preserve">31.12.2023</w:t>
            </w:r>
            <w:r>
              <w:rPr>
                <w:sz w:val="20"/>
              </w:rPr>
            </w:r>
            <w:r>
              <w:rPr>
                <w:sz w:val="20"/>
              </w:rPr>
            </w:r>
          </w:p>
        </w:tc>
        <w:tc>
          <w:tcPr>
            <w:gridSpan w:val="2"/>
            <w:tcBorders>
              <w:top w:val="single" w:color="000000" w:sz="4" w:space="0"/>
              <w:left w:val="single" w:color="000000" w:sz="4" w:space="0"/>
              <w:bottom w:val="single" w:color="000000" w:sz="4" w:space="0"/>
              <w:right w:val="single" w:color="000000" w:sz="4" w:space="0"/>
            </w:tcBorders>
            <w:tcW w:w="2447" w:type="dxa"/>
            <w:vAlign w:val="center"/>
            <w:textDirection w:val="lrTb"/>
            <w:noWrap w:val="false"/>
          </w:tcPr>
          <w:p>
            <w:pPr>
              <w:pStyle w:val="1146"/>
              <w:ind w:firstLine="0"/>
              <w:jc w:val="center"/>
              <w:widowControl w:val="off"/>
              <w:rPr>
                <w:sz w:val="20"/>
              </w:rPr>
            </w:pPr>
            <w:r>
              <w:rPr>
                <w:rFonts w:ascii="Arial Narrow" w:hAnsi="Arial Narrow" w:cs="Calibri"/>
                <w:b/>
                <w:sz w:val="20"/>
              </w:rPr>
              <w:t xml:space="preserve">31.12.2024</w:t>
            </w:r>
            <w:r>
              <w:rPr>
                <w:sz w:val="20"/>
              </w:rPr>
            </w:r>
            <w:r>
              <w:rPr>
                <w:sz w:val="20"/>
              </w:rPr>
            </w:r>
          </w:p>
        </w:tc>
      </w:tr>
      <w:tr>
        <w:trPr>
          <w:jc w:val="center"/>
          <w:trHeight w:val="55"/>
        </w:trPr>
        <w:tc>
          <w:tcPr>
            <w:tcBorders>
              <w:top w:val="single" w:color="000000" w:sz="4" w:space="0"/>
              <w:left w:val="single" w:color="000000" w:sz="4" w:space="0"/>
              <w:bottom w:val="single" w:color="000000" w:sz="4" w:space="0"/>
              <w:right w:val="single" w:color="000000" w:sz="4" w:space="0"/>
            </w:tcBorders>
            <w:tcW w:w="2931"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53" w:type="dxa"/>
            <w:textDirection w:val="lrTb"/>
            <w:noWrap w:val="false"/>
          </w:tcPr>
          <w:p>
            <w:pPr>
              <w:pStyle w:val="1146"/>
              <w:ind w:firstLine="0"/>
              <w:jc w:val="center"/>
              <w:widowControl w:val="off"/>
              <w:rPr>
                <w:sz w:val="20"/>
              </w:rPr>
            </w:pPr>
            <w:r>
              <w:rPr>
                <w:rFonts w:ascii="Arial Narrow" w:hAnsi="Arial Narrow" w:cs="Calibri"/>
                <w:b/>
                <w:sz w:val="20"/>
              </w:rPr>
              <w:t xml:space="preserve">чел.</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088" w:type="dxa"/>
            <w:textDirection w:val="lrTb"/>
            <w:noWrap w:val="false"/>
          </w:tcPr>
          <w:p>
            <w:pPr>
              <w:pStyle w:val="1146"/>
              <w:ind w:firstLine="0"/>
              <w:jc w:val="center"/>
              <w:widowControl w:val="off"/>
              <w:rPr>
                <w:sz w:val="20"/>
              </w:rPr>
            </w:pPr>
            <w:r>
              <w:rPr>
                <w:rFonts w:ascii="Arial Narrow" w:hAnsi="Arial Narrow" w:cs="Calibri"/>
                <w:b/>
                <w:sz w:val="20"/>
              </w:rPr>
              <w:t xml:space="preserve">%</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076" w:type="dxa"/>
            <w:textDirection w:val="lrTb"/>
            <w:noWrap w:val="false"/>
          </w:tcPr>
          <w:p>
            <w:pPr>
              <w:pStyle w:val="1146"/>
              <w:ind w:firstLine="0"/>
              <w:jc w:val="center"/>
              <w:widowControl w:val="off"/>
              <w:rPr>
                <w:sz w:val="20"/>
              </w:rPr>
            </w:pPr>
            <w:r>
              <w:rPr>
                <w:rFonts w:ascii="Arial Narrow" w:hAnsi="Arial Narrow" w:cs="Calibri"/>
                <w:b/>
                <w:sz w:val="20"/>
              </w:rPr>
              <w:t xml:space="preserve">чел.</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264" w:type="dxa"/>
            <w:textDirection w:val="lrTb"/>
            <w:noWrap w:val="false"/>
          </w:tcPr>
          <w:p>
            <w:pPr>
              <w:pStyle w:val="1146"/>
              <w:ind w:firstLine="0"/>
              <w:jc w:val="center"/>
              <w:widowControl w:val="off"/>
              <w:rPr>
                <w:sz w:val="20"/>
              </w:rPr>
            </w:pPr>
            <w:r>
              <w:rPr>
                <w:rFonts w:ascii="Arial Narrow" w:hAnsi="Arial Narrow" w:cs="Calibri"/>
                <w:b/>
                <w:sz w:val="20"/>
              </w:rPr>
              <w:t xml:space="preserve">%</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089" w:type="dxa"/>
            <w:textDirection w:val="lrTb"/>
            <w:noWrap w:val="false"/>
          </w:tcPr>
          <w:p>
            <w:pPr>
              <w:pStyle w:val="1146"/>
              <w:ind w:firstLine="0"/>
              <w:jc w:val="center"/>
              <w:widowControl w:val="off"/>
              <w:rPr>
                <w:sz w:val="20"/>
              </w:rPr>
            </w:pPr>
            <w:r>
              <w:rPr>
                <w:rFonts w:ascii="Arial Narrow" w:hAnsi="Arial Narrow" w:cs="Calibri"/>
                <w:b/>
                <w:sz w:val="20"/>
              </w:rPr>
              <w:t xml:space="preserve">чел.</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358" w:type="dxa"/>
            <w:textDirection w:val="lrTb"/>
            <w:noWrap w:val="false"/>
          </w:tcPr>
          <w:p>
            <w:pPr>
              <w:pStyle w:val="1146"/>
              <w:ind w:firstLine="0"/>
              <w:jc w:val="center"/>
              <w:widowControl w:val="off"/>
              <w:rPr>
                <w:sz w:val="20"/>
              </w:rPr>
            </w:pPr>
            <w:r>
              <w:rPr>
                <w:rFonts w:ascii="Arial Narrow" w:hAnsi="Arial Narrow" w:cs="Calibri"/>
                <w:b/>
                <w:sz w:val="20"/>
              </w:rPr>
              <w:t xml:space="preserve">%</w:t>
            </w:r>
            <w:r>
              <w:rPr>
                <w:sz w:val="20"/>
              </w:rPr>
            </w:r>
            <w:r>
              <w:rPr>
                <w:sz w:val="20"/>
              </w:rPr>
            </w:r>
          </w:p>
        </w:tc>
      </w:tr>
      <w:tr>
        <w:trPr>
          <w:jc w:val="center"/>
          <w:trHeight w:val="56"/>
        </w:trPr>
        <w:tc>
          <w:tcPr>
            <w:tcBorders>
              <w:top w:val="single" w:color="000000" w:sz="4" w:space="0"/>
              <w:left w:val="single" w:color="000000" w:sz="4" w:space="0"/>
              <w:bottom w:val="single" w:color="000000" w:sz="4" w:space="0"/>
              <w:right w:val="single" w:color="000000" w:sz="4" w:space="0"/>
            </w:tcBorders>
            <w:tcW w:w="2931" w:type="dxa"/>
            <w:textDirection w:val="lrTb"/>
            <w:noWrap w:val="false"/>
          </w:tcPr>
          <w:p>
            <w:pPr>
              <w:pStyle w:val="1146"/>
              <w:ind w:firstLine="0"/>
              <w:jc w:val="center"/>
              <w:widowControl w:val="off"/>
              <w:rPr>
                <w:sz w:val="20"/>
              </w:rPr>
            </w:pPr>
            <w:r>
              <w:rPr>
                <w:rFonts w:ascii="Arial Narrow" w:hAnsi="Arial Narrow" w:cs="Calibri"/>
                <w:sz w:val="20"/>
              </w:rPr>
              <w:t xml:space="preserve">Руководители</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253" w:type="dxa"/>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548</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88" w:type="dxa"/>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13,8</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76" w:type="dxa"/>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529</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64" w:type="dxa"/>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13,5</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89" w:type="dxa"/>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532</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358" w:type="dxa"/>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13,7</w:t>
            </w:r>
            <w:r>
              <w:rPr>
                <w:sz w:val="20"/>
                <w:szCs w:val="20"/>
              </w:rPr>
            </w:r>
            <w:r>
              <w:rPr>
                <w:sz w:val="20"/>
                <w:szCs w:val="20"/>
              </w:rPr>
            </w:r>
          </w:p>
        </w:tc>
      </w:tr>
      <w:tr>
        <w:trPr>
          <w:jc w:val="center"/>
          <w:trHeight w:val="56"/>
        </w:trPr>
        <w:tc>
          <w:tcPr>
            <w:tcBorders>
              <w:top w:val="single" w:color="000000" w:sz="4" w:space="0"/>
              <w:left w:val="single" w:color="000000" w:sz="4" w:space="0"/>
              <w:bottom w:val="single" w:color="000000" w:sz="4" w:space="0"/>
              <w:right w:val="single" w:color="000000" w:sz="4" w:space="0"/>
            </w:tcBorders>
            <w:tcW w:w="2931" w:type="dxa"/>
            <w:textDirection w:val="lrTb"/>
            <w:noWrap w:val="false"/>
          </w:tcPr>
          <w:p>
            <w:pPr>
              <w:pStyle w:val="1146"/>
              <w:ind w:firstLine="0"/>
              <w:jc w:val="center"/>
              <w:widowControl w:val="off"/>
              <w:rPr>
                <w:sz w:val="20"/>
              </w:rPr>
            </w:pPr>
            <w:r>
              <w:rPr>
                <w:rFonts w:ascii="Arial Narrow" w:hAnsi="Arial Narrow" w:cs="Calibri"/>
                <w:sz w:val="20"/>
              </w:rPr>
              <w:t xml:space="preserve">Специалисты</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253" w:type="dxa"/>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771</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88" w:type="dxa"/>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19,4</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76" w:type="dxa"/>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739</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64" w:type="dxa"/>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18,9</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89" w:type="dxa"/>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760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358" w:type="dxa"/>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19,5</w:t>
            </w:r>
            <w:r>
              <w:rPr>
                <w:sz w:val="20"/>
                <w:szCs w:val="20"/>
              </w:rPr>
            </w:r>
            <w:r>
              <w:rPr>
                <w:sz w:val="20"/>
                <w:szCs w:val="20"/>
              </w:rPr>
            </w:r>
          </w:p>
        </w:tc>
      </w:tr>
      <w:tr>
        <w:trPr>
          <w:jc w:val="center"/>
          <w:trHeight w:val="56"/>
        </w:trPr>
        <w:tc>
          <w:tcPr>
            <w:tcBorders>
              <w:top w:val="single" w:color="000000" w:sz="4" w:space="0"/>
              <w:left w:val="single" w:color="000000" w:sz="4" w:space="0"/>
              <w:bottom w:val="single" w:color="000000" w:sz="4" w:space="0"/>
              <w:right w:val="single" w:color="000000" w:sz="4" w:space="0"/>
            </w:tcBorders>
            <w:tcW w:w="2931" w:type="dxa"/>
            <w:textDirection w:val="lrTb"/>
            <w:noWrap w:val="false"/>
          </w:tcPr>
          <w:p>
            <w:pPr>
              <w:pStyle w:val="1146"/>
              <w:ind w:firstLine="0"/>
              <w:jc w:val="center"/>
              <w:widowControl w:val="off"/>
              <w:rPr>
                <w:sz w:val="20"/>
              </w:rPr>
            </w:pPr>
            <w:r>
              <w:rPr>
                <w:rFonts w:ascii="Arial Narrow" w:hAnsi="Arial Narrow" w:cs="Calibri"/>
                <w:sz w:val="20"/>
              </w:rPr>
              <w:t xml:space="preserve">Служащие</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253" w:type="dxa"/>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22</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88" w:type="dxa"/>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0,6</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76" w:type="dxa"/>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18</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64" w:type="dxa"/>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0,5</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89" w:type="dxa"/>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19</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358" w:type="dxa"/>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0,5</w:t>
            </w:r>
            <w:r>
              <w:rPr>
                <w:sz w:val="20"/>
                <w:szCs w:val="20"/>
              </w:rPr>
            </w:r>
            <w:r>
              <w:rPr>
                <w:sz w:val="20"/>
                <w:szCs w:val="20"/>
              </w:rPr>
            </w:r>
          </w:p>
        </w:tc>
      </w:tr>
      <w:tr>
        <w:trPr>
          <w:jc w:val="center"/>
          <w:trHeight w:val="56"/>
        </w:trPr>
        <w:tc>
          <w:tcPr>
            <w:tcBorders>
              <w:top w:val="single" w:color="000000" w:sz="4" w:space="0"/>
              <w:left w:val="single" w:color="000000" w:sz="4" w:space="0"/>
              <w:bottom w:val="single" w:color="000000" w:sz="4" w:space="0"/>
              <w:right w:val="single" w:color="000000" w:sz="4" w:space="0"/>
            </w:tcBorders>
            <w:tcW w:w="2931" w:type="dxa"/>
            <w:textDirection w:val="lrTb"/>
            <w:noWrap w:val="false"/>
          </w:tcPr>
          <w:p>
            <w:pPr>
              <w:pStyle w:val="1146"/>
              <w:ind w:firstLine="0"/>
              <w:jc w:val="center"/>
              <w:widowControl w:val="off"/>
              <w:rPr>
                <w:sz w:val="20"/>
              </w:rPr>
            </w:pPr>
            <w:r>
              <w:rPr>
                <w:rFonts w:ascii="Arial Narrow" w:hAnsi="Arial Narrow" w:cs="Calibri"/>
                <w:sz w:val="20"/>
              </w:rPr>
              <w:t xml:space="preserve">Рабочие</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253" w:type="dxa"/>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2628</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88" w:type="dxa"/>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66,2</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76" w:type="dxa"/>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2617</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64" w:type="dxa"/>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67,1</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89" w:type="dxa"/>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2585</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358" w:type="dxa"/>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66,3</w:t>
            </w:r>
            <w:r>
              <w:rPr>
                <w:sz w:val="20"/>
                <w:szCs w:val="20"/>
              </w:rPr>
            </w:r>
            <w:r>
              <w:rPr>
                <w:sz w:val="20"/>
                <w:szCs w:val="20"/>
              </w:rPr>
            </w:r>
          </w:p>
        </w:tc>
      </w:tr>
      <w:tr>
        <w:trPr>
          <w:jc w:val="center"/>
          <w:trHeight w:val="56"/>
        </w:trPr>
        <w:tc>
          <w:tcPr>
            <w:tcBorders>
              <w:top w:val="single" w:color="000000" w:sz="4" w:space="0"/>
              <w:left w:val="single" w:color="000000" w:sz="4" w:space="0"/>
              <w:bottom w:val="single" w:color="000000" w:sz="4" w:space="0"/>
              <w:right w:val="single" w:color="000000" w:sz="4" w:space="0"/>
            </w:tcBorders>
            <w:tcW w:w="2931" w:type="dxa"/>
            <w:textDirection w:val="lrTb"/>
            <w:noWrap w:val="false"/>
          </w:tcPr>
          <w:p>
            <w:pPr>
              <w:pStyle w:val="1146"/>
              <w:ind w:firstLine="0"/>
              <w:jc w:val="center"/>
              <w:widowControl w:val="off"/>
              <w:rPr>
                <w:sz w:val="20"/>
              </w:rPr>
            </w:pPr>
            <w:r>
              <w:rPr>
                <w:rFonts w:ascii="Arial Narrow" w:hAnsi="Arial Narrow" w:cs="Calibri"/>
                <w:b/>
                <w:sz w:val="20"/>
              </w:rPr>
              <w:t xml:space="preserve">Всего</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253" w:type="dxa"/>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3969</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88" w:type="dxa"/>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100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76" w:type="dxa"/>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3903</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264" w:type="dxa"/>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100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089" w:type="dxa"/>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3896</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358" w:type="dxa"/>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100</w:t>
            </w:r>
            <w:r>
              <w:rPr>
                <w:sz w:val="20"/>
                <w:szCs w:val="20"/>
              </w:rPr>
            </w:r>
            <w:r>
              <w:rPr>
                <w:sz w:val="20"/>
                <w:szCs w:val="20"/>
              </w:rPr>
            </w:r>
          </w:p>
        </w:tc>
      </w:tr>
    </w:tbl>
    <w:p>
      <w:pPr>
        <w:pStyle w:val="1063"/>
        <w:jc w:val="both"/>
        <w:spacing w:before="120" w:after="120"/>
        <w:tabs>
          <w:tab w:val="left" w:pos="566" w:leader="none"/>
          <w:tab w:val="left" w:pos="850" w:leader="none"/>
        </w:tabs>
        <w:rPr>
          <w:b/>
        </w:rPr>
      </w:pPr>
      <w:r>
        <w:rPr>
          <w:rFonts w:ascii="Arial Narrow" w:hAnsi="Arial Narrow" w:cs="Calibri"/>
          <w:b/>
          <w:color w:val="314e87"/>
        </w:rPr>
        <w:t xml:space="preserve">Качественный состав работников (уровень образования)</w:t>
      </w:r>
      <w:r>
        <w:rPr>
          <w:b/>
        </w:rPr>
      </w:r>
      <w:r>
        <w:rPr>
          <w:b/>
        </w:rPr>
      </w:r>
    </w:p>
    <w:p>
      <w:pPr>
        <w:pStyle w:val="1063"/>
        <w:ind w:left="7200" w:firstLine="720"/>
        <w:jc w:val="center"/>
      </w:pPr>
      <w:r>
        <w:rPr>
          <w:rFonts w:ascii="Arial Narrow" w:hAnsi="Arial Narrow" w:eastAsia="Calibri" w:cs="Calibri"/>
          <w:i/>
          <w:lang w:eastAsia="ja-JP"/>
        </w:rPr>
        <w:t xml:space="preserve">        Таблица № </w:t>
      </w:r>
      <w:r>
        <w:rPr>
          <w:rFonts w:ascii="Arial Narrow" w:hAnsi="Arial Narrow" w:eastAsia="Calibri" w:cs="Calibri"/>
          <w:i/>
          <w:lang w:val="en-US" w:eastAsia="ja-JP"/>
        </w:rPr>
        <w:t xml:space="preserve">3</w:t>
      </w:r>
      <w:r>
        <w:rPr>
          <w:rFonts w:ascii="Arial Narrow" w:hAnsi="Arial Narrow" w:eastAsia="Calibri" w:cs="Calibri"/>
          <w:i/>
          <w:lang w:eastAsia="ja-JP"/>
        </w:rPr>
        <w:t xml:space="preserve">2</w:t>
      </w:r>
      <w:r/>
    </w:p>
    <w:tbl>
      <w:tblPr>
        <w:tblW w:w="10060" w:type="dxa"/>
        <w:jc w:val="center"/>
        <w:tblLayout w:type="fixed"/>
        <w:tblCellMar>
          <w:left w:w="5" w:type="dxa"/>
          <w:right w:w="5" w:type="dxa"/>
        </w:tblCellMar>
        <w:tblLook w:val="04A0" w:firstRow="1" w:lastRow="0" w:firstColumn="1" w:lastColumn="0" w:noHBand="0" w:noVBand="1"/>
      </w:tblPr>
      <w:tblGrid>
        <w:gridCol w:w="4551"/>
        <w:gridCol w:w="953"/>
        <w:gridCol w:w="958"/>
        <w:gridCol w:w="772"/>
        <w:gridCol w:w="950"/>
        <w:gridCol w:w="957"/>
        <w:gridCol w:w="919"/>
      </w:tblGrid>
      <w:tr>
        <w:trPr>
          <w:jc w:val="center"/>
          <w:trHeight w:val="56"/>
        </w:trPr>
        <w:tc>
          <w:tcPr>
            <w:tcBorders>
              <w:top w:val="single" w:color="000000" w:sz="4" w:space="0"/>
              <w:left w:val="single" w:color="000000" w:sz="4" w:space="0"/>
              <w:bottom w:val="single" w:color="000000" w:sz="4" w:space="0"/>
              <w:right w:val="single" w:color="000000" w:sz="4" w:space="0"/>
            </w:tcBorders>
            <w:tcW w:w="4550" w:type="dxa"/>
            <w:vAlign w:val="center"/>
            <w:vMerge w:val="restart"/>
            <w:textDirection w:val="lrTb"/>
            <w:noWrap w:val="false"/>
          </w:tcPr>
          <w:p>
            <w:pPr>
              <w:pStyle w:val="1146"/>
              <w:ind w:firstLine="0"/>
              <w:jc w:val="left"/>
              <w:widowControl w:val="off"/>
              <w:rPr>
                <w:rFonts w:ascii="Arial Narrow" w:hAnsi="Arial Narrow"/>
                <w:b/>
                <w:sz w:val="20"/>
              </w:rPr>
            </w:pPr>
            <w:r>
              <w:rPr>
                <w:rFonts w:ascii="Arial Narrow" w:hAnsi="Arial Narrow"/>
                <w:b/>
                <w:sz w:val="20"/>
              </w:rPr>
              <w:t xml:space="preserve">Уровень образования</w:t>
            </w:r>
            <w:r>
              <w:rPr>
                <w:rFonts w:ascii="Arial Narrow" w:hAnsi="Arial Narrow"/>
                <w:b/>
                <w:sz w:val="20"/>
              </w:rPr>
            </w:r>
            <w:r>
              <w:rPr>
                <w:rFonts w:ascii="Arial Narrow" w:hAnsi="Arial Narrow"/>
                <w:b/>
                <w:sz w:val="20"/>
              </w:rPr>
            </w:r>
          </w:p>
        </w:tc>
        <w:tc>
          <w:tcPr>
            <w:gridSpan w:val="2"/>
            <w:tcBorders>
              <w:top w:val="single" w:color="000000" w:sz="4" w:space="0"/>
              <w:left w:val="single" w:color="000000" w:sz="4" w:space="0"/>
              <w:bottom w:val="single" w:color="000000" w:sz="4" w:space="0"/>
              <w:right w:val="single" w:color="000000" w:sz="4" w:space="0"/>
            </w:tcBorders>
            <w:tcW w:w="1911" w:type="dxa"/>
            <w:vAlign w:val="center"/>
            <w:textDirection w:val="lrTb"/>
            <w:noWrap w:val="false"/>
          </w:tcPr>
          <w:p>
            <w:pPr>
              <w:pStyle w:val="1146"/>
              <w:ind w:firstLine="0"/>
              <w:jc w:val="center"/>
              <w:widowControl w:val="off"/>
              <w:rPr>
                <w:rFonts w:ascii="Arial Narrow" w:hAnsi="Arial Narrow"/>
                <w:sz w:val="20"/>
              </w:rPr>
            </w:pPr>
            <w:r>
              <w:rPr>
                <w:rFonts w:ascii="Arial Narrow" w:hAnsi="Arial Narrow" w:cs="Calibri"/>
                <w:b/>
                <w:sz w:val="20"/>
              </w:rPr>
              <w:t xml:space="preserve">31.12.2022</w:t>
            </w:r>
            <w:r>
              <w:rPr>
                <w:rFonts w:ascii="Arial Narrow" w:hAnsi="Arial Narrow"/>
                <w:sz w:val="20"/>
              </w:rPr>
            </w:r>
            <w:r>
              <w:rPr>
                <w:rFonts w:ascii="Arial Narrow" w:hAnsi="Arial Narrow"/>
                <w:sz w:val="20"/>
              </w:rPr>
            </w:r>
          </w:p>
        </w:tc>
        <w:tc>
          <w:tcPr>
            <w:gridSpan w:val="2"/>
            <w:tcBorders>
              <w:top w:val="single" w:color="000000" w:sz="4" w:space="0"/>
              <w:left w:val="single" w:color="000000" w:sz="4" w:space="0"/>
              <w:bottom w:val="single" w:color="000000" w:sz="4" w:space="0"/>
              <w:right w:val="single" w:color="000000" w:sz="4" w:space="0"/>
            </w:tcBorders>
            <w:tcW w:w="1722" w:type="dxa"/>
            <w:vAlign w:val="center"/>
            <w:textDirection w:val="lrTb"/>
            <w:noWrap w:val="false"/>
          </w:tcPr>
          <w:p>
            <w:pPr>
              <w:pStyle w:val="1146"/>
              <w:ind w:firstLine="0"/>
              <w:jc w:val="center"/>
              <w:widowControl w:val="off"/>
              <w:rPr>
                <w:rFonts w:ascii="Arial Narrow" w:hAnsi="Arial Narrow"/>
                <w:sz w:val="20"/>
              </w:rPr>
            </w:pPr>
            <w:r>
              <w:rPr>
                <w:rFonts w:ascii="Arial Narrow" w:hAnsi="Arial Narrow" w:cs="Calibri"/>
                <w:b/>
                <w:sz w:val="20"/>
              </w:rPr>
              <w:t xml:space="preserve">31.12.2023</w:t>
            </w:r>
            <w:r>
              <w:rPr>
                <w:rFonts w:ascii="Arial Narrow" w:hAnsi="Arial Narrow"/>
                <w:sz w:val="20"/>
              </w:rPr>
            </w:r>
            <w:r>
              <w:rPr>
                <w:rFonts w:ascii="Arial Narrow" w:hAnsi="Arial Narrow"/>
                <w:sz w:val="20"/>
              </w:rPr>
            </w:r>
          </w:p>
        </w:tc>
        <w:tc>
          <w:tcPr>
            <w:gridSpan w:val="2"/>
            <w:tcBorders>
              <w:top w:val="single" w:color="000000" w:sz="4" w:space="0"/>
              <w:left w:val="single" w:color="000000" w:sz="4" w:space="0"/>
              <w:bottom w:val="single" w:color="000000" w:sz="4" w:space="0"/>
              <w:right w:val="single" w:color="000000" w:sz="4" w:space="0"/>
            </w:tcBorders>
            <w:tcW w:w="1876" w:type="dxa"/>
            <w:vAlign w:val="center"/>
            <w:textDirection w:val="lrTb"/>
            <w:noWrap w:val="false"/>
          </w:tcPr>
          <w:p>
            <w:pPr>
              <w:pStyle w:val="1146"/>
              <w:ind w:firstLine="0"/>
              <w:jc w:val="center"/>
              <w:widowControl w:val="off"/>
              <w:rPr>
                <w:rFonts w:ascii="Arial Narrow" w:hAnsi="Arial Narrow"/>
                <w:sz w:val="20"/>
              </w:rPr>
            </w:pPr>
            <w:r>
              <w:rPr>
                <w:rFonts w:ascii="Arial Narrow" w:hAnsi="Arial Narrow" w:cs="Calibri"/>
                <w:b/>
                <w:sz w:val="20"/>
              </w:rPr>
              <w:t xml:space="preserve">31.12.2024</w:t>
            </w:r>
            <w:r>
              <w:rPr>
                <w:rFonts w:ascii="Arial Narrow" w:hAnsi="Arial Narrow"/>
                <w:sz w:val="20"/>
              </w:rPr>
            </w:r>
            <w:r>
              <w:rPr>
                <w:rFonts w:ascii="Arial Narrow" w:hAnsi="Arial Narrow"/>
                <w:sz w:val="20"/>
              </w:rPr>
            </w:r>
          </w:p>
        </w:tc>
      </w:tr>
      <w:tr>
        <w:trPr>
          <w:jc w:val="center"/>
          <w:trHeight w:val="45"/>
        </w:trPr>
        <w:tc>
          <w:tcPr>
            <w:tcBorders>
              <w:top w:val="single" w:color="000000" w:sz="4" w:space="0"/>
              <w:left w:val="single" w:color="000000" w:sz="4" w:space="0"/>
              <w:bottom w:val="single" w:color="000000" w:sz="4" w:space="0"/>
              <w:right w:val="single" w:color="000000" w:sz="4" w:space="0"/>
            </w:tcBorders>
            <w:tcW w:w="4550" w:type="dxa"/>
            <w:vAlign w:val="center"/>
            <w:vMerge w:val="continue"/>
            <w:textDirection w:val="lrTb"/>
            <w:noWrap w:val="false"/>
          </w:tcPr>
          <w:p>
            <w:pPr>
              <w:pStyle w:val="1062"/>
              <w:rPr>
                <w:rFonts w:ascii="Arial Narrow" w:hAnsi="Arial Narrow"/>
                <w:sz w:val="20"/>
                <w:szCs w:val="20"/>
              </w:rPr>
            </w:pPr>
            <w:r>
              <w:rPr>
                <w:rFonts w:ascii="Arial Narrow" w:hAnsi="Arial Narrow"/>
                <w:sz w:val="20"/>
                <w:szCs w:val="20"/>
              </w:rPr>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953"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lang w:eastAsia="ru-RU"/>
              </w:rPr>
              <w:t xml:space="preserve">чел</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958"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lang w:eastAsia="ru-RU"/>
              </w:rPr>
              <w:t xml:space="preserve">%</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772"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lang w:eastAsia="ru-RU"/>
              </w:rPr>
              <w:t xml:space="preserve">чел</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950"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lang w:eastAsia="ru-RU"/>
              </w:rPr>
              <w:t xml:space="preserve">%</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957"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lang w:eastAsia="ru-RU"/>
              </w:rPr>
              <w:t xml:space="preserve">чел</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919"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lang w:eastAsia="ru-RU"/>
              </w:rPr>
              <w:t xml:space="preserve">%</w:t>
            </w:r>
            <w:r>
              <w:rPr>
                <w:rFonts w:ascii="Arial Narrow" w:hAnsi="Arial Narrow"/>
                <w:sz w:val="20"/>
                <w:szCs w:val="20"/>
              </w:rPr>
            </w:r>
            <w:r>
              <w:rPr>
                <w:rFonts w:ascii="Arial Narrow" w:hAnsi="Arial Narrow"/>
                <w:sz w:val="20"/>
                <w:szCs w:val="20"/>
              </w:rPr>
            </w:r>
          </w:p>
        </w:tc>
      </w:tr>
      <w:tr>
        <w:trPr>
          <w:jc w:val="center"/>
          <w:trHeight w:val="45"/>
        </w:trPr>
        <w:tc>
          <w:tcPr>
            <w:tcBorders>
              <w:top w:val="single" w:color="000000" w:sz="4" w:space="0"/>
              <w:left w:val="single" w:color="000000" w:sz="4" w:space="0"/>
              <w:bottom w:val="single" w:color="000000" w:sz="4" w:space="0"/>
              <w:right w:val="single" w:color="000000" w:sz="4" w:space="0"/>
            </w:tcBorders>
            <w:tcW w:w="4550" w:type="dxa"/>
            <w:vAlign w:val="center"/>
            <w:textDirection w:val="lrTb"/>
            <w:noWrap w:val="false"/>
          </w:tcPr>
          <w:p>
            <w:pPr>
              <w:pStyle w:val="1146"/>
              <w:ind w:firstLine="0"/>
              <w:jc w:val="left"/>
              <w:widowControl w:val="off"/>
              <w:rPr>
                <w:rFonts w:ascii="Arial Narrow" w:hAnsi="Arial Narrow"/>
                <w:sz w:val="20"/>
              </w:rPr>
            </w:pPr>
            <w:r>
              <w:rPr>
                <w:rFonts w:ascii="Arial Narrow" w:hAnsi="Arial Narrow" w:cs="Calibri"/>
                <w:sz w:val="20"/>
              </w:rPr>
              <w:t xml:space="preserve">Высшее образование</w:t>
            </w:r>
            <w:r>
              <w:rPr>
                <w:rFonts w:ascii="Arial Narrow" w:hAnsi="Arial Narrow"/>
                <w:sz w:val="20"/>
              </w:rPr>
            </w:r>
            <w:r>
              <w:rPr>
                <w:rFonts w:ascii="Arial Narrow" w:hAnsi="Arial Narrow"/>
                <w:sz w:val="20"/>
              </w:rPr>
            </w:r>
          </w:p>
        </w:tc>
        <w:tc>
          <w:tcPr>
            <w:tcBorders>
              <w:top w:val="single" w:color="000000" w:sz="4" w:space="0"/>
              <w:left w:val="single" w:color="000000" w:sz="4" w:space="0"/>
              <w:bottom w:val="single" w:color="000000" w:sz="4" w:space="0"/>
              <w:right w:val="single" w:color="000000" w:sz="4" w:space="0"/>
            </w:tcBorders>
            <w:tcW w:w="953"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lang w:eastAsia="ru-RU"/>
              </w:rPr>
              <w:t xml:space="preserve">1 527</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958"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lang w:eastAsia="ru-RU"/>
              </w:rPr>
              <w:t xml:space="preserve">38,5</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772"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lang w:eastAsia="ru-RU"/>
              </w:rPr>
              <w:t xml:space="preserve">1 481</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950"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lang w:eastAsia="ru-RU"/>
              </w:rPr>
              <w:t xml:space="preserve">38,0</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957"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lang w:eastAsia="ru-RU"/>
              </w:rPr>
              <w:t xml:space="preserve">1 518</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919"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lang w:eastAsia="ru-RU"/>
              </w:rPr>
              <w:t xml:space="preserve">39,0</w:t>
            </w:r>
            <w:r>
              <w:rPr>
                <w:rFonts w:ascii="Arial Narrow" w:hAnsi="Arial Narrow"/>
                <w:sz w:val="20"/>
                <w:szCs w:val="20"/>
              </w:rPr>
            </w:r>
            <w:r>
              <w:rPr>
                <w:rFonts w:ascii="Arial Narrow" w:hAnsi="Arial Narrow"/>
                <w:sz w:val="20"/>
                <w:szCs w:val="20"/>
              </w:rPr>
            </w:r>
          </w:p>
        </w:tc>
      </w:tr>
      <w:tr>
        <w:trPr>
          <w:jc w:val="center"/>
          <w:trHeight w:val="68"/>
        </w:trPr>
        <w:tc>
          <w:tcPr>
            <w:tcBorders>
              <w:top w:val="single" w:color="000000" w:sz="4" w:space="0"/>
              <w:left w:val="single" w:color="000000" w:sz="4" w:space="0"/>
              <w:bottom w:val="single" w:color="000000" w:sz="4" w:space="0"/>
              <w:right w:val="single" w:color="000000" w:sz="4" w:space="0"/>
            </w:tcBorders>
            <w:tcW w:w="4550" w:type="dxa"/>
            <w:vAlign w:val="center"/>
            <w:textDirection w:val="lrTb"/>
            <w:noWrap w:val="false"/>
          </w:tcPr>
          <w:p>
            <w:pPr>
              <w:pStyle w:val="1146"/>
              <w:ind w:firstLine="0"/>
              <w:jc w:val="left"/>
              <w:widowControl w:val="off"/>
              <w:rPr>
                <w:rFonts w:ascii="Arial Narrow" w:hAnsi="Arial Narrow"/>
                <w:sz w:val="20"/>
              </w:rPr>
            </w:pPr>
            <w:r>
              <w:rPr>
                <w:rFonts w:ascii="Arial Narrow" w:hAnsi="Arial Narrow" w:cs="Calibri"/>
                <w:sz w:val="20"/>
              </w:rPr>
              <w:t xml:space="preserve">Среднее профессиональное</w:t>
            </w:r>
            <w:r>
              <w:rPr>
                <w:rFonts w:ascii="Arial Narrow" w:hAnsi="Arial Narrow"/>
                <w:sz w:val="20"/>
              </w:rPr>
            </w:r>
            <w:r>
              <w:rPr>
                <w:rFonts w:ascii="Arial Narrow" w:hAnsi="Arial Narrow"/>
                <w:sz w:val="20"/>
              </w:rPr>
            </w:r>
          </w:p>
        </w:tc>
        <w:tc>
          <w:tcPr>
            <w:tcBorders>
              <w:top w:val="single" w:color="000000" w:sz="4" w:space="0"/>
              <w:left w:val="single" w:color="000000" w:sz="4" w:space="0"/>
              <w:bottom w:val="single" w:color="000000" w:sz="4" w:space="0"/>
              <w:right w:val="single" w:color="000000" w:sz="4" w:space="0"/>
            </w:tcBorders>
            <w:tcW w:w="953"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lang w:eastAsia="ru-RU"/>
              </w:rPr>
              <w:t xml:space="preserve">1 824</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958"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lang w:eastAsia="ru-RU"/>
              </w:rPr>
              <w:t xml:space="preserve">46,0</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772"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lang w:eastAsia="ru-RU"/>
              </w:rPr>
              <w:t xml:space="preserve">1 820</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950"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lang w:eastAsia="ru-RU"/>
              </w:rPr>
              <w:t xml:space="preserve">46,6</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957"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lang w:eastAsia="ru-RU"/>
              </w:rPr>
              <w:t xml:space="preserve">1 798</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919"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lang w:eastAsia="ru-RU"/>
              </w:rPr>
              <w:t xml:space="preserve">46,1</w:t>
            </w:r>
            <w:r>
              <w:rPr>
                <w:rFonts w:ascii="Arial Narrow" w:hAnsi="Arial Narrow"/>
                <w:sz w:val="20"/>
                <w:szCs w:val="20"/>
              </w:rPr>
            </w:r>
            <w:r>
              <w:rPr>
                <w:rFonts w:ascii="Arial Narrow" w:hAnsi="Arial Narrow"/>
                <w:sz w:val="20"/>
                <w:szCs w:val="20"/>
              </w:rPr>
            </w:r>
          </w:p>
        </w:tc>
      </w:tr>
      <w:tr>
        <w:trPr>
          <w:jc w:val="center"/>
          <w:trHeight w:val="56"/>
        </w:trPr>
        <w:tc>
          <w:tcPr>
            <w:tcBorders>
              <w:top w:val="single" w:color="000000" w:sz="4" w:space="0"/>
              <w:left w:val="single" w:color="000000" w:sz="4" w:space="0"/>
              <w:bottom w:val="single" w:color="000000" w:sz="4" w:space="0"/>
              <w:right w:val="single" w:color="000000" w:sz="4" w:space="0"/>
            </w:tcBorders>
            <w:tcW w:w="4550" w:type="dxa"/>
            <w:vAlign w:val="center"/>
            <w:textDirection w:val="lrTb"/>
            <w:noWrap w:val="false"/>
          </w:tcPr>
          <w:p>
            <w:pPr>
              <w:pStyle w:val="1146"/>
              <w:ind w:firstLine="0"/>
              <w:jc w:val="left"/>
              <w:widowControl w:val="off"/>
              <w:rPr>
                <w:rFonts w:ascii="Arial Narrow" w:hAnsi="Arial Narrow"/>
                <w:sz w:val="20"/>
              </w:rPr>
            </w:pPr>
            <w:r>
              <w:rPr>
                <w:rFonts w:ascii="Arial Narrow" w:hAnsi="Arial Narrow" w:cs="Calibri"/>
                <w:sz w:val="20"/>
              </w:rPr>
              <w:t xml:space="preserve">Среднее общее</w:t>
            </w:r>
            <w:r>
              <w:rPr>
                <w:rFonts w:ascii="Arial Narrow" w:hAnsi="Arial Narrow"/>
                <w:sz w:val="20"/>
              </w:rPr>
            </w:r>
            <w:r>
              <w:rPr>
                <w:rFonts w:ascii="Arial Narrow" w:hAnsi="Arial Narrow"/>
                <w:sz w:val="20"/>
              </w:rPr>
            </w:r>
          </w:p>
        </w:tc>
        <w:tc>
          <w:tcPr>
            <w:tcBorders>
              <w:top w:val="single" w:color="000000" w:sz="4" w:space="0"/>
              <w:left w:val="single" w:color="000000" w:sz="4" w:space="0"/>
              <w:bottom w:val="single" w:color="000000" w:sz="4" w:space="0"/>
              <w:right w:val="single" w:color="000000" w:sz="4" w:space="0"/>
            </w:tcBorders>
            <w:tcW w:w="953"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lang w:eastAsia="ru-RU"/>
              </w:rPr>
              <w:t xml:space="preserve">613</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958"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lang w:eastAsia="ru-RU"/>
              </w:rPr>
              <w:t xml:space="preserve">15,4</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772"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lang w:eastAsia="ru-RU"/>
              </w:rPr>
              <w:t xml:space="preserve">530</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950"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lang w:eastAsia="ru-RU"/>
              </w:rPr>
              <w:t xml:space="preserve">13,6</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957"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lang w:eastAsia="ru-RU"/>
              </w:rPr>
              <w:t xml:space="preserve">507</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919"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lang w:eastAsia="ru-RU"/>
              </w:rPr>
              <w:t xml:space="preserve">13,0</w:t>
            </w:r>
            <w:r>
              <w:rPr>
                <w:rFonts w:ascii="Arial Narrow" w:hAnsi="Arial Narrow"/>
                <w:sz w:val="20"/>
                <w:szCs w:val="20"/>
              </w:rPr>
            </w:r>
            <w:r>
              <w:rPr>
                <w:rFonts w:ascii="Arial Narrow" w:hAnsi="Arial Narrow"/>
                <w:sz w:val="20"/>
                <w:szCs w:val="20"/>
              </w:rPr>
            </w:r>
          </w:p>
        </w:tc>
      </w:tr>
      <w:tr>
        <w:trPr>
          <w:jc w:val="center"/>
          <w:trHeight w:val="45"/>
        </w:trPr>
        <w:tc>
          <w:tcPr>
            <w:tcBorders>
              <w:top w:val="single" w:color="000000" w:sz="4" w:space="0"/>
              <w:left w:val="single" w:color="000000" w:sz="4" w:space="0"/>
              <w:bottom w:val="single" w:color="000000" w:sz="4" w:space="0"/>
              <w:right w:val="single" w:color="000000" w:sz="4" w:space="0"/>
            </w:tcBorders>
            <w:tcW w:w="4550" w:type="dxa"/>
            <w:vAlign w:val="center"/>
            <w:textDirection w:val="lrTb"/>
            <w:noWrap w:val="false"/>
          </w:tcPr>
          <w:p>
            <w:pPr>
              <w:pStyle w:val="1146"/>
              <w:ind w:firstLine="0"/>
              <w:jc w:val="left"/>
              <w:widowControl w:val="off"/>
              <w:rPr>
                <w:rFonts w:ascii="Arial Narrow" w:hAnsi="Arial Narrow"/>
                <w:sz w:val="20"/>
              </w:rPr>
            </w:pPr>
            <w:r>
              <w:rPr>
                <w:rFonts w:ascii="Arial Narrow" w:hAnsi="Arial Narrow" w:cs="Calibri"/>
                <w:sz w:val="20"/>
              </w:rPr>
              <w:t xml:space="preserve">Начальное и основное общее</w:t>
            </w:r>
            <w:r>
              <w:rPr>
                <w:rFonts w:ascii="Arial Narrow" w:hAnsi="Arial Narrow"/>
                <w:sz w:val="20"/>
              </w:rPr>
            </w:r>
            <w:r>
              <w:rPr>
                <w:rFonts w:ascii="Arial Narrow" w:hAnsi="Arial Narrow"/>
                <w:sz w:val="20"/>
              </w:rPr>
            </w:r>
          </w:p>
        </w:tc>
        <w:tc>
          <w:tcPr>
            <w:tcBorders>
              <w:top w:val="single" w:color="000000" w:sz="4" w:space="0"/>
              <w:left w:val="single" w:color="000000" w:sz="4" w:space="0"/>
              <w:bottom w:val="single" w:color="000000" w:sz="4" w:space="0"/>
              <w:right w:val="single" w:color="000000" w:sz="4" w:space="0"/>
            </w:tcBorders>
            <w:tcW w:w="953"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lang w:eastAsia="ru-RU"/>
              </w:rPr>
              <w:t xml:space="preserve">5</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958"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lang w:eastAsia="ru-RU"/>
              </w:rPr>
              <w:t xml:space="preserve">0,1</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772"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lang w:eastAsia="ru-RU"/>
              </w:rPr>
              <w:t xml:space="preserve">72</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950"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lang w:eastAsia="ru-RU"/>
              </w:rPr>
              <w:t xml:space="preserve">1,8</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957"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lang w:eastAsia="ru-RU"/>
              </w:rPr>
              <w:t xml:space="preserve">73</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919"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lang w:eastAsia="ru-RU"/>
              </w:rPr>
              <w:t xml:space="preserve">1,9</w:t>
            </w:r>
            <w:r>
              <w:rPr>
                <w:rFonts w:ascii="Arial Narrow" w:hAnsi="Arial Narrow"/>
                <w:sz w:val="20"/>
                <w:szCs w:val="20"/>
              </w:rPr>
            </w:r>
            <w:r>
              <w:rPr>
                <w:rFonts w:ascii="Arial Narrow" w:hAnsi="Arial Narrow"/>
                <w:sz w:val="20"/>
                <w:szCs w:val="20"/>
              </w:rPr>
            </w:r>
          </w:p>
        </w:tc>
      </w:tr>
      <w:tr>
        <w:trPr>
          <w:jc w:val="center"/>
          <w:trHeight w:val="56"/>
        </w:trPr>
        <w:tc>
          <w:tcPr>
            <w:tcBorders>
              <w:top w:val="single" w:color="000000" w:sz="4" w:space="0"/>
              <w:left w:val="single" w:color="000000" w:sz="4" w:space="0"/>
              <w:bottom w:val="single" w:color="000000" w:sz="4" w:space="0"/>
              <w:right w:val="single" w:color="000000" w:sz="4" w:space="0"/>
            </w:tcBorders>
            <w:tcW w:w="4550" w:type="dxa"/>
            <w:vAlign w:val="center"/>
            <w:textDirection w:val="lrTb"/>
            <w:noWrap w:val="false"/>
          </w:tcPr>
          <w:p>
            <w:pPr>
              <w:pStyle w:val="1146"/>
              <w:ind w:firstLine="0"/>
              <w:jc w:val="left"/>
              <w:widowControl w:val="off"/>
              <w:rPr>
                <w:rFonts w:ascii="Arial Narrow" w:hAnsi="Arial Narrow"/>
                <w:sz w:val="20"/>
              </w:rPr>
            </w:pPr>
            <w:r>
              <w:rPr>
                <w:rFonts w:ascii="Arial Narrow" w:hAnsi="Arial Narrow" w:cs="Calibri"/>
                <w:b/>
                <w:sz w:val="20"/>
              </w:rPr>
              <w:t xml:space="preserve">Всего</w:t>
            </w:r>
            <w:r>
              <w:rPr>
                <w:rFonts w:ascii="Arial Narrow" w:hAnsi="Arial Narrow"/>
                <w:sz w:val="20"/>
              </w:rPr>
            </w:r>
            <w:r>
              <w:rPr>
                <w:rFonts w:ascii="Arial Narrow" w:hAnsi="Arial Narrow"/>
                <w:sz w:val="20"/>
              </w:rPr>
            </w:r>
          </w:p>
        </w:tc>
        <w:tc>
          <w:tcPr>
            <w:tcBorders>
              <w:top w:val="single" w:color="000000" w:sz="4" w:space="0"/>
              <w:left w:val="single" w:color="000000" w:sz="4" w:space="0"/>
              <w:bottom w:val="single" w:color="000000" w:sz="4" w:space="0"/>
              <w:right w:val="single" w:color="000000" w:sz="4" w:space="0"/>
            </w:tcBorders>
            <w:tcW w:w="953"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lang w:eastAsia="ru-RU"/>
              </w:rPr>
              <w:t xml:space="preserve">3 969</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958"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lang w:eastAsia="ru-RU"/>
              </w:rPr>
              <w:t xml:space="preserve">100</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772"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lang w:eastAsia="ru-RU"/>
              </w:rPr>
              <w:t xml:space="preserve">3903</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950" w:type="dxa"/>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lang w:eastAsia="ru-RU"/>
              </w:rPr>
              <w:t xml:space="preserve">100</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957"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lang w:eastAsia="ru-RU"/>
              </w:rPr>
              <w:t xml:space="preserve">3896</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919"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lang w:eastAsia="ru-RU"/>
              </w:rPr>
              <w:t xml:space="preserve">100</w:t>
            </w:r>
            <w:r>
              <w:rPr>
                <w:rFonts w:ascii="Arial Narrow" w:hAnsi="Arial Narrow"/>
                <w:sz w:val="20"/>
                <w:szCs w:val="20"/>
              </w:rPr>
            </w:r>
            <w:r>
              <w:rPr>
                <w:rFonts w:ascii="Arial Narrow" w:hAnsi="Arial Narrow"/>
                <w:sz w:val="20"/>
                <w:szCs w:val="20"/>
              </w:rPr>
            </w:r>
          </w:p>
        </w:tc>
      </w:tr>
    </w:tbl>
    <w:p>
      <w:pPr>
        <w:pStyle w:val="1063"/>
        <w:ind w:firstLine="567"/>
        <w:jc w:val="both"/>
        <w:spacing w:before="120"/>
      </w:pPr>
      <w:r>
        <w:rPr>
          <w:rFonts w:ascii="Arial Narrow" w:hAnsi="Arial Narrow" w:cs="Calibri"/>
        </w:rPr>
        <w:t xml:space="preserve">Анализ качественного состава персонала показывает, что 85,1 % работников имеют высшее и среднее профессиональное образование. Преобладающим является среднее профессиональное образование.</w:t>
      </w:r>
      <w:r/>
    </w:p>
    <w:p>
      <w:pPr>
        <w:pStyle w:val="1063"/>
        <w:ind w:firstLine="567"/>
        <w:jc w:val="both"/>
      </w:pPr>
      <w:r>
        <w:rPr>
          <w:rFonts w:ascii="Arial Narrow" w:hAnsi="Arial Narrow" w:cs="Calibri"/>
        </w:rPr>
        <w:t xml:space="preserve">За период с 2022 года по 2024 год значительных изменений в пропорциях распределения персонала по уровню образования не произошло.</w:t>
      </w:r>
      <w:r/>
    </w:p>
    <w:p>
      <w:pPr>
        <w:pStyle w:val="1063"/>
        <w:jc w:val="both"/>
        <w:tabs>
          <w:tab w:val="left" w:pos="566" w:leader="none"/>
          <w:tab w:val="left" w:pos="850" w:leader="none"/>
        </w:tabs>
        <w:rPr>
          <w:rFonts w:ascii="Arial Narrow" w:hAnsi="Arial Narrow" w:cs="Calibri"/>
          <w:color w:val="314e87"/>
          <w:sz w:val="12"/>
          <w:szCs w:val="12"/>
        </w:rPr>
      </w:pPr>
      <w:r>
        <w:rPr>
          <w:rFonts w:ascii="Arial Narrow" w:hAnsi="Arial Narrow" w:cs="Calibri"/>
          <w:color w:val="314e87"/>
          <w:sz w:val="12"/>
          <w:szCs w:val="12"/>
        </w:rPr>
      </w:r>
      <w:r>
        <w:rPr>
          <w:rFonts w:ascii="Arial Narrow" w:hAnsi="Arial Narrow" w:cs="Calibri"/>
          <w:color w:val="314e87"/>
          <w:sz w:val="12"/>
          <w:szCs w:val="12"/>
        </w:rPr>
      </w:r>
      <w:r>
        <w:rPr>
          <w:rFonts w:ascii="Arial Narrow" w:hAnsi="Arial Narrow" w:cs="Calibri"/>
          <w:color w:val="314e87"/>
          <w:sz w:val="12"/>
          <w:szCs w:val="12"/>
        </w:rPr>
      </w:r>
    </w:p>
    <w:p>
      <w:pPr>
        <w:pStyle w:val="1063"/>
        <w:jc w:val="both"/>
        <w:tabs>
          <w:tab w:val="left" w:pos="566" w:leader="none"/>
          <w:tab w:val="left" w:pos="850" w:leader="none"/>
        </w:tabs>
      </w:pPr>
      <w:r>
        <w:rPr>
          <w:rFonts w:ascii="Arial Narrow" w:hAnsi="Arial Narrow" w:cs="Calibri"/>
          <w:color w:val="314e87"/>
        </w:rPr>
        <w:t xml:space="preserve">Данные по движению персонала</w:t>
      </w:r>
      <w:r/>
    </w:p>
    <w:p>
      <w:pPr>
        <w:pStyle w:val="1063"/>
        <w:ind w:left="7200" w:firstLine="720"/>
        <w:jc w:val="center"/>
      </w:pPr>
      <w:r>
        <w:rPr>
          <w:rFonts w:ascii="Arial Narrow" w:hAnsi="Arial Narrow" w:eastAsia="Calibri" w:cs="Calibri"/>
          <w:i/>
          <w:lang w:eastAsia="ja-JP"/>
        </w:rPr>
        <w:t xml:space="preserve">        Таблица № 33</w:t>
      </w:r>
      <w:r/>
    </w:p>
    <w:tbl>
      <w:tblPr>
        <w:tblW w:w="10014" w:type="dxa"/>
        <w:jc w:val="center"/>
        <w:tblLayout w:type="fixed"/>
        <w:tblLook w:val="04A0" w:firstRow="1" w:lastRow="0" w:firstColumn="1" w:lastColumn="0" w:noHBand="0" w:noVBand="1"/>
      </w:tblPr>
      <w:tblGrid>
        <w:gridCol w:w="4958"/>
        <w:gridCol w:w="1701"/>
        <w:gridCol w:w="1699"/>
        <w:gridCol w:w="1656"/>
      </w:tblGrid>
      <w:tr>
        <w:trPr>
          <w:jc w:val="center"/>
          <w:trHeight w:val="40"/>
        </w:trPr>
        <w:tc>
          <w:tcPr>
            <w:tcBorders>
              <w:top w:val="single" w:color="000000" w:sz="4" w:space="0"/>
              <w:left w:val="single" w:color="000000" w:sz="4" w:space="0"/>
              <w:bottom w:val="single" w:color="000000" w:sz="4" w:space="0"/>
              <w:right w:val="single" w:color="000000" w:sz="4" w:space="0"/>
            </w:tcBorders>
            <w:tcW w:w="4957" w:type="dxa"/>
            <w:vAlign w:val="center"/>
            <w:textDirection w:val="lrTb"/>
            <w:noWrap w:val="false"/>
          </w:tcPr>
          <w:p>
            <w:pPr>
              <w:pStyle w:val="1146"/>
              <w:ind w:firstLine="0"/>
              <w:jc w:val="center"/>
              <w:spacing w:line="276" w:lineRule="auto"/>
              <w:widowControl w:val="off"/>
              <w:rPr>
                <w:rFonts w:ascii="Arial Narrow" w:hAnsi="Arial Narrow" w:cs="Calibri"/>
                <w:b/>
                <w:sz w:val="20"/>
              </w:rPr>
            </w:pPr>
            <w:r>
              <w:rPr>
                <w:rFonts w:ascii="Arial Narrow" w:hAnsi="Arial Narrow" w:cs="Calibri"/>
                <w:b/>
                <w:sz w:val="20"/>
              </w:rPr>
            </w:r>
            <w:r>
              <w:rPr>
                <w:rFonts w:ascii="Arial Narrow" w:hAnsi="Arial Narrow" w:cs="Calibri"/>
                <w:b/>
                <w:sz w:val="20"/>
              </w:rPr>
            </w:r>
            <w:r>
              <w:rPr>
                <w:rFonts w:ascii="Arial Narrow" w:hAnsi="Arial Narrow" w:cs="Calibri"/>
                <w:b/>
                <w:sz w:val="20"/>
              </w:rPr>
            </w:r>
          </w:p>
        </w:tc>
        <w:tc>
          <w:tcPr>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1146"/>
              <w:ind w:firstLine="0"/>
              <w:jc w:val="center"/>
              <w:spacing w:line="276" w:lineRule="auto"/>
              <w:widowControl w:val="off"/>
              <w:rPr>
                <w:sz w:val="20"/>
              </w:rPr>
            </w:pPr>
            <w:r>
              <w:rPr>
                <w:rFonts w:ascii="Arial Narrow" w:hAnsi="Arial Narrow" w:cs="Calibri"/>
                <w:b/>
                <w:sz w:val="20"/>
              </w:rPr>
              <w:t xml:space="preserve">31.12.2022</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699" w:type="dxa"/>
            <w:vAlign w:val="center"/>
            <w:textDirection w:val="lrTb"/>
            <w:noWrap w:val="false"/>
          </w:tcPr>
          <w:p>
            <w:pPr>
              <w:pStyle w:val="1146"/>
              <w:ind w:firstLine="0"/>
              <w:jc w:val="center"/>
              <w:spacing w:line="276" w:lineRule="auto"/>
              <w:widowControl w:val="off"/>
              <w:rPr>
                <w:sz w:val="20"/>
              </w:rPr>
            </w:pPr>
            <w:r>
              <w:rPr>
                <w:rFonts w:ascii="Arial Narrow" w:hAnsi="Arial Narrow" w:cs="Calibri"/>
                <w:b/>
                <w:sz w:val="20"/>
              </w:rPr>
              <w:t xml:space="preserve">31.12.2023</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656" w:type="dxa"/>
            <w:vAlign w:val="center"/>
            <w:textDirection w:val="lrTb"/>
            <w:noWrap w:val="false"/>
          </w:tcPr>
          <w:p>
            <w:pPr>
              <w:pStyle w:val="1146"/>
              <w:ind w:firstLine="0"/>
              <w:jc w:val="center"/>
              <w:spacing w:line="276" w:lineRule="auto"/>
              <w:widowControl w:val="off"/>
              <w:rPr>
                <w:sz w:val="20"/>
              </w:rPr>
            </w:pPr>
            <w:r>
              <w:rPr>
                <w:rFonts w:ascii="Arial Narrow" w:hAnsi="Arial Narrow" w:cs="Calibri"/>
                <w:b/>
                <w:sz w:val="20"/>
              </w:rPr>
              <w:t xml:space="preserve">31.12.2024</w:t>
            </w:r>
            <w:r>
              <w:rPr>
                <w:sz w:val="20"/>
              </w:rPr>
            </w:r>
            <w:r>
              <w:rPr>
                <w:sz w:val="20"/>
              </w:rPr>
            </w:r>
          </w:p>
        </w:tc>
      </w:tr>
      <w:tr>
        <w:trPr>
          <w:jc w:val="center"/>
          <w:trHeight w:val="40"/>
        </w:trPr>
        <w:tc>
          <w:tcPr>
            <w:tcBorders>
              <w:top w:val="single" w:color="000000" w:sz="4" w:space="0"/>
              <w:left w:val="single" w:color="000000" w:sz="4" w:space="0"/>
              <w:bottom w:val="single" w:color="000000" w:sz="4" w:space="0"/>
              <w:right w:val="single" w:color="000000" w:sz="4" w:space="0"/>
            </w:tcBorders>
            <w:tcW w:w="4957" w:type="dxa"/>
            <w:textDirection w:val="lrTb"/>
            <w:noWrap w:val="false"/>
          </w:tcPr>
          <w:p>
            <w:pPr>
              <w:pStyle w:val="1146"/>
              <w:ind w:firstLine="0"/>
              <w:jc w:val="left"/>
              <w:spacing w:line="276" w:lineRule="auto"/>
              <w:widowControl w:val="off"/>
              <w:rPr>
                <w:sz w:val="20"/>
              </w:rPr>
            </w:pPr>
            <w:r>
              <w:rPr>
                <w:rFonts w:ascii="Arial Narrow" w:hAnsi="Arial Narrow" w:cs="Calibri"/>
                <w:sz w:val="20"/>
              </w:rPr>
              <w:t xml:space="preserve">Коэффициент оборота по принятым работникам</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11,37</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699"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10,4</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656"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9.7</w:t>
            </w:r>
            <w:r>
              <w:rPr>
                <w:sz w:val="20"/>
                <w:szCs w:val="20"/>
              </w:rPr>
            </w:r>
            <w:r>
              <w:rPr>
                <w:sz w:val="20"/>
                <w:szCs w:val="20"/>
              </w:rPr>
            </w:r>
          </w:p>
        </w:tc>
      </w:tr>
      <w:tr>
        <w:trPr>
          <w:jc w:val="center"/>
          <w:trHeight w:val="56"/>
        </w:trPr>
        <w:tc>
          <w:tcPr>
            <w:tcBorders>
              <w:top w:val="single" w:color="000000" w:sz="4" w:space="0"/>
              <w:left w:val="single" w:color="000000" w:sz="4" w:space="0"/>
              <w:bottom w:val="single" w:color="000000" w:sz="4" w:space="0"/>
              <w:right w:val="single" w:color="000000" w:sz="4" w:space="0"/>
            </w:tcBorders>
            <w:tcW w:w="4957" w:type="dxa"/>
            <w:textDirection w:val="lrTb"/>
            <w:noWrap w:val="false"/>
          </w:tcPr>
          <w:p>
            <w:pPr>
              <w:pStyle w:val="1146"/>
              <w:ind w:firstLine="0"/>
              <w:jc w:val="left"/>
              <w:spacing w:line="276" w:lineRule="auto"/>
              <w:widowControl w:val="off"/>
              <w:rPr>
                <w:sz w:val="20"/>
              </w:rPr>
            </w:pPr>
            <w:r>
              <w:rPr>
                <w:rFonts w:ascii="Arial Narrow" w:hAnsi="Arial Narrow" w:cs="Calibri"/>
                <w:sz w:val="20"/>
              </w:rPr>
              <w:t xml:space="preserve">Коэффициент оборота по уволенным работникам</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11,12</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699"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12,1</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656"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9.88</w:t>
            </w:r>
            <w:r>
              <w:rPr>
                <w:sz w:val="20"/>
                <w:szCs w:val="20"/>
              </w:rPr>
            </w:r>
            <w:r>
              <w:rPr>
                <w:sz w:val="20"/>
                <w:szCs w:val="20"/>
              </w:rPr>
            </w:r>
          </w:p>
        </w:tc>
      </w:tr>
      <w:tr>
        <w:trPr>
          <w:jc w:val="center"/>
          <w:trHeight w:val="56"/>
        </w:trPr>
        <w:tc>
          <w:tcPr>
            <w:tcBorders>
              <w:top w:val="single" w:color="000000" w:sz="4" w:space="0"/>
              <w:left w:val="single" w:color="000000" w:sz="4" w:space="0"/>
              <w:bottom w:val="single" w:color="000000" w:sz="4" w:space="0"/>
              <w:right w:val="single" w:color="000000" w:sz="4" w:space="0"/>
            </w:tcBorders>
            <w:tcW w:w="4957" w:type="dxa"/>
            <w:textDirection w:val="lrTb"/>
            <w:noWrap w:val="false"/>
          </w:tcPr>
          <w:p>
            <w:pPr>
              <w:pStyle w:val="1146"/>
              <w:ind w:firstLine="0"/>
              <w:jc w:val="left"/>
              <w:spacing w:line="276" w:lineRule="auto"/>
              <w:widowControl w:val="off"/>
              <w:rPr>
                <w:sz w:val="20"/>
              </w:rPr>
            </w:pPr>
            <w:r>
              <w:rPr>
                <w:rFonts w:ascii="Arial Narrow" w:hAnsi="Arial Narrow" w:cs="Calibri"/>
                <w:sz w:val="20"/>
              </w:rPr>
              <w:t xml:space="preserve">Коэффициент текучести кадров</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5,05</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699"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4,5</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656"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5.25</w:t>
            </w:r>
            <w:r>
              <w:rPr>
                <w:sz w:val="20"/>
                <w:szCs w:val="20"/>
              </w:rPr>
            </w:r>
            <w:r>
              <w:rPr>
                <w:sz w:val="20"/>
                <w:szCs w:val="20"/>
              </w:rPr>
            </w:r>
          </w:p>
        </w:tc>
      </w:tr>
    </w:tbl>
    <w:p>
      <w:pPr>
        <w:pStyle w:val="1063"/>
        <w:ind w:left="142" w:firstLine="567"/>
        <w:jc w:val="both"/>
        <w:rPr>
          <w:rFonts w:ascii="Arial Narrow" w:hAnsi="Arial Narrow" w:cs="Calibri"/>
          <w:sz w:val="12"/>
          <w:szCs w:val="12"/>
        </w:rPr>
      </w:pPr>
      <w:r>
        <w:rPr>
          <w:rFonts w:ascii="Arial Narrow" w:hAnsi="Arial Narrow" w:cs="Calibri"/>
          <w:sz w:val="12"/>
          <w:szCs w:val="12"/>
        </w:rPr>
      </w:r>
      <w:r>
        <w:rPr>
          <w:rFonts w:ascii="Arial Narrow" w:hAnsi="Arial Narrow" w:cs="Calibri"/>
          <w:sz w:val="12"/>
          <w:szCs w:val="12"/>
        </w:rPr>
      </w:r>
      <w:r>
        <w:rPr>
          <w:rFonts w:ascii="Arial Narrow" w:hAnsi="Arial Narrow" w:cs="Calibri"/>
          <w:sz w:val="12"/>
          <w:szCs w:val="12"/>
        </w:rPr>
      </w:r>
    </w:p>
    <w:p>
      <w:pPr>
        <w:pStyle w:val="1063"/>
        <w:ind w:firstLine="567"/>
        <w:jc w:val="both"/>
      </w:pPr>
      <w:r>
        <w:rPr>
          <w:rFonts w:ascii="Arial Narrow" w:hAnsi="Arial Narrow" w:cs="Calibri"/>
        </w:rPr>
        <w:t xml:space="preserve">Коэффициент текучести персонала за период 2024 года повысился в сравнении с аналогичным периодом 2023 года на 0,75 % и составляет 5,25 %, что входит в пределы допустимых значений, указывающий на относительно стабильный коллектив.</w:t>
      </w:r>
      <w:r/>
    </w:p>
    <w:p>
      <w:pPr>
        <w:pStyle w:val="1063"/>
        <w:ind w:firstLine="567"/>
        <w:jc w:val="both"/>
      </w:pPr>
      <w:r>
        <w:rPr>
          <w:rFonts w:ascii="Arial Narrow" w:hAnsi="Arial Narrow" w:cs="Calibri"/>
        </w:rPr>
        <w:t xml:space="preserve">Наибольший уровень текучести кадров зафиксирован по категории персонала «служащие» (11,36 %) и связан, с напряженностью и интенсивностью труда в ПАО «Камчатскэнерго», а также неудовлетворенностью работников уровнем заработной платы.  </w:t>
      </w:r>
      <w:r/>
    </w:p>
    <w:p>
      <w:pPr>
        <w:pStyle w:val="1063"/>
        <w:ind w:firstLine="567"/>
        <w:jc w:val="both"/>
      </w:pPr>
      <w:r>
        <w:rPr>
          <w:rFonts w:ascii="Arial Narrow" w:hAnsi="Arial Narrow" w:cs="Calibri"/>
        </w:rPr>
        <w:t xml:space="preserve">Кадровые проблемы, связанные с текучестью кадров, решаютс</w:t>
      </w:r>
      <w:r>
        <w:rPr>
          <w:rFonts w:ascii="Arial Narrow" w:hAnsi="Arial Narrow" w:cs="Calibri"/>
        </w:rPr>
        <w:t xml:space="preserve">я как за счет внутренних источников: перераспределение работников по категориям, перераспределение трудовых функций, подготовка и переподготовка персонала, так и за счет – внешних: сотрудничество с Министерством труда и развития кадрового потенциала Камчат</w:t>
      </w:r>
      <w:r>
        <w:rPr>
          <w:rFonts w:ascii="Arial Narrow" w:hAnsi="Arial Narrow" w:cs="Calibri"/>
        </w:rPr>
        <w:t xml:space="preserve">ского края и Центром занятости населения, предоставление мест для прохождения практики студентами высших и средних образовательных учреждений. Реализация социального пакета и социальных программ (ДМС, НПО) направленных на привлечение и удержание персонала.</w:t>
      </w:r>
      <w:r/>
    </w:p>
    <w:p>
      <w:pPr>
        <w:pStyle w:val="1063"/>
        <w:jc w:val="both"/>
        <w:tabs>
          <w:tab w:val="left" w:pos="566" w:leader="none"/>
          <w:tab w:val="left" w:pos="850" w:leader="none"/>
        </w:tabs>
        <w:rPr>
          <w:rFonts w:ascii="Arial Narrow" w:hAnsi="Arial Narrow" w:cs="Calibri"/>
          <w:color w:val="314e87"/>
          <w:sz w:val="12"/>
          <w:szCs w:val="12"/>
        </w:rPr>
      </w:pPr>
      <w:r>
        <w:rPr>
          <w:rFonts w:ascii="Arial Narrow" w:hAnsi="Arial Narrow" w:cs="Calibri"/>
          <w:color w:val="314e87"/>
          <w:sz w:val="12"/>
          <w:szCs w:val="12"/>
        </w:rPr>
      </w:r>
      <w:r>
        <w:rPr>
          <w:rFonts w:ascii="Arial Narrow" w:hAnsi="Arial Narrow" w:cs="Calibri"/>
          <w:color w:val="314e87"/>
          <w:sz w:val="12"/>
          <w:szCs w:val="12"/>
        </w:rPr>
      </w:r>
      <w:r>
        <w:rPr>
          <w:rFonts w:ascii="Arial Narrow" w:hAnsi="Arial Narrow" w:cs="Calibri"/>
          <w:color w:val="314e87"/>
          <w:sz w:val="12"/>
          <w:szCs w:val="12"/>
        </w:rPr>
      </w:r>
    </w:p>
    <w:p>
      <w:pPr>
        <w:pStyle w:val="1063"/>
        <w:jc w:val="both"/>
        <w:tabs>
          <w:tab w:val="left" w:pos="566" w:leader="none"/>
          <w:tab w:val="left" w:pos="850" w:leader="none"/>
        </w:tabs>
        <w:rPr>
          <w:b/>
        </w:rPr>
      </w:pPr>
      <w:r>
        <w:rPr>
          <w:rFonts w:ascii="Arial Narrow" w:hAnsi="Arial Narrow" w:cs="Calibri"/>
          <w:b/>
          <w:color w:val="314e87"/>
        </w:rPr>
        <w:t xml:space="preserve">Расходы на оплату труда работников</w:t>
      </w:r>
      <w:r>
        <w:rPr>
          <w:b/>
        </w:rPr>
      </w:r>
      <w:r>
        <w:rPr>
          <w:b/>
        </w:rPr>
      </w:r>
    </w:p>
    <w:p>
      <w:pPr>
        <w:pStyle w:val="1063"/>
        <w:ind w:left="7200" w:firstLine="720"/>
        <w:jc w:val="center"/>
      </w:pPr>
      <w:r>
        <w:rPr>
          <w:rFonts w:ascii="Arial Narrow" w:hAnsi="Arial Narrow" w:eastAsia="Calibri" w:cs="Calibri"/>
          <w:i/>
          <w:lang w:eastAsia="ja-JP"/>
        </w:rPr>
        <w:t xml:space="preserve">            Таблица № 34</w:t>
      </w:r>
      <w:r/>
    </w:p>
    <w:tbl>
      <w:tblPr>
        <w:tblW w:w="10200" w:type="dxa"/>
        <w:jc w:val="center"/>
        <w:tblLayout w:type="fixed"/>
        <w:tblLook w:val="04A0" w:firstRow="1" w:lastRow="0" w:firstColumn="1" w:lastColumn="0" w:noHBand="0" w:noVBand="1"/>
      </w:tblPr>
      <w:tblGrid>
        <w:gridCol w:w="562"/>
        <w:gridCol w:w="5237"/>
        <w:gridCol w:w="1276"/>
        <w:gridCol w:w="1401"/>
        <w:gridCol w:w="1724"/>
      </w:tblGrid>
      <w:tr>
        <w:trPr>
          <w:jc w:val="center"/>
          <w:trHeight w:val="40"/>
        </w:trPr>
        <w:tc>
          <w:tcPr>
            <w:tcBorders>
              <w:top w:val="single" w:color="000000" w:sz="4" w:space="0"/>
              <w:left w:val="single" w:color="000000" w:sz="4" w:space="0"/>
              <w:bottom w:val="single" w:color="000000" w:sz="4" w:space="0"/>
              <w:right w:val="single" w:color="000000" w:sz="4" w:space="0"/>
            </w:tcBorders>
            <w:tcW w:w="562" w:type="dxa"/>
            <w:vAlign w:val="center"/>
            <w:textDirection w:val="lrTb"/>
            <w:noWrap w:val="false"/>
          </w:tcPr>
          <w:p>
            <w:pPr>
              <w:pStyle w:val="1146"/>
              <w:ind w:firstLine="0"/>
              <w:jc w:val="center"/>
              <w:spacing w:line="276" w:lineRule="auto"/>
              <w:widowControl w:val="off"/>
              <w:rPr>
                <w:sz w:val="20"/>
              </w:rPr>
            </w:pPr>
            <w:r>
              <w:rPr>
                <w:rFonts w:ascii="Arial Narrow" w:hAnsi="Arial Narrow" w:cs="Calibri"/>
                <w:b/>
                <w:sz w:val="20"/>
              </w:rPr>
              <w:t xml:space="preserve">№</w:t>
            </w:r>
            <w:r>
              <w:rPr>
                <w:sz w:val="20"/>
              </w:rPr>
            </w:r>
            <w:r>
              <w:rPr>
                <w:sz w:val="20"/>
              </w:rPr>
            </w:r>
          </w:p>
          <w:p>
            <w:pPr>
              <w:pStyle w:val="1146"/>
              <w:ind w:firstLine="0"/>
              <w:jc w:val="center"/>
              <w:spacing w:line="276" w:lineRule="auto"/>
              <w:widowControl w:val="off"/>
              <w:rPr>
                <w:sz w:val="20"/>
              </w:rPr>
            </w:pPr>
            <w:r>
              <w:rPr>
                <w:rFonts w:ascii="Arial Narrow" w:hAnsi="Arial Narrow" w:cs="Calibri"/>
                <w:b/>
                <w:sz w:val="20"/>
              </w:rPr>
              <w:t xml:space="preserve">п/п</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5237" w:type="dxa"/>
            <w:vAlign w:val="center"/>
            <w:textDirection w:val="lrTb"/>
            <w:noWrap w:val="false"/>
          </w:tcPr>
          <w:p>
            <w:pPr>
              <w:pStyle w:val="1146"/>
              <w:ind w:firstLine="0"/>
              <w:jc w:val="center"/>
              <w:spacing w:line="276" w:lineRule="auto"/>
              <w:widowControl w:val="off"/>
              <w:rPr>
                <w:sz w:val="20"/>
              </w:rPr>
            </w:pPr>
            <w:r>
              <w:rPr>
                <w:rFonts w:ascii="Arial Narrow" w:hAnsi="Arial Narrow" w:cs="Calibri"/>
                <w:b/>
                <w:sz w:val="20"/>
              </w:rPr>
              <w:t xml:space="preserve">Показатель</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pStyle w:val="1146"/>
              <w:ind w:firstLine="0"/>
              <w:jc w:val="center"/>
              <w:spacing w:line="276" w:lineRule="auto"/>
              <w:widowControl w:val="off"/>
              <w:rPr>
                <w:sz w:val="20"/>
              </w:rPr>
            </w:pPr>
            <w:r>
              <w:rPr>
                <w:rFonts w:ascii="Arial Narrow" w:hAnsi="Arial Narrow" w:cs="Calibri"/>
                <w:b/>
                <w:sz w:val="20"/>
              </w:rPr>
              <w:t xml:space="preserve">2022</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401" w:type="dxa"/>
            <w:vAlign w:val="center"/>
            <w:textDirection w:val="lrTb"/>
            <w:noWrap w:val="false"/>
          </w:tcPr>
          <w:p>
            <w:pPr>
              <w:pStyle w:val="1146"/>
              <w:ind w:firstLine="0"/>
              <w:jc w:val="center"/>
              <w:spacing w:line="276" w:lineRule="auto"/>
              <w:widowControl w:val="off"/>
              <w:rPr>
                <w:sz w:val="20"/>
              </w:rPr>
            </w:pPr>
            <w:r>
              <w:rPr>
                <w:rFonts w:ascii="Arial Narrow" w:hAnsi="Arial Narrow" w:cs="Calibri"/>
                <w:b/>
                <w:sz w:val="20"/>
              </w:rPr>
              <w:t xml:space="preserve">2023</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724" w:type="dxa"/>
            <w:vAlign w:val="center"/>
            <w:textDirection w:val="lrTb"/>
            <w:noWrap w:val="false"/>
          </w:tcPr>
          <w:p>
            <w:pPr>
              <w:pStyle w:val="1146"/>
              <w:ind w:firstLine="0"/>
              <w:jc w:val="center"/>
              <w:spacing w:line="276" w:lineRule="auto"/>
              <w:widowControl w:val="off"/>
              <w:rPr>
                <w:sz w:val="20"/>
              </w:rPr>
            </w:pPr>
            <w:r>
              <w:rPr>
                <w:rFonts w:ascii="Arial Narrow" w:hAnsi="Arial Narrow" w:cs="Calibri"/>
                <w:b/>
                <w:sz w:val="20"/>
              </w:rPr>
              <w:t xml:space="preserve">2024</w:t>
            </w:r>
            <w:r>
              <w:rPr>
                <w:sz w:val="20"/>
              </w:rPr>
            </w:r>
            <w:r>
              <w:rPr>
                <w:sz w:val="20"/>
              </w:rPr>
            </w:r>
          </w:p>
        </w:tc>
      </w:tr>
      <w:tr>
        <w:trPr>
          <w:jc w:val="center"/>
          <w:trHeight w:val="45"/>
        </w:trPr>
        <w:tc>
          <w:tcPr>
            <w:tcBorders>
              <w:top w:val="single" w:color="000000" w:sz="4" w:space="0"/>
              <w:left w:val="single" w:color="000000" w:sz="4" w:space="0"/>
              <w:bottom w:val="single" w:color="000000" w:sz="4" w:space="0"/>
              <w:right w:val="single" w:color="000000" w:sz="4" w:space="0"/>
            </w:tcBorders>
            <w:tcW w:w="562" w:type="dxa"/>
            <w:vAlign w:val="center"/>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1</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5237" w:type="dxa"/>
            <w:vAlign w:val="center"/>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Фонд заработной платы, тыс. рублей</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5 080 289,4</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401" w:type="dxa"/>
            <w:vAlign w:val="center"/>
            <w:textDirection w:val="lrTb"/>
            <w:noWrap w:val="false"/>
          </w:tcPr>
          <w:p>
            <w:pPr>
              <w:pStyle w:val="1063"/>
              <w:jc w:val="center"/>
              <w:widowControl w:val="off"/>
              <w:tabs>
                <w:tab w:val="left" w:pos="2976" w:leader="none"/>
              </w:tabs>
              <w:rPr>
                <w:sz w:val="20"/>
                <w:szCs w:val="20"/>
              </w:rPr>
            </w:pPr>
            <w:r>
              <w:rPr>
                <w:rFonts w:ascii="Arial Narrow" w:hAnsi="Arial Narrow" w:cs="Calibri"/>
                <w:sz w:val="20"/>
                <w:szCs w:val="20"/>
                <w:lang w:eastAsia="ru-RU"/>
              </w:rPr>
              <w:t xml:space="preserve">5 546 279,0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724" w:type="dxa"/>
            <w:vAlign w:val="center"/>
            <w:textDirection w:val="lrTb"/>
            <w:noWrap w:val="false"/>
          </w:tcPr>
          <w:p>
            <w:pPr>
              <w:pStyle w:val="1063"/>
              <w:jc w:val="center"/>
              <w:widowControl w:val="off"/>
              <w:tabs>
                <w:tab w:val="left" w:pos="2976" w:leader="none"/>
              </w:tabs>
              <w:rPr>
                <w:sz w:val="20"/>
                <w:szCs w:val="20"/>
              </w:rPr>
            </w:pPr>
            <w:r>
              <w:rPr>
                <w:rFonts w:ascii="Arial Narrow" w:hAnsi="Arial Narrow" w:cs="Calibri"/>
                <w:sz w:val="20"/>
                <w:szCs w:val="20"/>
                <w:lang w:eastAsia="ru-RU"/>
              </w:rPr>
              <w:t xml:space="preserve">5 769 024,4</w:t>
            </w:r>
            <w:r>
              <w:rPr>
                <w:sz w:val="20"/>
                <w:szCs w:val="20"/>
              </w:rPr>
            </w:r>
            <w:r>
              <w:rPr>
                <w:sz w:val="20"/>
                <w:szCs w:val="20"/>
              </w:rPr>
            </w:r>
          </w:p>
        </w:tc>
      </w:tr>
      <w:tr>
        <w:trPr>
          <w:jc w:val="center"/>
          <w:trHeight w:val="45"/>
        </w:trPr>
        <w:tc>
          <w:tcPr>
            <w:tcBorders>
              <w:top w:val="single" w:color="000000" w:sz="4" w:space="0"/>
              <w:left w:val="single" w:color="000000" w:sz="4" w:space="0"/>
              <w:bottom w:val="single" w:color="000000" w:sz="4" w:space="0"/>
              <w:right w:val="single" w:color="000000" w:sz="4" w:space="0"/>
            </w:tcBorders>
            <w:tcW w:w="562" w:type="dxa"/>
            <w:vAlign w:val="center"/>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2</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5237" w:type="dxa"/>
            <w:vAlign w:val="center"/>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Среднемесячная заработная плата 1 работника, рублей</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pStyle w:val="1063"/>
              <w:jc w:val="center"/>
              <w:widowControl w:val="off"/>
              <w:rPr>
                <w:sz w:val="20"/>
                <w:szCs w:val="20"/>
              </w:rPr>
            </w:pPr>
            <w:r>
              <w:rPr>
                <w:rFonts w:ascii="Arial Narrow" w:hAnsi="Arial Narrow" w:cs="Calibri"/>
                <w:sz w:val="20"/>
                <w:szCs w:val="20"/>
                <w:lang w:eastAsia="ru-RU"/>
              </w:rPr>
              <w:t xml:space="preserve">108 240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401" w:type="dxa"/>
            <w:vAlign w:val="center"/>
            <w:textDirection w:val="lrTb"/>
            <w:noWrap w:val="false"/>
          </w:tcPr>
          <w:p>
            <w:pPr>
              <w:pStyle w:val="1063"/>
              <w:jc w:val="center"/>
              <w:widowControl w:val="off"/>
              <w:tabs>
                <w:tab w:val="left" w:pos="2976" w:leader="none"/>
              </w:tabs>
              <w:rPr>
                <w:sz w:val="20"/>
                <w:szCs w:val="20"/>
              </w:rPr>
            </w:pPr>
            <w:r>
              <w:rPr>
                <w:rFonts w:ascii="Arial Narrow" w:hAnsi="Arial Narrow" w:cs="Calibri"/>
                <w:sz w:val="20"/>
                <w:szCs w:val="20"/>
                <w:lang w:eastAsia="ru-RU"/>
              </w:rPr>
              <w:t xml:space="preserve">119 089</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724" w:type="dxa"/>
            <w:vAlign w:val="center"/>
            <w:textDirection w:val="lrTb"/>
            <w:noWrap w:val="false"/>
          </w:tcPr>
          <w:p>
            <w:pPr>
              <w:pStyle w:val="1063"/>
              <w:jc w:val="center"/>
              <w:widowControl w:val="off"/>
              <w:tabs>
                <w:tab w:val="left" w:pos="2976" w:leader="none"/>
              </w:tabs>
              <w:rPr>
                <w:sz w:val="20"/>
                <w:szCs w:val="20"/>
              </w:rPr>
            </w:pPr>
            <w:r>
              <w:rPr>
                <w:rFonts w:ascii="Arial Narrow" w:hAnsi="Arial Narrow" w:cs="Calibri"/>
                <w:sz w:val="20"/>
                <w:szCs w:val="20"/>
                <w:lang w:eastAsia="ru-RU"/>
              </w:rPr>
              <w:t xml:space="preserve">126 093</w:t>
            </w:r>
            <w:r>
              <w:rPr>
                <w:sz w:val="20"/>
                <w:szCs w:val="20"/>
              </w:rPr>
            </w:r>
            <w:r>
              <w:rPr>
                <w:sz w:val="20"/>
                <w:szCs w:val="20"/>
              </w:rPr>
            </w:r>
          </w:p>
        </w:tc>
      </w:tr>
    </w:tbl>
    <w:p>
      <w:pPr>
        <w:pStyle w:val="1063"/>
        <w:jc w:val="both"/>
        <w:spacing w:after="80"/>
        <w:rPr>
          <w:rFonts w:ascii="Arial Narrow" w:hAnsi="Arial Narrow"/>
          <w:sz w:val="10"/>
          <w:szCs w:val="10"/>
        </w:rPr>
      </w:pPr>
      <w:r>
        <w:rPr>
          <w:rFonts w:ascii="Arial Narrow" w:hAnsi="Arial Narrow"/>
          <w:sz w:val="10"/>
          <w:szCs w:val="10"/>
        </w:rPr>
      </w:r>
      <w:r>
        <w:rPr>
          <w:rFonts w:ascii="Arial Narrow" w:hAnsi="Arial Narrow"/>
          <w:sz w:val="10"/>
          <w:szCs w:val="10"/>
        </w:rPr>
      </w:r>
      <w:r>
        <w:rPr>
          <w:rFonts w:ascii="Arial Narrow" w:hAnsi="Arial Narrow"/>
          <w:sz w:val="10"/>
          <w:szCs w:val="10"/>
        </w:rPr>
      </w:r>
    </w:p>
    <w:p>
      <w:pPr>
        <w:pStyle w:val="1063"/>
        <w:ind w:firstLine="567"/>
        <w:jc w:val="both"/>
        <w:tabs>
          <w:tab w:val="left" w:pos="850" w:leader="none"/>
        </w:tabs>
      </w:pPr>
      <w:r>
        <w:rPr>
          <w:rFonts w:ascii="Arial Narrow" w:hAnsi="Arial Narrow" w:cs="Calibri"/>
        </w:rPr>
        <w:t xml:space="preserve">Рост фонда заработной платы за 3 года составил (+) 13,6 %, в том числе:</w:t>
      </w:r>
      <w:r/>
    </w:p>
    <w:p>
      <w:pPr>
        <w:pStyle w:val="1091"/>
        <w:numPr>
          <w:ilvl w:val="0"/>
          <w:numId w:val="8"/>
        </w:numPr>
        <w:ind w:left="0" w:firstLine="567"/>
        <w:jc w:val="both"/>
        <w:spacing w:line="276" w:lineRule="auto"/>
        <w:tabs>
          <w:tab w:val="left" w:pos="850" w:leader="none"/>
        </w:tabs>
      </w:pPr>
      <w:r>
        <w:rPr>
          <w:rFonts w:ascii="Arial Narrow" w:hAnsi="Arial Narrow" w:cs="Calibri"/>
          <w:sz w:val="24"/>
          <w:szCs w:val="24"/>
        </w:rPr>
        <w:t xml:space="preserve">2023 год к 2022 году (+) 9,2 %</w:t>
      </w:r>
      <w:r/>
    </w:p>
    <w:p>
      <w:pPr>
        <w:pStyle w:val="1091"/>
        <w:numPr>
          <w:ilvl w:val="0"/>
          <w:numId w:val="8"/>
        </w:numPr>
        <w:ind w:left="0" w:firstLine="567"/>
        <w:jc w:val="both"/>
        <w:spacing w:line="276" w:lineRule="auto"/>
        <w:tabs>
          <w:tab w:val="left" w:pos="850" w:leader="none"/>
        </w:tabs>
      </w:pPr>
      <w:r>
        <w:rPr>
          <w:rFonts w:ascii="Arial Narrow" w:hAnsi="Arial Narrow" w:cs="Calibri"/>
          <w:sz w:val="24"/>
          <w:szCs w:val="24"/>
        </w:rPr>
        <w:t xml:space="preserve">2024 год к 2023 году (+) 4,0 %</w:t>
      </w:r>
      <w:r/>
    </w:p>
    <w:p>
      <w:pPr>
        <w:pStyle w:val="1063"/>
        <w:ind w:firstLine="567"/>
        <w:jc w:val="both"/>
        <w:tabs>
          <w:tab w:val="left" w:pos="850" w:leader="none"/>
        </w:tabs>
      </w:pPr>
      <w:r>
        <w:rPr>
          <w:rFonts w:ascii="Arial Narrow" w:hAnsi="Arial Narrow" w:cs="Calibri"/>
        </w:rPr>
        <w:t xml:space="preserve">Это связано с индексацией заработной платы работников Общества, составившей за 2022-2024 годы 16,5 %.</w:t>
      </w:r>
      <w:r/>
    </w:p>
    <w:p>
      <w:pPr>
        <w:pStyle w:val="1063"/>
        <w:ind w:firstLine="567"/>
        <w:jc w:val="both"/>
        <w:tabs>
          <w:tab w:val="left" w:pos="850" w:leader="none"/>
        </w:tabs>
      </w:pPr>
      <w:r/>
      <w:bookmarkStart w:id="132" w:name="_Toc193106075"/>
      <w:r>
        <w:rPr>
          <w:rFonts w:ascii="Arial Narrow" w:hAnsi="Arial Narrow" w:cs="Calibri"/>
        </w:rPr>
        <w:t xml:space="preserve">Среднемесячная заработная плата работников увеличилась в 2024 году по сравнению с 2023 годом на 5,9 % и в 2,6 раз превышает минимальный размер оплаты труда, установленный в регионе.</w:t>
      </w:r>
      <w:bookmarkEnd w:id="132"/>
      <w:r/>
      <w:r/>
    </w:p>
    <w:p>
      <w:pPr>
        <w:pStyle w:val="1063"/>
        <w:ind w:firstLine="567"/>
        <w:jc w:val="both"/>
        <w:tabs>
          <w:tab w:val="left" w:pos="850" w:leader="none"/>
        </w:tabs>
        <w:rPr>
          <w:rFonts w:ascii="Arial Narrow" w:hAnsi="Arial Narrow"/>
          <w:sz w:val="12"/>
          <w:szCs w:val="12"/>
        </w:rPr>
      </w:pPr>
      <w:r>
        <w:rPr>
          <w:rFonts w:ascii="Arial Narrow" w:hAnsi="Arial Narrow"/>
          <w:sz w:val="12"/>
          <w:szCs w:val="12"/>
        </w:rPr>
      </w:r>
      <w:r>
        <w:rPr>
          <w:rFonts w:ascii="Arial Narrow" w:hAnsi="Arial Narrow"/>
          <w:sz w:val="12"/>
          <w:szCs w:val="12"/>
        </w:rPr>
      </w:r>
      <w:r>
        <w:rPr>
          <w:rFonts w:ascii="Arial Narrow" w:hAnsi="Arial Narrow"/>
          <w:sz w:val="12"/>
          <w:szCs w:val="12"/>
        </w:rPr>
      </w:r>
    </w:p>
    <w:p>
      <w:pPr>
        <w:pStyle w:val="1063"/>
        <w:jc w:val="both"/>
        <w:spacing w:after="120"/>
        <w:tabs>
          <w:tab w:val="left" w:pos="566" w:leader="none"/>
          <w:tab w:val="left" w:pos="850" w:leader="none"/>
        </w:tabs>
        <w:rPr>
          <w:b/>
        </w:rPr>
      </w:pPr>
      <w:r>
        <w:rPr>
          <w:rFonts w:ascii="Arial Narrow" w:hAnsi="Arial Narrow" w:cs="Calibri"/>
          <w:b/>
          <w:color w:val="314e87"/>
        </w:rPr>
        <w:t xml:space="preserve">Развитие персонала</w:t>
      </w:r>
      <w:r>
        <w:rPr>
          <w:b/>
        </w:rPr>
      </w:r>
      <w:r>
        <w:rPr>
          <w:b/>
        </w:rPr>
      </w:r>
    </w:p>
    <w:p>
      <w:pPr>
        <w:pStyle w:val="1063"/>
        <w:ind w:firstLine="567"/>
        <w:jc w:val="both"/>
        <w:tabs>
          <w:tab w:val="left" w:pos="850" w:leader="none"/>
        </w:tabs>
      </w:pPr>
      <w:r>
        <w:rPr>
          <w:rFonts w:ascii="Arial Narrow" w:hAnsi="Arial Narrow" w:cs="Calibri"/>
        </w:rPr>
        <w:t xml:space="preserve">В целях создания механизмов кадрового обеспечения квалифицированными специалистами на краткосрочную, среднесрочну</w:t>
      </w:r>
      <w:r>
        <w:rPr>
          <w:rFonts w:ascii="Arial Narrow" w:hAnsi="Arial Narrow" w:cs="Calibri"/>
        </w:rPr>
        <w:t xml:space="preserve">ю и долгосрочную перспективы и в развитие государственной молодежной политики в Обществе реализуются программы обучения работников, в соответствии с нормативными требованиями, а также ведется работа по привлечению выпускников образовательных организаций.  </w:t>
      </w:r>
      <w:r/>
    </w:p>
    <w:p>
      <w:pPr>
        <w:pStyle w:val="1063"/>
        <w:ind w:firstLine="567"/>
        <w:jc w:val="both"/>
        <w:tabs>
          <w:tab w:val="left" w:pos="850" w:leader="none"/>
        </w:tabs>
      </w:pPr>
      <w:r>
        <w:rPr>
          <w:rFonts w:ascii="Arial Narrow" w:hAnsi="Arial Narrow" w:cs="Calibri"/>
        </w:rPr>
        <w:t xml:space="preserve">В 2024 году 4 358 работников ПАО «Камчатскэнерго» прошли обучение на курсах подготовки, переподготовки и повышения квалификации (внешнее и корпоративное обучение), в том числе: </w:t>
      </w:r>
      <w:r>
        <w:rPr>
          <w:rFonts w:ascii="Arial Narrow" w:hAnsi="Arial Narrow" w:cs="Calibri"/>
        </w:rPr>
        <w:br/>
        <w:t xml:space="preserve">2 235 руководителей, 1 558 специалистов и служащих, 565 рабочих.</w:t>
      </w:r>
      <w:r/>
    </w:p>
    <w:p>
      <w:pPr>
        <w:pStyle w:val="1063"/>
        <w:ind w:firstLine="567"/>
        <w:jc w:val="both"/>
        <w:tabs>
          <w:tab w:val="left" w:pos="850" w:leader="none"/>
        </w:tabs>
      </w:pPr>
      <w:r>
        <w:rPr>
          <w:rFonts w:ascii="Arial Narrow" w:hAnsi="Arial Narrow" w:cs="Calibri"/>
        </w:rPr>
        <w:t xml:space="preserve">Затраты на обучение во внешних учебных заведениях составили 10 366 тыс. рублей, в том числе на обучение:</w:t>
      </w:r>
      <w:r/>
    </w:p>
    <w:p>
      <w:pPr>
        <w:pStyle w:val="1063"/>
        <w:ind w:firstLine="567"/>
        <w:jc w:val="both"/>
        <w:tabs>
          <w:tab w:val="left" w:pos="850" w:leader="none"/>
        </w:tabs>
      </w:pPr>
      <w:r>
        <w:rPr>
          <w:rFonts w:ascii="Arial Narrow" w:hAnsi="Arial Narrow" w:cs="Calibri"/>
        </w:rPr>
        <w:t xml:space="preserve">в рамках Плана подготовки персонала – 5 634, 0 тыс. рублей;</w:t>
      </w:r>
      <w:r/>
    </w:p>
    <w:p>
      <w:pPr>
        <w:pStyle w:val="1063"/>
        <w:ind w:firstLine="567"/>
        <w:jc w:val="both"/>
        <w:tabs>
          <w:tab w:val="left" w:pos="850" w:leader="none"/>
        </w:tabs>
      </w:pPr>
      <w:r>
        <w:rPr>
          <w:rFonts w:ascii="Arial Narrow" w:hAnsi="Arial Narrow" w:cs="Calibri"/>
        </w:rPr>
        <w:t xml:space="preserve">в рамках Плана обучения по Охране труда – 4 732,0 тыс. рублей.</w:t>
      </w:r>
      <w:r/>
    </w:p>
    <w:p>
      <w:pPr>
        <w:pStyle w:val="1063"/>
        <w:ind w:firstLine="567"/>
        <w:jc w:val="both"/>
        <w:tabs>
          <w:tab w:val="left" w:pos="850" w:leader="none"/>
        </w:tabs>
      </w:pPr>
      <w:r>
        <w:rPr>
          <w:rFonts w:ascii="Arial Narrow" w:hAnsi="Arial Narrow" w:cs="Calibri"/>
        </w:rPr>
        <w:t xml:space="preserve">Уделяется особое внимание подготовке персонала в части нормативного обучения, технологического обучения, необходимого для выполнения должностных обязанностей.</w:t>
      </w:r>
      <w:r/>
    </w:p>
    <w:p>
      <w:pPr>
        <w:pStyle w:val="1063"/>
        <w:ind w:firstLine="567"/>
        <w:jc w:val="both"/>
        <w:tabs>
          <w:tab w:val="left" w:pos="850" w:leader="none"/>
        </w:tabs>
      </w:pPr>
      <w:r>
        <w:rPr>
          <w:rFonts w:ascii="Arial Narrow" w:hAnsi="Arial Narrow" w:cs="Calibri"/>
        </w:rPr>
        <w:t xml:space="preserve">В 2024 году курсы по направлению нормативное обучение согласно требованиям надзорных органов, в рамках Плана подготовки персонала пройдены 339 работниками, из них: руководители – 57 чел., специалисты и служащие – 245 чел., рабочие – 37 чел.</w:t>
      </w:r>
      <w:r/>
    </w:p>
    <w:p>
      <w:pPr>
        <w:pStyle w:val="1063"/>
        <w:jc w:val="both"/>
        <w:tabs>
          <w:tab w:val="left" w:pos="566" w:leader="none"/>
          <w:tab w:val="left" w:pos="850" w:leader="none"/>
        </w:tabs>
        <w:rPr>
          <w:rFonts w:ascii="Arial Narrow" w:hAnsi="Arial Narrow" w:cs="Calibri"/>
          <w:color w:val="314e87"/>
          <w:sz w:val="12"/>
          <w:szCs w:val="12"/>
        </w:rPr>
      </w:pPr>
      <w:r>
        <w:rPr>
          <w:rFonts w:ascii="Arial Narrow" w:hAnsi="Arial Narrow" w:cs="Calibri"/>
          <w:color w:val="314e87"/>
          <w:sz w:val="12"/>
          <w:szCs w:val="12"/>
        </w:rPr>
      </w:r>
      <w:r>
        <w:rPr>
          <w:rFonts w:ascii="Arial Narrow" w:hAnsi="Arial Narrow" w:cs="Calibri"/>
          <w:color w:val="314e87"/>
          <w:sz w:val="12"/>
          <w:szCs w:val="12"/>
        </w:rPr>
      </w:r>
      <w:r>
        <w:rPr>
          <w:rFonts w:ascii="Arial Narrow" w:hAnsi="Arial Narrow" w:cs="Calibri"/>
          <w:color w:val="314e87"/>
          <w:sz w:val="12"/>
          <w:szCs w:val="12"/>
        </w:rPr>
      </w:r>
    </w:p>
    <w:p>
      <w:pPr>
        <w:pStyle w:val="1063"/>
        <w:jc w:val="both"/>
        <w:tabs>
          <w:tab w:val="left" w:pos="566" w:leader="none"/>
          <w:tab w:val="left" w:pos="850" w:leader="none"/>
        </w:tabs>
        <w:rPr>
          <w:b/>
        </w:rPr>
      </w:pPr>
      <w:r>
        <w:rPr>
          <w:rFonts w:ascii="Arial Narrow" w:hAnsi="Arial Narrow" w:cs="Calibri"/>
          <w:b/>
          <w:color w:val="314e87"/>
        </w:rPr>
        <w:t xml:space="preserve">Общие затраты на развитие персонала, включая затраты на обучение, соревнования, обучающие и оценочные мероприятия (в разрезе 3 -х лет).</w:t>
      </w:r>
      <w:r>
        <w:rPr>
          <w:b/>
        </w:rPr>
      </w:r>
      <w:r>
        <w:rPr>
          <w:b/>
        </w:rPr>
      </w:r>
    </w:p>
    <w:p>
      <w:pPr>
        <w:pStyle w:val="1063"/>
        <w:ind w:left="7200" w:firstLine="720"/>
        <w:jc w:val="right"/>
      </w:pPr>
      <w:r>
        <w:rPr>
          <w:rFonts w:ascii="Arial Narrow" w:hAnsi="Arial Narrow" w:eastAsia="Calibri" w:cs="Calibri"/>
          <w:i/>
          <w:lang w:eastAsia="ja-JP"/>
        </w:rPr>
        <w:t xml:space="preserve">   Таблица № </w:t>
      </w:r>
      <w:r>
        <w:rPr>
          <w:rFonts w:ascii="Arial Narrow" w:hAnsi="Arial Narrow" w:eastAsia="Calibri" w:cs="Calibri"/>
          <w:i/>
          <w:lang w:val="en-US" w:eastAsia="ja-JP"/>
        </w:rPr>
        <w:t xml:space="preserve">3</w:t>
      </w:r>
      <w:r>
        <w:rPr>
          <w:rFonts w:ascii="Arial Narrow" w:hAnsi="Arial Narrow" w:eastAsia="Calibri" w:cs="Calibri"/>
          <w:i/>
          <w:lang w:eastAsia="ja-JP"/>
        </w:rPr>
        <w:t xml:space="preserve">5</w:t>
      </w:r>
      <w:r/>
    </w:p>
    <w:tbl>
      <w:tblPr>
        <w:tblW w:w="10120" w:type="dxa"/>
        <w:jc w:val="center"/>
        <w:tblLayout w:type="fixed"/>
        <w:tblLook w:val="04A0" w:firstRow="1" w:lastRow="0" w:firstColumn="1" w:lastColumn="0" w:noHBand="0" w:noVBand="1"/>
      </w:tblPr>
      <w:tblGrid>
        <w:gridCol w:w="4957"/>
        <w:gridCol w:w="1563"/>
        <w:gridCol w:w="1845"/>
        <w:gridCol w:w="1755"/>
      </w:tblGrid>
      <w:tr>
        <w:trPr>
          <w:jc w:val="center"/>
          <w:trHeight w:val="45"/>
        </w:trPr>
        <w:tc>
          <w:tcPr>
            <w:tcBorders>
              <w:top w:val="single" w:color="000000" w:sz="4" w:space="0"/>
              <w:left w:val="single" w:color="000000" w:sz="4" w:space="0"/>
              <w:bottom w:val="single" w:color="000000" w:sz="4" w:space="0"/>
              <w:right w:val="single" w:color="000000" w:sz="4" w:space="0"/>
            </w:tcBorders>
            <w:tcW w:w="4956" w:type="dxa"/>
            <w:textDirection w:val="lrTb"/>
            <w:noWrap w:val="false"/>
          </w:tcPr>
          <w:p>
            <w:pPr>
              <w:pStyle w:val="1146"/>
              <w:ind w:firstLine="0"/>
              <w:jc w:val="center"/>
              <w:spacing w:line="276" w:lineRule="auto"/>
              <w:widowControl w:val="off"/>
              <w:rPr>
                <w:rFonts w:ascii="Arial Narrow" w:hAnsi="Arial Narrow" w:cs="Calibri"/>
                <w:b/>
                <w:sz w:val="20"/>
              </w:rPr>
            </w:pPr>
            <w:r>
              <w:rPr>
                <w:rFonts w:ascii="Arial Narrow" w:hAnsi="Arial Narrow" w:cs="Calibri"/>
                <w:b/>
                <w:sz w:val="20"/>
              </w:rPr>
            </w:r>
            <w:r>
              <w:rPr>
                <w:rFonts w:ascii="Arial Narrow" w:hAnsi="Arial Narrow" w:cs="Calibri"/>
                <w:b/>
                <w:sz w:val="20"/>
              </w:rPr>
            </w:r>
            <w:r>
              <w:rPr>
                <w:rFonts w:ascii="Arial Narrow" w:hAnsi="Arial Narrow" w:cs="Calibri"/>
                <w:b/>
                <w:sz w:val="20"/>
              </w:rPr>
            </w:r>
          </w:p>
        </w:tc>
        <w:tc>
          <w:tcPr>
            <w:tcBorders>
              <w:top w:val="single" w:color="000000" w:sz="4" w:space="0"/>
              <w:left w:val="single" w:color="000000" w:sz="4" w:space="0"/>
              <w:bottom w:val="single" w:color="000000" w:sz="4" w:space="0"/>
              <w:right w:val="single" w:color="000000" w:sz="4" w:space="0"/>
            </w:tcBorders>
            <w:tcW w:w="1563" w:type="dxa"/>
            <w:textDirection w:val="lrTb"/>
            <w:noWrap w:val="false"/>
          </w:tcPr>
          <w:p>
            <w:pPr>
              <w:pStyle w:val="1146"/>
              <w:ind w:firstLine="0"/>
              <w:jc w:val="center"/>
              <w:spacing w:line="276" w:lineRule="auto"/>
              <w:widowControl w:val="off"/>
              <w:rPr>
                <w:sz w:val="20"/>
              </w:rPr>
            </w:pPr>
            <w:r>
              <w:rPr>
                <w:rFonts w:ascii="Arial Narrow" w:hAnsi="Arial Narrow" w:cs="Calibri"/>
                <w:b/>
                <w:sz w:val="20"/>
              </w:rPr>
              <w:t xml:space="preserve">2022</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845" w:type="dxa"/>
            <w:textDirection w:val="lrTb"/>
            <w:noWrap w:val="false"/>
          </w:tcPr>
          <w:p>
            <w:pPr>
              <w:pStyle w:val="1146"/>
              <w:ind w:firstLine="0"/>
              <w:jc w:val="center"/>
              <w:spacing w:line="276" w:lineRule="auto"/>
              <w:widowControl w:val="off"/>
              <w:rPr>
                <w:sz w:val="20"/>
              </w:rPr>
            </w:pPr>
            <w:r>
              <w:rPr>
                <w:rFonts w:ascii="Arial Narrow" w:hAnsi="Arial Narrow" w:cs="Calibri"/>
                <w:b/>
                <w:sz w:val="20"/>
              </w:rPr>
              <w:t xml:space="preserve">2023</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755" w:type="dxa"/>
            <w:textDirection w:val="lrTb"/>
            <w:noWrap w:val="false"/>
          </w:tcPr>
          <w:p>
            <w:pPr>
              <w:pStyle w:val="1146"/>
              <w:ind w:firstLine="0"/>
              <w:jc w:val="center"/>
              <w:spacing w:line="276" w:lineRule="auto"/>
              <w:widowControl w:val="off"/>
              <w:rPr>
                <w:sz w:val="20"/>
              </w:rPr>
            </w:pPr>
            <w:r>
              <w:rPr>
                <w:rFonts w:ascii="Arial Narrow" w:hAnsi="Arial Narrow" w:cs="Calibri"/>
                <w:b/>
                <w:sz w:val="20"/>
              </w:rPr>
              <w:t xml:space="preserve">2024</w:t>
            </w:r>
            <w:r>
              <w:rPr>
                <w:sz w:val="20"/>
              </w:rPr>
            </w:r>
            <w:r>
              <w:rPr>
                <w:sz w:val="20"/>
              </w:rPr>
            </w:r>
          </w:p>
        </w:tc>
      </w:tr>
      <w:tr>
        <w:trPr>
          <w:jc w:val="center"/>
        </w:trPr>
        <w:tc>
          <w:tcPr>
            <w:tcBorders>
              <w:top w:val="single" w:color="000000" w:sz="4" w:space="0"/>
              <w:left w:val="single" w:color="000000" w:sz="4" w:space="0"/>
              <w:bottom w:val="single" w:color="000000" w:sz="4" w:space="0"/>
              <w:right w:val="single" w:color="000000" w:sz="4" w:space="0"/>
            </w:tcBorders>
            <w:tcW w:w="4956" w:type="dxa"/>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Затраты на развитие персонала, тыс. рублей</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563" w:type="dxa"/>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5583</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845" w:type="dxa"/>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9065</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755" w:type="dxa"/>
            <w:textDirection w:val="lrTb"/>
            <w:noWrap w:val="false"/>
          </w:tcPr>
          <w:p>
            <w:pPr>
              <w:pStyle w:val="1146"/>
              <w:ind w:firstLine="0"/>
              <w:jc w:val="center"/>
              <w:spacing w:line="276" w:lineRule="auto"/>
              <w:widowControl w:val="off"/>
              <w:rPr>
                <w:sz w:val="20"/>
              </w:rPr>
            </w:pPr>
            <w:r>
              <w:rPr>
                <w:rFonts w:ascii="Arial Narrow" w:hAnsi="Arial Narrow" w:cs="Calibri"/>
                <w:sz w:val="20"/>
                <w:shd w:val="clear" w:color="auto" w:fill="ffffff"/>
              </w:rPr>
              <w:t xml:space="preserve">10366</w:t>
            </w:r>
            <w:r>
              <w:rPr>
                <w:sz w:val="20"/>
              </w:rPr>
            </w:r>
            <w:r>
              <w:rPr>
                <w:sz w:val="20"/>
              </w:rPr>
            </w:r>
          </w:p>
        </w:tc>
      </w:tr>
    </w:tbl>
    <w:p>
      <w:pPr>
        <w:pStyle w:val="1063"/>
        <w:jc w:val="both"/>
        <w:tabs>
          <w:tab w:val="left" w:pos="566" w:leader="none"/>
          <w:tab w:val="left" w:pos="850" w:leader="none"/>
        </w:tabs>
        <w:rPr>
          <w:rFonts w:ascii="Arial Narrow" w:hAnsi="Arial Narrow" w:cs="Calibri"/>
          <w:color w:val="314e87"/>
          <w:sz w:val="12"/>
          <w:szCs w:val="12"/>
        </w:rPr>
      </w:pPr>
      <w:r>
        <w:rPr>
          <w:rFonts w:ascii="Arial Narrow" w:hAnsi="Arial Narrow" w:cs="Calibri"/>
          <w:color w:val="314e87"/>
          <w:sz w:val="12"/>
          <w:szCs w:val="12"/>
        </w:rPr>
      </w:r>
      <w:r>
        <w:rPr>
          <w:rFonts w:ascii="Arial Narrow" w:hAnsi="Arial Narrow" w:cs="Calibri"/>
          <w:color w:val="314e87"/>
          <w:sz w:val="12"/>
          <w:szCs w:val="12"/>
        </w:rPr>
      </w:r>
      <w:r>
        <w:rPr>
          <w:rFonts w:ascii="Arial Narrow" w:hAnsi="Arial Narrow" w:cs="Calibri"/>
          <w:color w:val="314e87"/>
          <w:sz w:val="12"/>
          <w:szCs w:val="12"/>
        </w:rPr>
      </w:r>
    </w:p>
    <w:p>
      <w:pPr>
        <w:pStyle w:val="1063"/>
        <w:jc w:val="both"/>
        <w:tabs>
          <w:tab w:val="left" w:pos="566" w:leader="none"/>
          <w:tab w:val="left" w:pos="850" w:leader="none"/>
        </w:tabs>
        <w:rPr>
          <w:b/>
        </w:rPr>
      </w:pPr>
      <w:r>
        <w:rPr>
          <w:rFonts w:ascii="Arial Narrow" w:hAnsi="Arial Narrow" w:cs="Calibri"/>
          <w:b/>
          <w:color w:val="314e87"/>
        </w:rPr>
        <w:t xml:space="preserve">Информация о сотрудничестве с образовательными организациями (вузами, СПО, ВДЦ и т.д.)</w:t>
      </w:r>
      <w:r>
        <w:rPr>
          <w:b/>
        </w:rPr>
      </w:r>
      <w:r>
        <w:rPr>
          <w:b/>
        </w:rPr>
      </w:r>
    </w:p>
    <w:p>
      <w:pPr>
        <w:pStyle w:val="1063"/>
        <w:ind w:firstLine="567"/>
        <w:jc w:val="both"/>
        <w:rPr>
          <w:rFonts w:ascii="Arial Narrow" w:hAnsi="Arial Narrow" w:cs="Calibri"/>
          <w:sz w:val="10"/>
          <w:szCs w:val="10"/>
        </w:rPr>
      </w:pPr>
      <w:r>
        <w:rPr>
          <w:rFonts w:ascii="Arial Narrow" w:hAnsi="Arial Narrow" w:cs="Calibri"/>
          <w:sz w:val="10"/>
          <w:szCs w:val="10"/>
        </w:rPr>
      </w:r>
      <w:r>
        <w:rPr>
          <w:rFonts w:ascii="Arial Narrow" w:hAnsi="Arial Narrow" w:cs="Calibri"/>
          <w:sz w:val="10"/>
          <w:szCs w:val="10"/>
        </w:rPr>
      </w:r>
      <w:r>
        <w:rPr>
          <w:rFonts w:ascii="Arial Narrow" w:hAnsi="Arial Narrow" w:cs="Calibri"/>
          <w:sz w:val="10"/>
          <w:szCs w:val="10"/>
        </w:rPr>
      </w:r>
    </w:p>
    <w:p>
      <w:pPr>
        <w:pStyle w:val="1063"/>
        <w:ind w:firstLine="567"/>
        <w:jc w:val="both"/>
      </w:pPr>
      <w:r>
        <w:rPr>
          <w:rFonts w:ascii="Arial Narrow" w:hAnsi="Arial Narrow" w:cs="Calibri"/>
        </w:rPr>
        <w:t xml:space="preserve">ПАО «Камчатскэнерго» продолжает сотрудничество с ВУЗами в части профессиональной подготовки и переподготовки работников Общества.</w:t>
      </w:r>
      <w:r/>
    </w:p>
    <w:p>
      <w:pPr>
        <w:pStyle w:val="1063"/>
        <w:jc w:val="right"/>
      </w:pPr>
      <w:r>
        <w:rPr>
          <w:rFonts w:ascii="Arial Narrow" w:hAnsi="Arial Narrow" w:eastAsia="Calibri" w:cs="Calibri"/>
          <w:i/>
          <w:lang w:eastAsia="ja-JP"/>
        </w:rPr>
        <w:t xml:space="preserve">Таблица № </w:t>
      </w:r>
      <w:r>
        <w:rPr>
          <w:rFonts w:ascii="Arial Narrow" w:hAnsi="Arial Narrow" w:eastAsia="Calibri" w:cs="Calibri"/>
          <w:i/>
          <w:lang w:val="en-US" w:eastAsia="ja-JP"/>
        </w:rPr>
        <w:t xml:space="preserve">3</w:t>
      </w:r>
      <w:r>
        <w:rPr>
          <w:rFonts w:ascii="Arial Narrow" w:hAnsi="Arial Narrow" w:eastAsia="Calibri" w:cs="Calibri"/>
          <w:i/>
          <w:lang w:eastAsia="ja-JP"/>
        </w:rPr>
        <w:t xml:space="preserve">6</w:t>
      </w:r>
      <w:r/>
    </w:p>
    <w:tbl>
      <w:tblPr>
        <w:tblW w:w="10195" w:type="dxa"/>
        <w:tblInd w:w="113" w:type="dxa"/>
        <w:tblLayout w:type="fixed"/>
        <w:tblLook w:val="04A0" w:firstRow="1" w:lastRow="0" w:firstColumn="1" w:lastColumn="0" w:noHBand="0" w:noVBand="1"/>
      </w:tblPr>
      <w:tblGrid>
        <w:gridCol w:w="2125"/>
        <w:gridCol w:w="1559"/>
        <w:gridCol w:w="855"/>
        <w:gridCol w:w="843"/>
        <w:gridCol w:w="712"/>
        <w:gridCol w:w="847"/>
        <w:gridCol w:w="710"/>
        <w:gridCol w:w="845"/>
        <w:gridCol w:w="804"/>
        <w:gridCol w:w="895"/>
      </w:tblGrid>
      <w:tr>
        <w:trPr>
          <w:trHeight w:val="1336"/>
        </w:trPr>
        <w:tc>
          <w:tcPr>
            <w:tcBorders>
              <w:top w:val="single" w:color="000000" w:sz="4" w:space="0"/>
              <w:left w:val="single" w:color="000000" w:sz="4" w:space="0"/>
              <w:bottom w:val="single" w:color="000000" w:sz="4" w:space="0"/>
              <w:right w:val="single" w:color="000000" w:sz="4" w:space="0"/>
            </w:tcBorders>
            <w:tcW w:w="2125" w:type="dxa"/>
            <w:vAlign w:val="center"/>
            <w:vMerge w:val="restart"/>
            <w:textDirection w:val="lrTb"/>
            <w:noWrap w:val="false"/>
          </w:tcPr>
          <w:p>
            <w:pPr>
              <w:pStyle w:val="1146"/>
              <w:ind w:firstLine="0"/>
              <w:jc w:val="center"/>
              <w:widowControl w:val="off"/>
              <w:rPr>
                <w:sz w:val="18"/>
                <w:szCs w:val="18"/>
              </w:rPr>
            </w:pPr>
            <w:r>
              <w:rPr>
                <w:rFonts w:ascii="Arial Narrow" w:hAnsi="Arial Narrow" w:cs="Calibri"/>
                <w:b/>
                <w:color w:val="000000"/>
                <w:sz w:val="18"/>
                <w:szCs w:val="18"/>
              </w:rPr>
              <w:t xml:space="preserve">Полное наименование ВУЗа/СПО</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1559" w:type="dxa"/>
            <w:vAlign w:val="center"/>
            <w:vMerge w:val="restart"/>
            <w:textDirection w:val="lrTb"/>
            <w:noWrap w:val="false"/>
          </w:tcPr>
          <w:p>
            <w:pPr>
              <w:pStyle w:val="1146"/>
              <w:ind w:firstLine="0"/>
              <w:jc w:val="center"/>
              <w:widowControl w:val="off"/>
              <w:rPr>
                <w:sz w:val="18"/>
                <w:szCs w:val="18"/>
              </w:rPr>
            </w:pPr>
            <w:r>
              <w:rPr>
                <w:rFonts w:ascii="Arial Narrow" w:hAnsi="Arial Narrow" w:cs="Calibri"/>
                <w:b/>
                <w:color w:val="000000"/>
                <w:sz w:val="18"/>
                <w:szCs w:val="18"/>
              </w:rPr>
              <w:t xml:space="preserve">Направления взаимодействия</w:t>
            </w:r>
            <w:r>
              <w:rPr>
                <w:sz w:val="18"/>
                <w:szCs w:val="18"/>
              </w:rPr>
            </w:r>
            <w:r>
              <w:rPr>
                <w:sz w:val="18"/>
                <w:szCs w:val="18"/>
              </w:rPr>
            </w:r>
          </w:p>
        </w:tc>
        <w:tc>
          <w:tcPr>
            <w:gridSpan w:val="2"/>
            <w:tcBorders>
              <w:top w:val="single" w:color="000000" w:sz="4" w:space="0"/>
              <w:left w:val="single" w:color="000000" w:sz="4" w:space="0"/>
              <w:bottom w:val="single" w:color="000000" w:sz="4" w:space="0"/>
              <w:right w:val="single" w:color="000000" w:sz="4" w:space="0"/>
            </w:tcBorders>
            <w:tcW w:w="1698" w:type="dxa"/>
            <w:vAlign w:val="center"/>
            <w:textDirection w:val="lrTb"/>
            <w:noWrap w:val="false"/>
          </w:tcPr>
          <w:p>
            <w:pPr>
              <w:pStyle w:val="1146"/>
              <w:ind w:firstLine="0"/>
              <w:jc w:val="center"/>
              <w:widowControl w:val="off"/>
              <w:rPr>
                <w:sz w:val="18"/>
                <w:szCs w:val="18"/>
              </w:rPr>
            </w:pPr>
            <w:r>
              <w:rPr>
                <w:rFonts w:ascii="Arial Narrow" w:hAnsi="Arial Narrow" w:cs="Calibri"/>
                <w:b/>
                <w:color w:val="000000"/>
                <w:sz w:val="18"/>
                <w:szCs w:val="18"/>
              </w:rPr>
              <w:t xml:space="preserve">Количество студентов, проходящих производственную практику на базе компании, чел.</w:t>
            </w:r>
            <w:r>
              <w:rPr>
                <w:sz w:val="18"/>
                <w:szCs w:val="18"/>
              </w:rPr>
            </w:r>
            <w:r>
              <w:rPr>
                <w:sz w:val="18"/>
                <w:szCs w:val="18"/>
              </w:rPr>
            </w:r>
          </w:p>
        </w:tc>
        <w:tc>
          <w:tcPr>
            <w:gridSpan w:val="2"/>
            <w:tcBorders>
              <w:top w:val="single" w:color="000000" w:sz="4" w:space="0"/>
              <w:left w:val="single" w:color="000000" w:sz="4" w:space="0"/>
              <w:bottom w:val="single" w:color="000000" w:sz="4" w:space="0"/>
              <w:right w:val="single" w:color="000000" w:sz="4" w:space="0"/>
            </w:tcBorders>
            <w:tcW w:w="1559" w:type="dxa"/>
            <w:vAlign w:val="center"/>
            <w:textDirection w:val="lrTb"/>
            <w:noWrap w:val="false"/>
          </w:tcPr>
          <w:p>
            <w:pPr>
              <w:pStyle w:val="1146"/>
              <w:ind w:firstLine="0"/>
              <w:jc w:val="center"/>
              <w:widowControl w:val="off"/>
              <w:rPr>
                <w:sz w:val="18"/>
                <w:szCs w:val="18"/>
              </w:rPr>
            </w:pPr>
            <w:r>
              <w:rPr>
                <w:rFonts w:ascii="Arial Narrow" w:hAnsi="Arial Narrow" w:cs="Calibri"/>
                <w:b/>
                <w:color w:val="000000"/>
                <w:sz w:val="18"/>
                <w:szCs w:val="18"/>
              </w:rPr>
              <w:t xml:space="preserve">Количество студентов, обучающихся по договорам о целевом обучении, чел.</w:t>
            </w:r>
            <w:r>
              <w:rPr>
                <w:sz w:val="18"/>
                <w:szCs w:val="18"/>
              </w:rPr>
            </w:r>
            <w:r>
              <w:rPr>
                <w:sz w:val="18"/>
                <w:szCs w:val="18"/>
              </w:rPr>
            </w:r>
          </w:p>
        </w:tc>
        <w:tc>
          <w:tcPr>
            <w:gridSpan w:val="2"/>
            <w:tcBorders>
              <w:top w:val="single" w:color="000000" w:sz="4" w:space="0"/>
              <w:left w:val="single" w:color="000000" w:sz="4" w:space="0"/>
              <w:bottom w:val="single" w:color="000000" w:sz="4" w:space="0"/>
              <w:right w:val="single" w:color="000000" w:sz="4" w:space="0"/>
            </w:tcBorders>
            <w:tcW w:w="1555" w:type="dxa"/>
            <w:vAlign w:val="center"/>
            <w:textDirection w:val="lrTb"/>
            <w:noWrap w:val="false"/>
          </w:tcPr>
          <w:p>
            <w:pPr>
              <w:pStyle w:val="1146"/>
              <w:ind w:firstLine="0"/>
              <w:jc w:val="center"/>
              <w:widowControl w:val="off"/>
              <w:rPr>
                <w:sz w:val="18"/>
                <w:szCs w:val="18"/>
              </w:rPr>
            </w:pPr>
            <w:r>
              <w:rPr>
                <w:rFonts w:ascii="Arial Narrow" w:hAnsi="Arial Narrow" w:cs="Calibri"/>
                <w:b/>
                <w:color w:val="000000"/>
                <w:sz w:val="18"/>
                <w:szCs w:val="18"/>
              </w:rPr>
              <w:t xml:space="preserve">Количество студентов, принятых на работу в компанию, чел.</w:t>
            </w:r>
            <w:r>
              <w:rPr>
                <w:sz w:val="18"/>
                <w:szCs w:val="18"/>
              </w:rPr>
            </w:r>
            <w:r>
              <w:rPr>
                <w:sz w:val="18"/>
                <w:szCs w:val="18"/>
              </w:rPr>
            </w:r>
          </w:p>
        </w:tc>
        <w:tc>
          <w:tcPr>
            <w:gridSpan w:val="2"/>
            <w:tcBorders>
              <w:top w:val="single" w:color="000000" w:sz="4" w:space="0"/>
              <w:left w:val="single" w:color="000000" w:sz="4" w:space="0"/>
              <w:bottom w:val="single" w:color="000000" w:sz="4" w:space="0"/>
              <w:right w:val="single" w:color="000000" w:sz="4" w:space="0"/>
            </w:tcBorders>
            <w:tcW w:w="1699" w:type="dxa"/>
            <w:vAlign w:val="center"/>
            <w:textDirection w:val="lrTb"/>
            <w:noWrap w:val="false"/>
          </w:tcPr>
          <w:p>
            <w:pPr>
              <w:pStyle w:val="1146"/>
              <w:ind w:firstLine="0"/>
              <w:jc w:val="center"/>
              <w:widowControl w:val="off"/>
              <w:rPr>
                <w:sz w:val="18"/>
                <w:szCs w:val="18"/>
              </w:rPr>
            </w:pPr>
            <w:r>
              <w:rPr>
                <w:rFonts w:ascii="Arial Narrow" w:hAnsi="Arial Narrow" w:cs="Calibri"/>
                <w:b/>
                <w:color w:val="000000"/>
                <w:sz w:val="18"/>
                <w:szCs w:val="18"/>
              </w:rPr>
              <w:t xml:space="preserve">Количество работников Общества, участвующих в реализации образовательных программах, чел.</w:t>
            </w:r>
            <w:r>
              <w:rPr>
                <w:sz w:val="18"/>
                <w:szCs w:val="18"/>
              </w:rPr>
            </w:r>
            <w:r>
              <w:rPr>
                <w:sz w:val="18"/>
                <w:szCs w:val="18"/>
              </w:rPr>
            </w:r>
          </w:p>
        </w:tc>
      </w:tr>
      <w:tr>
        <w:trPr>
          <w:trHeight w:val="45"/>
        </w:trPr>
        <w:tc>
          <w:tcPr>
            <w:tcBorders>
              <w:top w:val="single" w:color="000000" w:sz="4" w:space="0"/>
              <w:left w:val="single" w:color="000000" w:sz="4" w:space="0"/>
              <w:bottom w:val="single" w:color="000000" w:sz="4" w:space="0"/>
              <w:right w:val="single" w:color="000000" w:sz="4" w:space="0"/>
            </w:tcBorders>
            <w:tcW w:w="2125" w:type="dxa"/>
            <w:vAlign w:val="center"/>
            <w:vMerge w:val="continue"/>
            <w:textDirection w:val="lrTb"/>
            <w:noWrap w:val="false"/>
          </w:tcPr>
          <w:p>
            <w:pPr>
              <w:pStyle w:val="1062"/>
              <w:rPr>
                <w:sz w:val="18"/>
                <w:szCs w:val="18"/>
              </w:rPr>
            </w:pPr>
            <w:r>
              <w:rPr>
                <w:sz w:val="18"/>
                <w:szCs w:val="18"/>
              </w:rPr>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1559" w:type="dxa"/>
            <w:vAlign w:val="center"/>
            <w:vMerge w:val="continue"/>
            <w:textDirection w:val="lrTb"/>
            <w:noWrap w:val="false"/>
          </w:tcPr>
          <w:p>
            <w:pPr>
              <w:pStyle w:val="1062"/>
              <w:rPr>
                <w:sz w:val="18"/>
                <w:szCs w:val="18"/>
              </w:rPr>
            </w:pPr>
            <w:r>
              <w:rPr>
                <w:sz w:val="18"/>
                <w:szCs w:val="18"/>
              </w:rPr>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55" w:type="dxa"/>
            <w:vAlign w:val="center"/>
            <w:textDirection w:val="lrTb"/>
            <w:noWrap w:val="false"/>
          </w:tcPr>
          <w:p>
            <w:pPr>
              <w:pStyle w:val="1146"/>
              <w:ind w:firstLine="0"/>
              <w:jc w:val="center"/>
              <w:widowControl w:val="off"/>
              <w:rPr>
                <w:sz w:val="18"/>
                <w:szCs w:val="18"/>
              </w:rPr>
            </w:pPr>
            <w:r>
              <w:rPr>
                <w:rFonts w:ascii="Arial Narrow" w:hAnsi="Arial Narrow" w:cs="Calibri"/>
                <w:b/>
                <w:color w:val="000000"/>
                <w:sz w:val="18"/>
                <w:szCs w:val="18"/>
              </w:rPr>
              <w:t xml:space="preserve">ВУЗ</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43" w:type="dxa"/>
            <w:vAlign w:val="center"/>
            <w:textDirection w:val="lrTb"/>
            <w:noWrap w:val="false"/>
          </w:tcPr>
          <w:p>
            <w:pPr>
              <w:pStyle w:val="1146"/>
              <w:ind w:firstLine="0"/>
              <w:jc w:val="center"/>
              <w:widowControl w:val="off"/>
              <w:rPr>
                <w:sz w:val="18"/>
                <w:szCs w:val="18"/>
              </w:rPr>
            </w:pPr>
            <w:r>
              <w:rPr>
                <w:rFonts w:ascii="Arial Narrow" w:hAnsi="Arial Narrow" w:cs="Calibri"/>
                <w:b/>
                <w:color w:val="000000"/>
                <w:sz w:val="18"/>
                <w:szCs w:val="18"/>
              </w:rPr>
              <w:t xml:space="preserve">СПО</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712" w:type="dxa"/>
            <w:vAlign w:val="center"/>
            <w:textDirection w:val="lrTb"/>
            <w:noWrap w:val="false"/>
          </w:tcPr>
          <w:p>
            <w:pPr>
              <w:pStyle w:val="1146"/>
              <w:ind w:firstLine="0"/>
              <w:jc w:val="center"/>
              <w:widowControl w:val="off"/>
              <w:rPr>
                <w:sz w:val="18"/>
                <w:szCs w:val="18"/>
              </w:rPr>
            </w:pPr>
            <w:r>
              <w:rPr>
                <w:rFonts w:ascii="Arial Narrow" w:hAnsi="Arial Narrow" w:cs="Calibri"/>
                <w:b/>
                <w:color w:val="000000"/>
                <w:sz w:val="18"/>
                <w:szCs w:val="18"/>
              </w:rPr>
              <w:t xml:space="preserve">ВУЗ</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47" w:type="dxa"/>
            <w:vAlign w:val="center"/>
            <w:textDirection w:val="lrTb"/>
            <w:noWrap w:val="false"/>
          </w:tcPr>
          <w:p>
            <w:pPr>
              <w:pStyle w:val="1146"/>
              <w:ind w:firstLine="0"/>
              <w:jc w:val="center"/>
              <w:widowControl w:val="off"/>
              <w:rPr>
                <w:sz w:val="18"/>
                <w:szCs w:val="18"/>
              </w:rPr>
            </w:pPr>
            <w:r>
              <w:rPr>
                <w:rFonts w:ascii="Arial Narrow" w:hAnsi="Arial Narrow" w:cs="Calibri"/>
                <w:b/>
                <w:color w:val="000000"/>
                <w:sz w:val="18"/>
                <w:szCs w:val="18"/>
              </w:rPr>
              <w:t xml:space="preserve">СПО</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710" w:type="dxa"/>
            <w:vAlign w:val="center"/>
            <w:textDirection w:val="lrTb"/>
            <w:noWrap w:val="false"/>
          </w:tcPr>
          <w:p>
            <w:pPr>
              <w:pStyle w:val="1146"/>
              <w:ind w:firstLine="0"/>
              <w:jc w:val="center"/>
              <w:widowControl w:val="off"/>
              <w:rPr>
                <w:sz w:val="18"/>
                <w:szCs w:val="18"/>
              </w:rPr>
            </w:pPr>
            <w:r>
              <w:rPr>
                <w:rFonts w:ascii="Arial Narrow" w:hAnsi="Arial Narrow" w:cs="Calibri"/>
                <w:b/>
                <w:color w:val="000000"/>
                <w:sz w:val="18"/>
                <w:szCs w:val="18"/>
              </w:rPr>
              <w:t xml:space="preserve">ВУЗ</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45" w:type="dxa"/>
            <w:vAlign w:val="center"/>
            <w:textDirection w:val="lrTb"/>
            <w:noWrap w:val="false"/>
          </w:tcPr>
          <w:p>
            <w:pPr>
              <w:pStyle w:val="1146"/>
              <w:ind w:firstLine="0"/>
              <w:jc w:val="center"/>
              <w:widowControl w:val="off"/>
              <w:rPr>
                <w:sz w:val="18"/>
                <w:szCs w:val="18"/>
              </w:rPr>
            </w:pPr>
            <w:r>
              <w:rPr>
                <w:rFonts w:ascii="Arial Narrow" w:hAnsi="Arial Narrow" w:cs="Calibri"/>
                <w:b/>
                <w:color w:val="000000"/>
                <w:sz w:val="18"/>
                <w:szCs w:val="18"/>
              </w:rPr>
              <w:t xml:space="preserve">СПО</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04" w:type="dxa"/>
            <w:vAlign w:val="center"/>
            <w:textDirection w:val="lrTb"/>
            <w:noWrap w:val="false"/>
          </w:tcPr>
          <w:p>
            <w:pPr>
              <w:pStyle w:val="1146"/>
              <w:ind w:firstLine="0"/>
              <w:jc w:val="center"/>
              <w:widowControl w:val="off"/>
              <w:rPr>
                <w:sz w:val="18"/>
                <w:szCs w:val="18"/>
              </w:rPr>
            </w:pPr>
            <w:r>
              <w:rPr>
                <w:rFonts w:ascii="Arial Narrow" w:hAnsi="Arial Narrow" w:cs="Calibri"/>
                <w:b/>
                <w:color w:val="000000"/>
                <w:sz w:val="18"/>
                <w:szCs w:val="18"/>
              </w:rPr>
              <w:t xml:space="preserve">ВУЗ</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95" w:type="dxa"/>
            <w:vAlign w:val="center"/>
            <w:textDirection w:val="lrTb"/>
            <w:noWrap w:val="false"/>
          </w:tcPr>
          <w:p>
            <w:pPr>
              <w:pStyle w:val="1146"/>
              <w:ind w:firstLine="0"/>
              <w:jc w:val="center"/>
              <w:widowControl w:val="off"/>
              <w:rPr>
                <w:sz w:val="18"/>
                <w:szCs w:val="18"/>
              </w:rPr>
            </w:pPr>
            <w:r>
              <w:rPr>
                <w:rFonts w:ascii="Arial Narrow" w:hAnsi="Arial Narrow" w:cs="Calibri"/>
                <w:b/>
                <w:color w:val="000000"/>
                <w:sz w:val="18"/>
                <w:szCs w:val="18"/>
              </w:rPr>
              <w:t xml:space="preserve">СПО</w:t>
            </w:r>
            <w:r>
              <w:rPr>
                <w:sz w:val="18"/>
                <w:szCs w:val="18"/>
              </w:rPr>
            </w:r>
            <w:r>
              <w:rPr>
                <w:sz w:val="18"/>
                <w:szCs w:val="18"/>
              </w:rPr>
            </w:r>
          </w:p>
        </w:tc>
      </w:tr>
      <w:tr>
        <w:trPr>
          <w:trHeight w:val="45"/>
        </w:trPr>
        <w:tc>
          <w:tcPr>
            <w:tcBorders>
              <w:top w:val="single" w:color="000000" w:sz="4" w:space="0"/>
              <w:left w:val="single" w:color="000000" w:sz="4" w:space="0"/>
              <w:bottom w:val="single" w:color="000000" w:sz="4" w:space="0"/>
              <w:right w:val="single" w:color="000000" w:sz="4" w:space="0"/>
            </w:tcBorders>
            <w:tcW w:w="2125" w:type="dxa"/>
            <w:vAlign w:val="center"/>
            <w:textDirection w:val="lrTb"/>
            <w:noWrap w:val="false"/>
          </w:tcPr>
          <w:p>
            <w:pPr>
              <w:pStyle w:val="1146"/>
              <w:ind w:firstLine="0"/>
              <w:jc w:val="center"/>
              <w:widowControl w:val="off"/>
              <w:rPr>
                <w:sz w:val="18"/>
                <w:szCs w:val="18"/>
              </w:rPr>
            </w:pPr>
            <w:r>
              <w:rPr>
                <w:rFonts w:ascii="Arial Narrow" w:hAnsi="Arial Narrow" w:cs="Calibri"/>
                <w:color w:val="000000"/>
                <w:sz w:val="18"/>
                <w:szCs w:val="18"/>
              </w:rPr>
              <w:t xml:space="preserve"> ФГБОУ ВО «КамчатГТУ»</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1559" w:type="dxa"/>
            <w:vAlign w:val="center"/>
            <w:textDirection w:val="lrTb"/>
            <w:noWrap w:val="false"/>
          </w:tcPr>
          <w:p>
            <w:pPr>
              <w:pStyle w:val="1146"/>
              <w:ind w:firstLine="0"/>
              <w:jc w:val="center"/>
              <w:widowControl w:val="off"/>
              <w:rPr>
                <w:sz w:val="18"/>
                <w:szCs w:val="18"/>
              </w:rPr>
            </w:pPr>
            <w:r>
              <w:rPr>
                <w:rFonts w:ascii="Arial Narrow" w:hAnsi="Arial Narrow" w:cs="Calibri"/>
                <w:color w:val="000000"/>
                <w:sz w:val="18"/>
                <w:szCs w:val="18"/>
              </w:rPr>
              <w:t xml:space="preserve">Практическая подготовка на базе Общества</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55"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 29</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43"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 -</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712"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1</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47"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710"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 -</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45"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04"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95"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 -</w:t>
            </w:r>
            <w:r>
              <w:rPr>
                <w:sz w:val="18"/>
                <w:szCs w:val="18"/>
              </w:rPr>
            </w:r>
            <w:r>
              <w:rPr>
                <w:sz w:val="18"/>
                <w:szCs w:val="18"/>
              </w:rPr>
            </w:r>
          </w:p>
        </w:tc>
      </w:tr>
      <w:tr>
        <w:trPr>
          <w:trHeight w:val="316"/>
        </w:trPr>
        <w:tc>
          <w:tcPr>
            <w:tcBorders>
              <w:top w:val="single" w:color="000000" w:sz="4" w:space="0"/>
              <w:left w:val="single" w:color="000000" w:sz="4" w:space="0"/>
              <w:bottom w:val="single" w:color="000000" w:sz="4" w:space="0"/>
              <w:right w:val="single" w:color="000000" w:sz="4" w:space="0"/>
            </w:tcBorders>
            <w:tcW w:w="2125" w:type="dxa"/>
            <w:vAlign w:val="center"/>
            <w:textDirection w:val="lrTb"/>
            <w:noWrap w:val="false"/>
          </w:tcPr>
          <w:p>
            <w:pPr>
              <w:pStyle w:val="1146"/>
              <w:ind w:firstLine="0"/>
              <w:jc w:val="center"/>
              <w:widowControl w:val="off"/>
              <w:rPr>
                <w:sz w:val="18"/>
                <w:szCs w:val="18"/>
              </w:rPr>
            </w:pPr>
            <w:r>
              <w:rPr>
                <w:rFonts w:ascii="Arial Narrow" w:hAnsi="Arial Narrow" w:cs="Calibri"/>
                <w:color w:val="000000"/>
                <w:sz w:val="18"/>
                <w:szCs w:val="18"/>
              </w:rPr>
              <w:t xml:space="preserve">КГПОАУ «Камчатский морской энергетический техникум»</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1559" w:type="dxa"/>
            <w:vAlign w:val="center"/>
            <w:textDirection w:val="lrTb"/>
            <w:noWrap w:val="false"/>
          </w:tcPr>
          <w:p>
            <w:pPr>
              <w:pStyle w:val="1146"/>
              <w:ind w:firstLine="0"/>
              <w:jc w:val="center"/>
              <w:widowControl w:val="off"/>
              <w:rPr>
                <w:sz w:val="18"/>
                <w:szCs w:val="18"/>
              </w:rPr>
            </w:pPr>
            <w:r>
              <w:rPr>
                <w:rFonts w:ascii="Arial Narrow" w:hAnsi="Arial Narrow" w:cs="Calibri"/>
                <w:color w:val="000000"/>
                <w:sz w:val="18"/>
                <w:szCs w:val="18"/>
              </w:rPr>
              <w:t xml:space="preserve">Практическая подготовка на базе Общества</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55"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 -</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43"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21</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712"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 -</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47" w:type="dxa"/>
            <w:vAlign w:val="center"/>
            <w:textDirection w:val="lrTb"/>
            <w:noWrap w:val="false"/>
          </w:tcPr>
          <w:p>
            <w:pPr>
              <w:pStyle w:val="1063"/>
              <w:widowControl w:val="off"/>
              <w:rPr>
                <w:sz w:val="18"/>
                <w:szCs w:val="18"/>
              </w:rPr>
            </w:pPr>
            <w:r>
              <w:rPr>
                <w:sz w:val="18"/>
                <w:szCs w:val="18"/>
              </w:rPr>
            </w:r>
            <w:r>
              <w:rPr>
                <w:sz w:val="18"/>
                <w:szCs w:val="18"/>
              </w:rPr>
            </w:r>
            <w:r>
              <w:rPr>
                <w:sz w:val="18"/>
                <w:szCs w:val="18"/>
              </w:rPr>
            </w:r>
          </w:p>
          <w:p>
            <w:pPr>
              <w:pStyle w:val="1063"/>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710" w:type="dxa"/>
            <w:vAlign w:val="center"/>
            <w:textDirection w:val="lrTb"/>
            <w:noWrap w:val="false"/>
          </w:tcPr>
          <w:p>
            <w:pPr>
              <w:pStyle w:val="1063"/>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063"/>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45" w:type="dxa"/>
            <w:vAlign w:val="center"/>
            <w:textDirection w:val="lrTb"/>
            <w:noWrap w:val="false"/>
          </w:tcPr>
          <w:p>
            <w:pPr>
              <w:pStyle w:val="1063"/>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063"/>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04" w:type="dxa"/>
            <w:vAlign w:val="center"/>
            <w:textDirection w:val="lrTb"/>
            <w:noWrap w:val="false"/>
          </w:tcPr>
          <w:p>
            <w:pPr>
              <w:pStyle w:val="1063"/>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063"/>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95" w:type="dxa"/>
            <w:vAlign w:val="center"/>
            <w:textDirection w:val="lrTb"/>
            <w:noWrap w:val="false"/>
          </w:tcPr>
          <w:p>
            <w:pPr>
              <w:pStyle w:val="1063"/>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063"/>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r>
      <w:tr>
        <w:trPr>
          <w:trHeight w:val="300"/>
        </w:trPr>
        <w:tc>
          <w:tcPr>
            <w:tcBorders>
              <w:top w:val="single" w:color="000000" w:sz="4" w:space="0"/>
              <w:left w:val="single" w:color="000000" w:sz="4" w:space="0"/>
              <w:bottom w:val="single" w:color="000000" w:sz="4" w:space="0"/>
              <w:right w:val="single" w:color="000000" w:sz="4" w:space="0"/>
            </w:tcBorders>
            <w:tcW w:w="2125" w:type="dxa"/>
            <w:vAlign w:val="center"/>
            <w:textDirection w:val="lrTb"/>
            <w:noWrap w:val="false"/>
          </w:tcPr>
          <w:p>
            <w:pPr>
              <w:pStyle w:val="1100"/>
              <w:ind w:left="0"/>
              <w:jc w:val="center"/>
              <w:spacing w:after="0"/>
              <w:widowControl w:val="off"/>
              <w:tabs>
                <w:tab w:val="left" w:pos="566" w:leader="none"/>
                <w:tab w:val="left" w:pos="1133" w:leader="none"/>
              </w:tabs>
              <w:rPr>
                <w:sz w:val="18"/>
                <w:szCs w:val="18"/>
              </w:rPr>
            </w:pPr>
            <w:r>
              <w:rPr>
                <w:rFonts w:ascii="Arial Narrow" w:hAnsi="Arial Narrow"/>
                <w:color w:val="000000"/>
                <w:sz w:val="18"/>
                <w:szCs w:val="18"/>
              </w:rPr>
              <w:t xml:space="preserve">ФГБОУ ВО «МГТУ им. Баумана»</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1559" w:type="dxa"/>
            <w:vAlign w:val="center"/>
            <w:textDirection w:val="lrTb"/>
            <w:noWrap w:val="false"/>
          </w:tcPr>
          <w:p>
            <w:pPr>
              <w:pStyle w:val="1146"/>
              <w:ind w:firstLine="0"/>
              <w:jc w:val="center"/>
              <w:widowControl w:val="off"/>
              <w:rPr>
                <w:sz w:val="18"/>
                <w:szCs w:val="18"/>
              </w:rPr>
            </w:pPr>
            <w:r>
              <w:rPr>
                <w:rFonts w:ascii="Arial Narrow" w:hAnsi="Arial Narrow" w:cs="Calibri"/>
                <w:color w:val="000000"/>
                <w:sz w:val="18"/>
                <w:szCs w:val="18"/>
              </w:rPr>
              <w:t xml:space="preserve">Практическая подготовка на базе Общества</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55"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2</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43"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712"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47"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tc>
        <w:tc>
          <w:tcPr>
            <w:tcBorders>
              <w:top w:val="single" w:color="000000" w:sz="4" w:space="0"/>
              <w:left w:val="single" w:color="000000" w:sz="4" w:space="0"/>
              <w:bottom w:val="single" w:color="000000" w:sz="4" w:space="0"/>
              <w:right w:val="single" w:color="000000" w:sz="4" w:space="0"/>
            </w:tcBorders>
            <w:tcW w:w="710"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45"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04"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95"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r>
      <w:tr>
        <w:trPr>
          <w:trHeight w:val="40"/>
        </w:trPr>
        <w:tc>
          <w:tcPr>
            <w:tcBorders>
              <w:top w:val="single" w:color="000000" w:sz="4" w:space="0"/>
              <w:left w:val="single" w:color="000000" w:sz="4" w:space="0"/>
              <w:bottom w:val="single" w:color="000000" w:sz="4" w:space="0"/>
              <w:right w:val="single" w:color="000000" w:sz="4" w:space="0"/>
            </w:tcBorders>
            <w:tcW w:w="2125" w:type="dxa"/>
            <w:vAlign w:val="center"/>
            <w:textDirection w:val="lrTb"/>
            <w:noWrap w:val="false"/>
          </w:tcPr>
          <w:p>
            <w:pPr>
              <w:pStyle w:val="1100"/>
              <w:ind w:left="0"/>
              <w:jc w:val="center"/>
              <w:spacing w:after="0"/>
              <w:widowControl w:val="off"/>
              <w:tabs>
                <w:tab w:val="left" w:pos="566" w:leader="none"/>
                <w:tab w:val="left" w:pos="1133" w:leader="none"/>
              </w:tabs>
              <w:rPr>
                <w:sz w:val="18"/>
                <w:szCs w:val="18"/>
              </w:rPr>
            </w:pPr>
            <w:r>
              <w:rPr>
                <w:rFonts w:ascii="Arial Narrow" w:hAnsi="Arial Narrow"/>
                <w:color w:val="000000"/>
                <w:sz w:val="18"/>
                <w:szCs w:val="18"/>
              </w:rPr>
              <w:t xml:space="preserve">ФГАОУ ВО «Дальневосточный федеральный университет»</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1559" w:type="dxa"/>
            <w:vAlign w:val="center"/>
            <w:textDirection w:val="lrTb"/>
            <w:noWrap w:val="false"/>
          </w:tcPr>
          <w:p>
            <w:pPr>
              <w:pStyle w:val="1146"/>
              <w:ind w:firstLine="0"/>
              <w:jc w:val="center"/>
              <w:widowControl w:val="off"/>
              <w:rPr>
                <w:sz w:val="18"/>
                <w:szCs w:val="18"/>
              </w:rPr>
            </w:pPr>
            <w:r>
              <w:rPr>
                <w:rFonts w:ascii="Arial Narrow" w:hAnsi="Arial Narrow" w:cs="Calibri"/>
                <w:color w:val="000000"/>
                <w:sz w:val="18"/>
                <w:szCs w:val="18"/>
              </w:rPr>
              <w:t xml:space="preserve">Практическая подготовка на базе Общества</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55"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5</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43"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712"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47"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tc>
        <w:tc>
          <w:tcPr>
            <w:tcBorders>
              <w:top w:val="single" w:color="000000" w:sz="4" w:space="0"/>
              <w:left w:val="single" w:color="000000" w:sz="4" w:space="0"/>
              <w:bottom w:val="single" w:color="000000" w:sz="4" w:space="0"/>
              <w:right w:val="single" w:color="000000" w:sz="4" w:space="0"/>
            </w:tcBorders>
            <w:tcW w:w="710"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45"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04"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95"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r>
      <w:tr>
        <w:trPr>
          <w:trHeight w:val="300"/>
        </w:trPr>
        <w:tc>
          <w:tcPr>
            <w:tcBorders>
              <w:top w:val="single" w:color="000000" w:sz="4" w:space="0"/>
              <w:left w:val="single" w:color="000000" w:sz="4" w:space="0"/>
              <w:bottom w:val="single" w:color="000000" w:sz="4" w:space="0"/>
              <w:right w:val="single" w:color="000000" w:sz="4" w:space="0"/>
            </w:tcBorders>
            <w:tcW w:w="2125" w:type="dxa"/>
            <w:vAlign w:val="center"/>
            <w:textDirection w:val="lrTb"/>
            <w:noWrap w:val="false"/>
          </w:tcPr>
          <w:p>
            <w:pPr>
              <w:pStyle w:val="1100"/>
              <w:ind w:left="0"/>
              <w:jc w:val="center"/>
              <w:spacing w:after="0"/>
              <w:widowControl w:val="off"/>
              <w:tabs>
                <w:tab w:val="left" w:pos="566" w:leader="none"/>
                <w:tab w:val="left" w:pos="1133" w:leader="none"/>
              </w:tabs>
              <w:rPr>
                <w:sz w:val="18"/>
                <w:szCs w:val="18"/>
              </w:rPr>
            </w:pPr>
            <w:r>
              <w:rPr>
                <w:rFonts w:ascii="Arial Narrow" w:hAnsi="Arial Narrow"/>
                <w:color w:val="000000"/>
                <w:sz w:val="18"/>
                <w:szCs w:val="18"/>
              </w:rPr>
              <w:t xml:space="preserve">ФГБОУ ВО «Дальрыбвтуз»</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1559" w:type="dxa"/>
            <w:vAlign w:val="center"/>
            <w:textDirection w:val="lrTb"/>
            <w:noWrap w:val="false"/>
          </w:tcPr>
          <w:p>
            <w:pPr>
              <w:pStyle w:val="1146"/>
              <w:ind w:firstLine="0"/>
              <w:jc w:val="center"/>
              <w:widowControl w:val="off"/>
              <w:rPr>
                <w:sz w:val="18"/>
                <w:szCs w:val="18"/>
              </w:rPr>
            </w:pPr>
            <w:r>
              <w:rPr>
                <w:rFonts w:ascii="Arial Narrow" w:hAnsi="Arial Narrow" w:cs="Calibri"/>
                <w:color w:val="000000"/>
                <w:sz w:val="18"/>
                <w:szCs w:val="18"/>
              </w:rPr>
              <w:t xml:space="preserve">Практическая подготовка на базе Общества</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55"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1</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43"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712"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47"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tc>
        <w:tc>
          <w:tcPr>
            <w:tcBorders>
              <w:top w:val="single" w:color="000000" w:sz="4" w:space="0"/>
              <w:left w:val="single" w:color="000000" w:sz="4" w:space="0"/>
              <w:bottom w:val="single" w:color="000000" w:sz="4" w:space="0"/>
              <w:right w:val="single" w:color="000000" w:sz="4" w:space="0"/>
            </w:tcBorders>
            <w:tcW w:w="710"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45"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04"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95"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r>
      <w:tr>
        <w:trPr>
          <w:trHeight w:val="45"/>
        </w:trPr>
        <w:tc>
          <w:tcPr>
            <w:tcBorders>
              <w:top w:val="single" w:color="000000" w:sz="4" w:space="0"/>
              <w:left w:val="single" w:color="000000" w:sz="4" w:space="0"/>
              <w:bottom w:val="single" w:color="000000" w:sz="4" w:space="0"/>
              <w:right w:val="single" w:color="000000" w:sz="4" w:space="0"/>
            </w:tcBorders>
            <w:tcW w:w="2125" w:type="dxa"/>
            <w:vAlign w:val="center"/>
            <w:textDirection w:val="lrTb"/>
            <w:noWrap w:val="false"/>
          </w:tcPr>
          <w:p>
            <w:pPr>
              <w:pStyle w:val="1100"/>
              <w:ind w:left="0"/>
              <w:jc w:val="center"/>
              <w:spacing w:after="0"/>
              <w:widowControl w:val="off"/>
              <w:tabs>
                <w:tab w:val="left" w:pos="566" w:leader="none"/>
                <w:tab w:val="left" w:pos="1133" w:leader="none"/>
              </w:tabs>
              <w:rPr>
                <w:sz w:val="18"/>
                <w:szCs w:val="18"/>
              </w:rPr>
            </w:pPr>
            <w:r>
              <w:rPr>
                <w:rFonts w:ascii="Arial Narrow" w:hAnsi="Arial Narrow"/>
                <w:color w:val="000000"/>
                <w:sz w:val="18"/>
                <w:szCs w:val="18"/>
              </w:rPr>
              <w:t xml:space="preserve">ФГБОУ ВО «ВАВТ»</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1559" w:type="dxa"/>
            <w:vAlign w:val="center"/>
            <w:textDirection w:val="lrTb"/>
            <w:noWrap w:val="false"/>
          </w:tcPr>
          <w:p>
            <w:pPr>
              <w:pStyle w:val="1146"/>
              <w:ind w:firstLine="0"/>
              <w:jc w:val="center"/>
              <w:widowControl w:val="off"/>
              <w:rPr>
                <w:sz w:val="18"/>
                <w:szCs w:val="18"/>
              </w:rPr>
            </w:pPr>
            <w:r>
              <w:rPr>
                <w:rFonts w:ascii="Arial Narrow" w:hAnsi="Arial Narrow"/>
                <w:color w:val="000000"/>
                <w:sz w:val="18"/>
                <w:szCs w:val="18"/>
              </w:rPr>
              <w:t xml:space="preserve">Практическая подготовка на базе Общества</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55" w:type="dxa"/>
            <w:vAlign w:val="center"/>
            <w:textDirection w:val="lrTb"/>
            <w:noWrap w:val="false"/>
          </w:tcPr>
          <w:p>
            <w:pPr>
              <w:pStyle w:val="1146"/>
              <w:ind w:firstLine="0"/>
              <w:jc w:val="center"/>
              <w:widowControl w:val="off"/>
              <w:rPr>
                <w:sz w:val="18"/>
                <w:szCs w:val="18"/>
              </w:rPr>
            </w:pPr>
            <w:r>
              <w:rPr>
                <w:rFonts w:ascii="Arial Narrow" w:hAnsi="Arial Narrow" w:cs="Calibri"/>
                <w:color w:val="000000"/>
                <w:sz w:val="18"/>
                <w:szCs w:val="18"/>
              </w:rPr>
              <w:t xml:space="preserve">3</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43" w:type="dxa"/>
            <w:vAlign w:val="center"/>
            <w:textDirection w:val="lrTb"/>
            <w:noWrap w:val="false"/>
          </w:tcPr>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712" w:type="dxa"/>
            <w:vAlign w:val="center"/>
            <w:textDirection w:val="lrTb"/>
            <w:noWrap w:val="false"/>
          </w:tcPr>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47" w:type="dxa"/>
            <w:vAlign w:val="center"/>
            <w:textDirection w:val="lrTb"/>
            <w:noWrap w:val="false"/>
          </w:tcPr>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710" w:type="dxa"/>
            <w:vAlign w:val="center"/>
            <w:textDirection w:val="lrTb"/>
            <w:noWrap w:val="false"/>
          </w:tcPr>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45" w:type="dxa"/>
            <w:vAlign w:val="center"/>
            <w:textDirection w:val="lrTb"/>
            <w:noWrap w:val="false"/>
          </w:tcPr>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04" w:type="dxa"/>
            <w:vAlign w:val="center"/>
            <w:textDirection w:val="lrTb"/>
            <w:noWrap w:val="false"/>
          </w:tcPr>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95" w:type="dxa"/>
            <w:vAlign w:val="center"/>
            <w:textDirection w:val="lrTb"/>
            <w:noWrap w:val="false"/>
          </w:tcPr>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r>
      <w:tr>
        <w:trPr>
          <w:trHeight w:val="45"/>
        </w:trPr>
        <w:tc>
          <w:tcPr>
            <w:tcBorders>
              <w:left w:val="single" w:color="000000" w:sz="4" w:space="0"/>
              <w:bottom w:val="single" w:color="000000" w:sz="4" w:space="0"/>
              <w:right w:val="single" w:color="000000" w:sz="4" w:space="0"/>
            </w:tcBorders>
            <w:tcW w:w="2125" w:type="dxa"/>
            <w:vAlign w:val="center"/>
            <w:textDirection w:val="lrTb"/>
            <w:noWrap w:val="false"/>
          </w:tcPr>
          <w:p>
            <w:pPr>
              <w:pStyle w:val="1100"/>
              <w:ind w:left="0"/>
              <w:jc w:val="center"/>
              <w:spacing w:after="0"/>
              <w:widowControl w:val="off"/>
              <w:tabs>
                <w:tab w:val="left" w:pos="566" w:leader="none"/>
                <w:tab w:val="left" w:pos="1133" w:leader="none"/>
              </w:tabs>
              <w:rPr>
                <w:sz w:val="18"/>
                <w:szCs w:val="18"/>
              </w:rPr>
            </w:pPr>
            <w:r>
              <w:rPr>
                <w:rFonts w:ascii="Arial Narrow" w:hAnsi="Arial Narrow"/>
                <w:color w:val="000000"/>
                <w:sz w:val="18"/>
                <w:szCs w:val="18"/>
              </w:rPr>
              <w:t xml:space="preserve">ФГАОУ ВО «Санкт-Петербургский университет Петра Великого»</w:t>
            </w:r>
            <w:r>
              <w:rPr>
                <w:sz w:val="18"/>
                <w:szCs w:val="18"/>
              </w:rPr>
            </w:r>
            <w:r>
              <w:rPr>
                <w:sz w:val="18"/>
                <w:szCs w:val="18"/>
              </w:rPr>
            </w:r>
          </w:p>
        </w:tc>
        <w:tc>
          <w:tcPr>
            <w:tcBorders>
              <w:left w:val="single" w:color="000000" w:sz="4" w:space="0"/>
              <w:bottom w:val="single" w:color="000000" w:sz="4" w:space="0"/>
              <w:right w:val="single" w:color="000000" w:sz="4" w:space="0"/>
            </w:tcBorders>
            <w:tcW w:w="1559" w:type="dxa"/>
            <w:vAlign w:val="center"/>
            <w:textDirection w:val="lrTb"/>
            <w:noWrap w:val="false"/>
          </w:tcPr>
          <w:p>
            <w:pPr>
              <w:pStyle w:val="1146"/>
              <w:ind w:firstLine="0"/>
              <w:jc w:val="center"/>
              <w:widowControl w:val="off"/>
              <w:rPr>
                <w:sz w:val="18"/>
                <w:szCs w:val="18"/>
              </w:rPr>
            </w:pPr>
            <w:r>
              <w:rPr>
                <w:rFonts w:ascii="Arial Narrow" w:hAnsi="Arial Narrow"/>
                <w:color w:val="000000"/>
                <w:sz w:val="18"/>
                <w:szCs w:val="18"/>
              </w:rPr>
              <w:t xml:space="preserve">Практическая подготовка на базе Общества</w:t>
            </w:r>
            <w:r>
              <w:rPr>
                <w:sz w:val="18"/>
                <w:szCs w:val="18"/>
              </w:rPr>
            </w:r>
            <w:r>
              <w:rPr>
                <w:sz w:val="18"/>
                <w:szCs w:val="18"/>
              </w:rPr>
            </w:r>
          </w:p>
        </w:tc>
        <w:tc>
          <w:tcPr>
            <w:tcBorders>
              <w:left w:val="single" w:color="000000" w:sz="4" w:space="0"/>
              <w:bottom w:val="single" w:color="000000" w:sz="4" w:space="0"/>
              <w:right w:val="single" w:color="000000" w:sz="4" w:space="0"/>
            </w:tcBorders>
            <w:tcW w:w="855" w:type="dxa"/>
            <w:vAlign w:val="center"/>
            <w:textDirection w:val="lrTb"/>
            <w:noWrap w:val="false"/>
          </w:tcPr>
          <w:p>
            <w:pPr>
              <w:pStyle w:val="1146"/>
              <w:ind w:firstLine="0"/>
              <w:jc w:val="center"/>
              <w:widowControl w:val="off"/>
              <w:rPr>
                <w:sz w:val="18"/>
                <w:szCs w:val="18"/>
              </w:rPr>
            </w:pPr>
            <w:r>
              <w:rPr>
                <w:rFonts w:ascii="Arial Narrow" w:hAnsi="Arial Narrow" w:cs="Calibri"/>
                <w:color w:val="000000"/>
                <w:sz w:val="18"/>
                <w:szCs w:val="18"/>
              </w:rPr>
              <w:t xml:space="preserve">1</w:t>
            </w:r>
            <w:r>
              <w:rPr>
                <w:sz w:val="18"/>
                <w:szCs w:val="18"/>
              </w:rPr>
            </w:r>
            <w:r>
              <w:rPr>
                <w:sz w:val="18"/>
                <w:szCs w:val="18"/>
              </w:rPr>
            </w:r>
          </w:p>
        </w:tc>
        <w:tc>
          <w:tcPr>
            <w:tcBorders>
              <w:left w:val="single" w:color="000000" w:sz="4" w:space="0"/>
              <w:bottom w:val="single" w:color="000000" w:sz="4" w:space="0"/>
              <w:right w:val="single" w:color="000000" w:sz="4" w:space="0"/>
            </w:tcBorders>
            <w:tcW w:w="843"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tc>
        <w:tc>
          <w:tcPr>
            <w:tcBorders>
              <w:left w:val="single" w:color="000000" w:sz="4" w:space="0"/>
              <w:bottom w:val="single" w:color="000000" w:sz="4" w:space="0"/>
              <w:right w:val="single" w:color="000000" w:sz="4" w:space="0"/>
            </w:tcBorders>
            <w:tcW w:w="712"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tc>
        <w:tc>
          <w:tcPr>
            <w:tcBorders>
              <w:left w:val="single" w:color="000000" w:sz="4" w:space="0"/>
              <w:bottom w:val="single" w:color="000000" w:sz="4" w:space="0"/>
              <w:right w:val="single" w:color="000000" w:sz="4" w:space="0"/>
            </w:tcBorders>
            <w:tcW w:w="847"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tc>
        <w:tc>
          <w:tcPr>
            <w:tcBorders>
              <w:left w:val="single" w:color="000000" w:sz="4" w:space="0"/>
              <w:bottom w:val="single" w:color="000000" w:sz="4" w:space="0"/>
              <w:right w:val="single" w:color="000000" w:sz="4" w:space="0"/>
            </w:tcBorders>
            <w:tcW w:w="710"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tc>
        <w:tc>
          <w:tcPr>
            <w:tcBorders>
              <w:left w:val="single" w:color="000000" w:sz="4" w:space="0"/>
              <w:bottom w:val="single" w:color="000000" w:sz="4" w:space="0"/>
              <w:right w:val="single" w:color="000000" w:sz="4" w:space="0"/>
            </w:tcBorders>
            <w:tcW w:w="845"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tc>
        <w:tc>
          <w:tcPr>
            <w:tcBorders>
              <w:left w:val="single" w:color="000000" w:sz="4" w:space="0"/>
              <w:bottom w:val="single" w:color="000000" w:sz="4" w:space="0"/>
              <w:right w:val="single" w:color="000000" w:sz="4" w:space="0"/>
            </w:tcBorders>
            <w:tcW w:w="804"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tc>
        <w:tc>
          <w:tcPr>
            <w:tcBorders>
              <w:left w:val="single" w:color="000000" w:sz="4" w:space="0"/>
              <w:bottom w:val="single" w:color="000000" w:sz="4" w:space="0"/>
              <w:right w:val="single" w:color="000000" w:sz="4" w:space="0"/>
            </w:tcBorders>
            <w:tcW w:w="895"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tc>
      </w:tr>
      <w:tr>
        <w:trPr>
          <w:trHeight w:val="45"/>
        </w:trPr>
        <w:tc>
          <w:tcPr>
            <w:tcBorders>
              <w:left w:val="single" w:color="000000" w:sz="4" w:space="0"/>
              <w:bottom w:val="single" w:color="000000" w:sz="4" w:space="0"/>
              <w:right w:val="single" w:color="000000" w:sz="4" w:space="0"/>
            </w:tcBorders>
            <w:tcW w:w="2125" w:type="dxa"/>
            <w:vAlign w:val="center"/>
            <w:textDirection w:val="lrTb"/>
            <w:noWrap w:val="false"/>
          </w:tcPr>
          <w:p>
            <w:pPr>
              <w:pStyle w:val="1100"/>
              <w:ind w:left="0"/>
              <w:jc w:val="center"/>
              <w:spacing w:after="0"/>
              <w:widowControl w:val="off"/>
              <w:tabs>
                <w:tab w:val="left" w:pos="566" w:leader="none"/>
                <w:tab w:val="left" w:pos="1133" w:leader="none"/>
              </w:tabs>
              <w:rPr>
                <w:sz w:val="18"/>
                <w:szCs w:val="18"/>
              </w:rPr>
            </w:pPr>
            <w:r>
              <w:rPr>
                <w:rFonts w:ascii="Arial Narrow" w:hAnsi="Arial Narrow"/>
                <w:color w:val="000000"/>
                <w:sz w:val="18"/>
                <w:szCs w:val="18"/>
              </w:rPr>
              <w:t xml:space="preserve">ФГАОУ ВО «Московский политехнический университет»</w:t>
            </w:r>
            <w:r>
              <w:rPr>
                <w:sz w:val="18"/>
                <w:szCs w:val="18"/>
              </w:rPr>
            </w:r>
            <w:r>
              <w:rPr>
                <w:sz w:val="18"/>
                <w:szCs w:val="18"/>
              </w:rPr>
            </w:r>
          </w:p>
        </w:tc>
        <w:tc>
          <w:tcPr>
            <w:tcBorders>
              <w:left w:val="single" w:color="000000" w:sz="4" w:space="0"/>
              <w:bottom w:val="single" w:color="000000" w:sz="4" w:space="0"/>
              <w:right w:val="single" w:color="000000" w:sz="4" w:space="0"/>
            </w:tcBorders>
            <w:tcW w:w="1559" w:type="dxa"/>
            <w:vAlign w:val="center"/>
            <w:textDirection w:val="lrTb"/>
            <w:noWrap w:val="false"/>
          </w:tcPr>
          <w:p>
            <w:pPr>
              <w:pStyle w:val="1146"/>
              <w:ind w:firstLine="0"/>
              <w:jc w:val="center"/>
              <w:widowControl w:val="off"/>
              <w:rPr>
                <w:sz w:val="18"/>
                <w:szCs w:val="18"/>
              </w:rPr>
            </w:pPr>
            <w:r>
              <w:rPr>
                <w:rFonts w:ascii="Arial Narrow" w:hAnsi="Arial Narrow" w:cs="Calibri"/>
                <w:color w:val="000000"/>
                <w:sz w:val="18"/>
                <w:szCs w:val="18"/>
              </w:rPr>
              <w:t xml:space="preserve"> Практическая подготовка на базе Общества</w:t>
            </w:r>
            <w:r>
              <w:rPr>
                <w:sz w:val="18"/>
                <w:szCs w:val="18"/>
              </w:rPr>
            </w:r>
            <w:r>
              <w:rPr>
                <w:sz w:val="18"/>
                <w:szCs w:val="18"/>
              </w:rPr>
            </w:r>
          </w:p>
        </w:tc>
        <w:tc>
          <w:tcPr>
            <w:tcBorders>
              <w:left w:val="single" w:color="000000" w:sz="4" w:space="0"/>
              <w:bottom w:val="single" w:color="000000" w:sz="4" w:space="0"/>
              <w:right w:val="single" w:color="000000" w:sz="4" w:space="0"/>
            </w:tcBorders>
            <w:tcW w:w="855"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 1</w:t>
            </w:r>
            <w:r>
              <w:rPr>
                <w:sz w:val="18"/>
                <w:szCs w:val="18"/>
              </w:rPr>
            </w:r>
            <w:r>
              <w:rPr>
                <w:sz w:val="18"/>
                <w:szCs w:val="18"/>
              </w:rPr>
            </w:r>
          </w:p>
        </w:tc>
        <w:tc>
          <w:tcPr>
            <w:tcBorders>
              <w:left w:val="single" w:color="000000" w:sz="4" w:space="0"/>
              <w:bottom w:val="single" w:color="000000" w:sz="4" w:space="0"/>
              <w:right w:val="single" w:color="000000" w:sz="4" w:space="0"/>
            </w:tcBorders>
            <w:tcW w:w="843"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c>
          <w:tcPr>
            <w:tcBorders>
              <w:left w:val="single" w:color="000000" w:sz="4" w:space="0"/>
              <w:bottom w:val="single" w:color="000000" w:sz="4" w:space="0"/>
              <w:right w:val="single" w:color="000000" w:sz="4" w:space="0"/>
            </w:tcBorders>
            <w:tcW w:w="712"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c>
          <w:tcPr>
            <w:tcBorders>
              <w:left w:val="single" w:color="000000" w:sz="4" w:space="0"/>
              <w:bottom w:val="single" w:color="000000" w:sz="4" w:space="0"/>
              <w:right w:val="single" w:color="000000" w:sz="4" w:space="0"/>
            </w:tcBorders>
            <w:tcW w:w="847"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tc>
        <w:tc>
          <w:tcPr>
            <w:tcBorders>
              <w:left w:val="single" w:color="000000" w:sz="4" w:space="0"/>
              <w:bottom w:val="single" w:color="000000" w:sz="4" w:space="0"/>
              <w:right w:val="single" w:color="000000" w:sz="4" w:space="0"/>
            </w:tcBorders>
            <w:tcW w:w="710"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c>
          <w:tcPr>
            <w:tcBorders>
              <w:left w:val="single" w:color="000000" w:sz="4" w:space="0"/>
              <w:bottom w:val="single" w:color="000000" w:sz="4" w:space="0"/>
              <w:right w:val="single" w:color="000000" w:sz="4" w:space="0"/>
            </w:tcBorders>
            <w:tcW w:w="845"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c>
          <w:tcPr>
            <w:tcBorders>
              <w:left w:val="single" w:color="000000" w:sz="4" w:space="0"/>
              <w:bottom w:val="single" w:color="000000" w:sz="4" w:space="0"/>
              <w:right w:val="single" w:color="000000" w:sz="4" w:space="0"/>
            </w:tcBorders>
            <w:tcW w:w="804"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c>
          <w:tcPr>
            <w:tcBorders>
              <w:left w:val="single" w:color="000000" w:sz="4" w:space="0"/>
              <w:bottom w:val="single" w:color="000000" w:sz="4" w:space="0"/>
              <w:right w:val="single" w:color="000000" w:sz="4" w:space="0"/>
            </w:tcBorders>
            <w:tcW w:w="895"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r>
      <w:tr>
        <w:trPr>
          <w:trHeight w:val="300"/>
        </w:trPr>
        <w:tc>
          <w:tcPr>
            <w:tcBorders>
              <w:top w:val="single" w:color="000000" w:sz="4" w:space="0"/>
              <w:left w:val="single" w:color="000000" w:sz="4" w:space="0"/>
              <w:bottom w:val="single" w:color="000000" w:sz="4" w:space="0"/>
              <w:right w:val="single" w:color="000000" w:sz="4" w:space="0"/>
            </w:tcBorders>
            <w:tcW w:w="2125" w:type="dxa"/>
            <w:vAlign w:val="center"/>
            <w:textDirection w:val="lrTb"/>
            <w:noWrap w:val="false"/>
          </w:tcPr>
          <w:p>
            <w:pPr>
              <w:pStyle w:val="1100"/>
              <w:ind w:left="0"/>
              <w:jc w:val="center"/>
              <w:spacing w:after="0"/>
              <w:widowControl w:val="off"/>
              <w:tabs>
                <w:tab w:val="left" w:pos="566" w:leader="none"/>
                <w:tab w:val="left" w:pos="1133" w:leader="none"/>
              </w:tabs>
              <w:rPr>
                <w:sz w:val="18"/>
                <w:szCs w:val="18"/>
              </w:rPr>
            </w:pPr>
            <w:r>
              <w:rPr>
                <w:rFonts w:ascii="Arial Narrow" w:hAnsi="Arial Narrow"/>
                <w:color w:val="000000"/>
                <w:sz w:val="18"/>
                <w:szCs w:val="18"/>
              </w:rPr>
              <w:t xml:space="preserve">АНО ДПО «Институт КИТ»</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1559" w:type="dxa"/>
            <w:vAlign w:val="center"/>
            <w:textDirection w:val="lrTb"/>
            <w:noWrap w:val="false"/>
          </w:tcPr>
          <w:p>
            <w:pPr>
              <w:pStyle w:val="1146"/>
              <w:ind w:firstLine="0"/>
              <w:jc w:val="center"/>
              <w:widowControl w:val="off"/>
              <w:rPr>
                <w:sz w:val="18"/>
                <w:szCs w:val="18"/>
              </w:rPr>
            </w:pPr>
            <w:r>
              <w:rPr>
                <w:rFonts w:ascii="Arial Narrow" w:hAnsi="Arial Narrow" w:cs="Calibri"/>
                <w:color w:val="000000"/>
                <w:sz w:val="18"/>
                <w:szCs w:val="18"/>
              </w:rPr>
              <w:t xml:space="preserve">Практическая подготовка на базе Общества</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55"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43"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3</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712"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47"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tc>
        <w:tc>
          <w:tcPr>
            <w:tcBorders>
              <w:top w:val="single" w:color="000000" w:sz="4" w:space="0"/>
              <w:left w:val="single" w:color="000000" w:sz="4" w:space="0"/>
              <w:bottom w:val="single" w:color="000000" w:sz="4" w:space="0"/>
              <w:right w:val="single" w:color="000000" w:sz="4" w:space="0"/>
            </w:tcBorders>
            <w:tcW w:w="710"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45"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04"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c>
          <w:tcPr>
            <w:tcBorders>
              <w:top w:val="single" w:color="000000" w:sz="4" w:space="0"/>
              <w:left w:val="single" w:color="000000" w:sz="4" w:space="0"/>
              <w:bottom w:val="single" w:color="000000" w:sz="4" w:space="0"/>
              <w:right w:val="single" w:color="000000" w:sz="4" w:space="0"/>
            </w:tcBorders>
            <w:tcW w:w="895" w:type="dxa"/>
            <w:vAlign w:val="center"/>
            <w:textDirection w:val="lrTb"/>
            <w:noWrap w:val="false"/>
          </w:tcPr>
          <w:p>
            <w:pPr>
              <w:pStyle w:val="1146"/>
              <w:ind w:firstLine="0"/>
              <w:jc w:val="center"/>
              <w:widowControl w:val="off"/>
              <w:rPr>
                <w:rFonts w:ascii="Arial Narrow" w:hAnsi="Arial Narrow" w:cs="Calibri"/>
                <w:color w:val="000000"/>
                <w:sz w:val="18"/>
                <w:szCs w:val="18"/>
              </w:rPr>
            </w:pPr>
            <w:r>
              <w:rPr>
                <w:rFonts w:ascii="Arial Narrow" w:hAnsi="Arial Narrow" w:cs="Calibri"/>
                <w:color w:val="000000"/>
                <w:sz w:val="18"/>
                <w:szCs w:val="18"/>
              </w:rPr>
            </w:r>
            <w:r>
              <w:rPr>
                <w:rFonts w:ascii="Arial Narrow" w:hAnsi="Arial Narrow" w:cs="Calibri"/>
                <w:color w:val="000000"/>
                <w:sz w:val="18"/>
                <w:szCs w:val="18"/>
              </w:rPr>
            </w:r>
            <w:r>
              <w:rPr>
                <w:rFonts w:ascii="Arial Narrow" w:hAnsi="Arial Narrow" w:cs="Calibri"/>
                <w:color w:val="000000"/>
                <w:sz w:val="18"/>
                <w:szCs w:val="18"/>
              </w:rPr>
            </w:r>
          </w:p>
          <w:p>
            <w:pPr>
              <w:pStyle w:val="1146"/>
              <w:ind w:firstLine="0"/>
              <w:jc w:val="center"/>
              <w:widowControl w:val="off"/>
              <w:rPr>
                <w:sz w:val="18"/>
                <w:szCs w:val="18"/>
              </w:rPr>
            </w:pPr>
            <w:r>
              <w:rPr>
                <w:rFonts w:ascii="Arial Narrow" w:hAnsi="Arial Narrow" w:cs="Calibri"/>
                <w:color w:val="000000"/>
                <w:sz w:val="18"/>
                <w:szCs w:val="18"/>
              </w:rPr>
              <w:t xml:space="preserve">-</w:t>
            </w:r>
            <w:r>
              <w:rPr>
                <w:sz w:val="18"/>
                <w:szCs w:val="18"/>
              </w:rPr>
            </w:r>
            <w:r>
              <w:rPr>
                <w:sz w:val="18"/>
                <w:szCs w:val="18"/>
              </w:rPr>
            </w:r>
          </w:p>
        </w:tc>
      </w:tr>
    </w:tbl>
    <w:p>
      <w:pPr>
        <w:pStyle w:val="1063"/>
        <w:jc w:val="both"/>
        <w:tabs>
          <w:tab w:val="left" w:pos="566" w:leader="none"/>
          <w:tab w:val="left" w:pos="850" w:leader="none"/>
        </w:tabs>
        <w:rPr>
          <w:rFonts w:ascii="Arial Narrow" w:hAnsi="Arial Narrow" w:cs="Calibri"/>
          <w:color w:val="314e87"/>
        </w:rPr>
      </w:pPr>
      <w:r>
        <w:rPr>
          <w:rFonts w:ascii="Arial Narrow" w:hAnsi="Arial Narrow" w:cs="Calibri"/>
          <w:color w:val="314e87"/>
        </w:rPr>
      </w:r>
      <w:r>
        <w:rPr>
          <w:rFonts w:ascii="Arial Narrow" w:hAnsi="Arial Narrow" w:cs="Calibri"/>
          <w:color w:val="314e87"/>
        </w:rPr>
      </w:r>
      <w:r>
        <w:rPr>
          <w:rFonts w:ascii="Arial Narrow" w:hAnsi="Arial Narrow" w:cs="Calibri"/>
          <w:color w:val="314e87"/>
        </w:rPr>
      </w:r>
    </w:p>
    <w:p>
      <w:pPr>
        <w:pStyle w:val="1063"/>
        <w:jc w:val="both"/>
        <w:spacing w:after="120"/>
        <w:tabs>
          <w:tab w:val="left" w:pos="566" w:leader="none"/>
          <w:tab w:val="left" w:pos="850" w:leader="none"/>
        </w:tabs>
        <w:rPr>
          <w:b/>
        </w:rPr>
      </w:pPr>
      <w:r>
        <w:rPr>
          <w:rFonts w:ascii="Arial Narrow" w:hAnsi="Arial Narrow" w:cs="Calibri"/>
          <w:b/>
          <w:color w:val="314e87"/>
        </w:rPr>
        <w:t xml:space="preserve">Направления деятельности учебного пункта:</w:t>
      </w:r>
      <w:r>
        <w:rPr>
          <w:b/>
        </w:rPr>
      </w:r>
      <w:r>
        <w:rPr>
          <w:b/>
        </w:rPr>
      </w:r>
    </w:p>
    <w:p>
      <w:pPr>
        <w:pStyle w:val="1063"/>
        <w:ind w:firstLine="567"/>
        <w:jc w:val="both"/>
        <w:tabs>
          <w:tab w:val="left" w:pos="850" w:leader="none"/>
        </w:tabs>
      </w:pPr>
      <w:r>
        <w:rPr>
          <w:rFonts w:ascii="Arial Narrow" w:hAnsi="Arial Narrow" w:cs="Calibri"/>
        </w:rPr>
        <w:t xml:space="preserve">В Обществе действует собственный Учебно-консультационный пункт (далее - УКП), который реализует программы подготовки и повышения квалификации на основании лицензии от 12.05.2021 </w:t>
      </w:r>
      <w:r>
        <w:rPr>
          <w:rFonts w:ascii="Arial Narrow" w:hAnsi="Arial Narrow" w:cs="Calibri"/>
        </w:rPr>
        <w:br/>
        <w:t xml:space="preserve">№ 2638, выданной Министерством образования Камчатского края.</w:t>
      </w:r>
      <w:r/>
    </w:p>
    <w:p>
      <w:pPr>
        <w:pStyle w:val="1063"/>
        <w:ind w:firstLine="567"/>
        <w:jc w:val="both"/>
        <w:tabs>
          <w:tab w:val="left" w:pos="850" w:leader="none"/>
        </w:tabs>
      </w:pPr>
      <w:r>
        <w:rPr>
          <w:rFonts w:ascii="Arial Narrow" w:hAnsi="Arial Narrow" w:cs="Calibri"/>
        </w:rPr>
        <w:t xml:space="preserve">Направления деятельности, осуществляемые УКП:</w:t>
      </w:r>
      <w:r/>
    </w:p>
    <w:p>
      <w:pPr>
        <w:pStyle w:val="1091"/>
        <w:numPr>
          <w:ilvl w:val="0"/>
          <w:numId w:val="8"/>
        </w:numPr>
        <w:ind w:left="0" w:firstLine="567"/>
        <w:jc w:val="both"/>
        <w:spacing w:line="276" w:lineRule="auto"/>
        <w:tabs>
          <w:tab w:val="left" w:pos="850" w:leader="none"/>
        </w:tabs>
        <w:rPr>
          <w:lang w:val="ru-RU"/>
        </w:rPr>
      </w:pPr>
      <w:r>
        <w:rPr>
          <w:rFonts w:ascii="Arial Narrow" w:hAnsi="Arial Narrow" w:cs="Calibri"/>
          <w:sz w:val="24"/>
          <w:szCs w:val="24"/>
          <w:lang w:val="ru-RU"/>
        </w:rPr>
        <w:t xml:space="preserve">повышение квалификации персонала;</w:t>
      </w:r>
      <w:r>
        <w:rPr>
          <w:lang w:val="ru-RU"/>
        </w:rPr>
      </w:r>
      <w:r>
        <w:rPr>
          <w:lang w:val="ru-RU"/>
        </w:rPr>
      </w:r>
    </w:p>
    <w:p>
      <w:pPr>
        <w:pStyle w:val="1091"/>
        <w:numPr>
          <w:ilvl w:val="0"/>
          <w:numId w:val="8"/>
        </w:numPr>
        <w:ind w:left="0" w:firstLine="567"/>
        <w:jc w:val="both"/>
        <w:spacing w:line="276" w:lineRule="auto"/>
        <w:tabs>
          <w:tab w:val="left" w:pos="850" w:leader="none"/>
        </w:tabs>
        <w:rPr>
          <w:lang w:val="ru-RU"/>
        </w:rPr>
      </w:pPr>
      <w:r>
        <w:rPr>
          <w:rFonts w:ascii="Arial Narrow" w:hAnsi="Arial Narrow" w:cs="Calibri"/>
          <w:sz w:val="24"/>
          <w:szCs w:val="24"/>
          <w:lang w:val="ru-RU"/>
        </w:rPr>
        <w:t xml:space="preserve">профессиональная подготовка персонала;</w:t>
      </w:r>
      <w:r>
        <w:rPr>
          <w:lang w:val="ru-RU"/>
        </w:rPr>
      </w:r>
      <w:r>
        <w:rPr>
          <w:lang w:val="ru-RU"/>
        </w:rPr>
      </w:r>
    </w:p>
    <w:p>
      <w:pPr>
        <w:pStyle w:val="1091"/>
        <w:numPr>
          <w:ilvl w:val="0"/>
          <w:numId w:val="8"/>
        </w:numPr>
        <w:ind w:left="0" w:firstLine="567"/>
        <w:jc w:val="both"/>
        <w:spacing w:line="276" w:lineRule="auto"/>
        <w:tabs>
          <w:tab w:val="left" w:pos="850" w:leader="none"/>
        </w:tabs>
      </w:pPr>
      <w:r>
        <w:rPr>
          <w:rFonts w:ascii="Arial Narrow" w:hAnsi="Arial Narrow" w:cs="Calibri"/>
          <w:sz w:val="24"/>
          <w:szCs w:val="24"/>
          <w:lang w:val="ru-RU"/>
        </w:rPr>
        <w:t xml:space="preserve">професси</w:t>
      </w:r>
      <w:r>
        <w:rPr>
          <w:rFonts w:ascii="Arial Narrow" w:hAnsi="Arial Narrow" w:cs="Calibri"/>
          <w:sz w:val="24"/>
          <w:szCs w:val="24"/>
        </w:rPr>
        <w:t xml:space="preserve">ональная переподготовка персонала;</w:t>
      </w:r>
      <w:r/>
    </w:p>
    <w:p>
      <w:pPr>
        <w:pStyle w:val="1091"/>
        <w:numPr>
          <w:ilvl w:val="0"/>
          <w:numId w:val="8"/>
        </w:numPr>
        <w:ind w:left="0" w:firstLine="567"/>
        <w:jc w:val="both"/>
        <w:spacing w:line="276" w:lineRule="auto"/>
        <w:tabs>
          <w:tab w:val="left" w:pos="850" w:leader="none"/>
        </w:tabs>
      </w:pPr>
      <w:r>
        <w:rPr>
          <w:rFonts w:ascii="Arial Narrow" w:hAnsi="Arial Narrow" w:cs="Calibri"/>
          <w:sz w:val="24"/>
          <w:szCs w:val="24"/>
        </w:rPr>
        <w:t xml:space="preserve">профилактическое обучение персонала.</w:t>
      </w:r>
      <w:r/>
    </w:p>
    <w:p>
      <w:pPr>
        <w:pStyle w:val="1063"/>
        <w:jc w:val="both"/>
        <w:tabs>
          <w:tab w:val="left" w:pos="566" w:leader="none"/>
          <w:tab w:val="left" w:pos="850" w:leader="none"/>
        </w:tabs>
        <w:rPr>
          <w:rFonts w:ascii="Arial Narrow" w:hAnsi="Arial Narrow" w:cs="Calibri"/>
          <w:color w:val="314e87"/>
          <w:sz w:val="12"/>
          <w:szCs w:val="12"/>
        </w:rPr>
      </w:pPr>
      <w:r>
        <w:rPr>
          <w:rFonts w:ascii="Arial Narrow" w:hAnsi="Arial Narrow" w:cs="Calibri"/>
          <w:color w:val="314e87"/>
          <w:sz w:val="12"/>
          <w:szCs w:val="12"/>
        </w:rPr>
      </w:r>
      <w:r>
        <w:rPr>
          <w:rFonts w:ascii="Arial Narrow" w:hAnsi="Arial Narrow" w:cs="Calibri"/>
          <w:color w:val="314e87"/>
          <w:sz w:val="12"/>
          <w:szCs w:val="12"/>
        </w:rPr>
      </w:r>
      <w:r>
        <w:rPr>
          <w:rFonts w:ascii="Arial Narrow" w:hAnsi="Arial Narrow" w:cs="Calibri"/>
          <w:color w:val="314e87"/>
          <w:sz w:val="12"/>
          <w:szCs w:val="12"/>
        </w:rPr>
      </w:r>
    </w:p>
    <w:p>
      <w:pPr>
        <w:pStyle w:val="1063"/>
        <w:jc w:val="both"/>
        <w:spacing w:after="120"/>
        <w:tabs>
          <w:tab w:val="left" w:pos="566" w:leader="none"/>
          <w:tab w:val="left" w:pos="850" w:leader="none"/>
        </w:tabs>
        <w:rPr>
          <w:b/>
        </w:rPr>
      </w:pPr>
      <w:r>
        <w:rPr>
          <w:rFonts w:ascii="Arial Narrow" w:hAnsi="Arial Narrow" w:cs="Calibri"/>
          <w:b/>
          <w:color w:val="314e87"/>
        </w:rPr>
        <w:t xml:space="preserve">Информация о количестве обученных в учебном центре/пункте в 2024 году</w:t>
      </w:r>
      <w:r>
        <w:rPr>
          <w:b/>
        </w:rPr>
      </w:r>
      <w:r>
        <w:rPr>
          <w:b/>
        </w:rPr>
      </w:r>
    </w:p>
    <w:p>
      <w:pPr>
        <w:pStyle w:val="1063"/>
        <w:ind w:firstLine="567"/>
        <w:jc w:val="both"/>
        <w:tabs>
          <w:tab w:val="left" w:pos="850" w:leader="none"/>
        </w:tabs>
      </w:pPr>
      <w:r>
        <w:rPr>
          <w:rFonts w:ascii="Arial Narrow" w:hAnsi="Arial Narrow" w:cs="Calibri"/>
        </w:rPr>
        <w:t xml:space="preserve">За 2024 год в УКП Общества обучено 3 392 работников ПАО «Камчатскэнерго». Обучение проведено по следующим направлениям:</w:t>
      </w:r>
      <w:r/>
    </w:p>
    <w:p>
      <w:pPr>
        <w:pStyle w:val="1063"/>
        <w:ind w:firstLine="567"/>
        <w:jc w:val="both"/>
        <w:tabs>
          <w:tab w:val="left" w:pos="850" w:leader="none"/>
        </w:tabs>
      </w:pPr>
      <w:r>
        <w:rPr>
          <w:rFonts w:ascii="Arial Narrow" w:hAnsi="Arial Narrow" w:cs="Calibri"/>
        </w:rPr>
        <w:t xml:space="preserve">Профессиональная переподготовка по профессиям:</w:t>
      </w:r>
      <w:r/>
    </w:p>
    <w:p>
      <w:pPr>
        <w:pStyle w:val="1091"/>
        <w:numPr>
          <w:ilvl w:val="0"/>
          <w:numId w:val="14"/>
        </w:numPr>
        <w:ind w:left="0" w:firstLine="567"/>
        <w:jc w:val="both"/>
        <w:spacing w:line="276" w:lineRule="auto"/>
        <w:tabs>
          <w:tab w:val="left" w:pos="850" w:leader="none"/>
        </w:tabs>
      </w:pPr>
      <w:r>
        <w:rPr>
          <w:rFonts w:ascii="Arial Narrow" w:hAnsi="Arial Narrow" w:cs="Calibri"/>
          <w:sz w:val="24"/>
          <w:szCs w:val="24"/>
        </w:rPr>
        <w:t xml:space="preserve">Стропальщик – 69 чел.;</w:t>
      </w:r>
      <w:r/>
    </w:p>
    <w:p>
      <w:pPr>
        <w:pStyle w:val="1063"/>
        <w:ind w:firstLine="567"/>
        <w:jc w:val="both"/>
        <w:tabs>
          <w:tab w:val="left" w:pos="850" w:leader="none"/>
        </w:tabs>
      </w:pPr>
      <w:r>
        <w:rPr>
          <w:rFonts w:ascii="Arial Narrow" w:hAnsi="Arial Narrow" w:cs="Calibri"/>
        </w:rPr>
        <w:t xml:space="preserve">Повышение квалификации по профессиям:</w:t>
      </w:r>
      <w:r/>
    </w:p>
    <w:p>
      <w:pPr>
        <w:pStyle w:val="1091"/>
        <w:numPr>
          <w:ilvl w:val="0"/>
          <w:numId w:val="14"/>
        </w:numPr>
        <w:ind w:left="0" w:firstLine="567"/>
        <w:jc w:val="both"/>
        <w:spacing w:line="276" w:lineRule="auto"/>
        <w:tabs>
          <w:tab w:val="left" w:pos="850" w:leader="none"/>
        </w:tabs>
        <w:rPr>
          <w:lang w:val="ru-RU"/>
        </w:rPr>
      </w:pPr>
      <w:r>
        <w:rPr>
          <w:rFonts w:ascii="Arial Narrow" w:hAnsi="Arial Narrow" w:cs="Calibri"/>
          <w:sz w:val="24"/>
          <w:szCs w:val="24"/>
          <w:lang w:val="ru-RU"/>
        </w:rPr>
        <w:t xml:space="preserve">Электромонтер по обслуживанию электрооборудования электростанции – 4 чел.;</w:t>
      </w:r>
      <w:r>
        <w:rPr>
          <w:lang w:val="ru-RU"/>
        </w:rPr>
      </w:r>
      <w:r>
        <w:rPr>
          <w:lang w:val="ru-RU"/>
        </w:rPr>
      </w:r>
    </w:p>
    <w:p>
      <w:pPr>
        <w:pStyle w:val="1091"/>
        <w:numPr>
          <w:ilvl w:val="0"/>
          <w:numId w:val="14"/>
        </w:numPr>
        <w:ind w:left="0" w:firstLine="567"/>
        <w:jc w:val="both"/>
        <w:spacing w:line="276" w:lineRule="auto"/>
        <w:tabs>
          <w:tab w:val="left" w:pos="850" w:leader="none"/>
        </w:tabs>
      </w:pPr>
      <w:r>
        <w:rPr>
          <w:rFonts w:ascii="Arial Narrow" w:hAnsi="Arial Narrow" w:cs="Calibri"/>
          <w:sz w:val="24"/>
          <w:szCs w:val="24"/>
        </w:rPr>
        <w:t xml:space="preserve">Оператор котельной – 7 чел.</w:t>
      </w:r>
      <w:r/>
    </w:p>
    <w:p>
      <w:pPr>
        <w:pStyle w:val="1063"/>
        <w:ind w:firstLine="567"/>
        <w:jc w:val="both"/>
        <w:tabs>
          <w:tab w:val="left" w:pos="850" w:leader="none"/>
        </w:tabs>
      </w:pPr>
      <w:r>
        <w:rPr>
          <w:rFonts w:ascii="Arial Narrow" w:hAnsi="Arial Narrow" w:cs="Calibri"/>
        </w:rPr>
        <w:t xml:space="preserve">Профилактическое обучение:</w:t>
      </w:r>
      <w:r/>
    </w:p>
    <w:p>
      <w:pPr>
        <w:pStyle w:val="1091"/>
        <w:numPr>
          <w:ilvl w:val="0"/>
          <w:numId w:val="14"/>
        </w:numPr>
        <w:ind w:left="0" w:firstLine="567"/>
        <w:jc w:val="both"/>
        <w:spacing w:line="276" w:lineRule="auto"/>
        <w:tabs>
          <w:tab w:val="left" w:pos="850" w:leader="none"/>
        </w:tabs>
        <w:rPr>
          <w:lang w:val="ru-RU"/>
        </w:rPr>
      </w:pPr>
      <w:r>
        <w:rPr>
          <w:rFonts w:ascii="Arial Narrow" w:hAnsi="Arial Narrow" w:cs="Calibri"/>
          <w:sz w:val="24"/>
          <w:szCs w:val="24"/>
          <w:lang w:val="ru-RU"/>
        </w:rPr>
        <w:t xml:space="preserve">Оказание первой помощи пострадавшим на производстве -  1 306 чел.;</w:t>
      </w:r>
      <w:r>
        <w:rPr>
          <w:lang w:val="ru-RU"/>
        </w:rPr>
      </w:r>
      <w:r>
        <w:rPr>
          <w:lang w:val="ru-RU"/>
        </w:rPr>
      </w:r>
    </w:p>
    <w:p>
      <w:pPr>
        <w:pStyle w:val="1091"/>
        <w:numPr>
          <w:ilvl w:val="0"/>
          <w:numId w:val="14"/>
        </w:numPr>
        <w:ind w:left="0" w:firstLine="567"/>
        <w:jc w:val="both"/>
        <w:spacing w:line="276" w:lineRule="auto"/>
        <w:tabs>
          <w:tab w:val="left" w:pos="850" w:leader="none"/>
        </w:tabs>
        <w:rPr>
          <w:lang w:val="ru-RU"/>
        </w:rPr>
      </w:pPr>
      <w:r>
        <w:rPr>
          <w:rFonts w:ascii="Arial Narrow" w:hAnsi="Arial Narrow" w:cs="Calibri"/>
          <w:sz w:val="24"/>
          <w:szCs w:val="24"/>
          <w:lang w:val="ru-RU"/>
        </w:rPr>
        <w:t xml:space="preserve">Охрана труда. Программа А -  8 чел.;</w:t>
      </w:r>
      <w:r>
        <w:rPr>
          <w:lang w:val="ru-RU"/>
        </w:rPr>
      </w:r>
      <w:r>
        <w:rPr>
          <w:lang w:val="ru-RU"/>
        </w:rPr>
      </w:r>
    </w:p>
    <w:p>
      <w:pPr>
        <w:pStyle w:val="1091"/>
        <w:numPr>
          <w:ilvl w:val="0"/>
          <w:numId w:val="14"/>
        </w:numPr>
        <w:ind w:left="0" w:firstLine="567"/>
        <w:jc w:val="both"/>
        <w:spacing w:line="276" w:lineRule="auto"/>
        <w:tabs>
          <w:tab w:val="left" w:pos="850" w:leader="none"/>
        </w:tabs>
        <w:rPr>
          <w:lang w:val="ru-RU"/>
        </w:rPr>
      </w:pPr>
      <w:r>
        <w:rPr>
          <w:rFonts w:ascii="Arial Narrow" w:hAnsi="Arial Narrow" w:cs="Calibri"/>
          <w:sz w:val="24"/>
          <w:szCs w:val="24"/>
          <w:lang w:val="ru-RU"/>
        </w:rPr>
        <w:t xml:space="preserve">Охрана труда. Программа Б. – 1 387 чел.;</w:t>
      </w:r>
      <w:r>
        <w:rPr>
          <w:lang w:val="ru-RU"/>
        </w:rPr>
      </w:r>
      <w:r>
        <w:rPr>
          <w:lang w:val="ru-RU"/>
        </w:rPr>
      </w:r>
    </w:p>
    <w:p>
      <w:pPr>
        <w:pStyle w:val="1091"/>
        <w:numPr>
          <w:ilvl w:val="0"/>
          <w:numId w:val="14"/>
        </w:numPr>
        <w:ind w:left="0" w:firstLine="567"/>
        <w:jc w:val="both"/>
        <w:spacing w:line="276" w:lineRule="auto"/>
        <w:tabs>
          <w:tab w:val="left" w:pos="850" w:leader="none"/>
        </w:tabs>
        <w:rPr>
          <w:lang w:val="ru-RU"/>
        </w:rPr>
      </w:pPr>
      <w:r>
        <w:rPr>
          <w:rFonts w:ascii="Arial Narrow" w:hAnsi="Arial Narrow" w:cs="Calibri"/>
          <w:sz w:val="24"/>
          <w:szCs w:val="24"/>
          <w:lang w:val="ru-RU"/>
        </w:rPr>
        <w:t xml:space="preserve">Охрана труда. Программа В. Охрана труда при выполнении работ на высоте – 120 чел.;</w:t>
      </w:r>
      <w:r>
        <w:rPr>
          <w:lang w:val="ru-RU"/>
        </w:rPr>
      </w:r>
      <w:r>
        <w:rPr>
          <w:lang w:val="ru-RU"/>
        </w:rPr>
      </w:r>
    </w:p>
    <w:p>
      <w:pPr>
        <w:pStyle w:val="1091"/>
        <w:numPr>
          <w:ilvl w:val="0"/>
          <w:numId w:val="14"/>
        </w:numPr>
        <w:ind w:left="0" w:firstLine="567"/>
        <w:jc w:val="both"/>
        <w:spacing w:line="276" w:lineRule="auto"/>
        <w:tabs>
          <w:tab w:val="left" w:pos="850" w:leader="none"/>
        </w:tabs>
        <w:rPr>
          <w:lang w:val="ru-RU"/>
        </w:rPr>
      </w:pPr>
      <w:r>
        <w:rPr>
          <w:rFonts w:ascii="Arial Narrow" w:hAnsi="Arial Narrow" w:cs="Calibri"/>
          <w:sz w:val="24"/>
          <w:szCs w:val="24"/>
          <w:lang w:val="ru-RU"/>
        </w:rPr>
        <w:t xml:space="preserve">Охрана труда. Программа В. ОЗП - 217 чел.</w:t>
      </w:r>
      <w:r>
        <w:rPr>
          <w:lang w:val="ru-RU"/>
        </w:rPr>
      </w:r>
      <w:r>
        <w:rPr>
          <w:lang w:val="ru-RU"/>
        </w:rPr>
      </w:r>
    </w:p>
    <w:p>
      <w:pPr>
        <w:pStyle w:val="1063"/>
        <w:ind w:firstLine="567"/>
        <w:jc w:val="both"/>
        <w:tabs>
          <w:tab w:val="left" w:pos="850" w:leader="none"/>
        </w:tabs>
      </w:pPr>
      <w:r>
        <w:rPr>
          <w:rFonts w:ascii="Arial Narrow" w:hAnsi="Arial Narrow" w:cs="Calibri"/>
        </w:rPr>
        <w:t xml:space="preserve">Кроме этого проведено обучение по дистанционным курсам КорУнГ. Обучение прошли 274 человек.</w:t>
      </w:r>
      <w:r/>
    </w:p>
    <w:p>
      <w:pPr>
        <w:pStyle w:val="1063"/>
        <w:ind w:firstLine="567"/>
        <w:jc w:val="both"/>
        <w:tabs>
          <w:tab w:val="left" w:pos="850" w:leader="none"/>
        </w:tabs>
        <w:rPr>
          <w:rFonts w:ascii="Arial Narrow" w:hAnsi="Arial Narrow" w:cs="Calibri"/>
        </w:rPr>
      </w:pPr>
      <w:r>
        <w:rPr>
          <w:rFonts w:ascii="Arial Narrow" w:hAnsi="Arial Narrow" w:cs="Calibri"/>
        </w:rPr>
      </w:r>
      <w:r>
        <w:rPr>
          <w:rFonts w:ascii="Arial Narrow" w:hAnsi="Arial Narrow" w:cs="Calibri"/>
        </w:rPr>
      </w:r>
      <w:r>
        <w:rPr>
          <w:rFonts w:ascii="Arial Narrow" w:hAnsi="Arial Narrow" w:cs="Calibri"/>
        </w:rPr>
      </w:r>
    </w:p>
    <w:p>
      <w:pPr>
        <w:pStyle w:val="1063"/>
        <w:jc w:val="both"/>
        <w:tabs>
          <w:tab w:val="left" w:pos="566" w:leader="none"/>
          <w:tab w:val="left" w:pos="850" w:leader="none"/>
        </w:tabs>
        <w:rPr>
          <w:b/>
        </w:rPr>
      </w:pPr>
      <w:r>
        <w:rPr>
          <w:rFonts w:ascii="Arial Narrow" w:hAnsi="Arial Narrow" w:cs="Calibri"/>
          <w:b/>
          <w:color w:val="314e87"/>
        </w:rPr>
        <w:t xml:space="preserve">Информация о количестве обученных в учебно-консультационном пункте в 2024 году</w:t>
      </w:r>
      <w:r>
        <w:rPr>
          <w:b/>
        </w:rPr>
      </w:r>
      <w:r>
        <w:rPr>
          <w:b/>
        </w:rPr>
      </w:r>
    </w:p>
    <w:p>
      <w:pPr>
        <w:pStyle w:val="1063"/>
        <w:ind w:left="7200" w:firstLine="720"/>
        <w:jc w:val="center"/>
        <w:rPr>
          <w:lang w:val="en-US"/>
        </w:rPr>
      </w:pPr>
      <w:r>
        <w:rPr>
          <w:rFonts w:ascii="Arial Narrow" w:hAnsi="Arial Narrow" w:eastAsia="Calibri" w:cs="Calibri"/>
          <w:i/>
          <w:lang w:eastAsia="ja-JP"/>
        </w:rPr>
        <w:t xml:space="preserve">             Таблица № 37</w:t>
      </w:r>
      <w:r>
        <w:rPr>
          <w:lang w:val="en-US"/>
        </w:rPr>
      </w:r>
      <w:r>
        <w:rPr>
          <w:lang w:val="en-US"/>
        </w:rPr>
      </w:r>
    </w:p>
    <w:tbl>
      <w:tblPr>
        <w:tblW w:w="10074" w:type="dxa"/>
        <w:jc w:val="center"/>
        <w:tblLayout w:type="fixed"/>
        <w:tblLook w:val="04A0" w:firstRow="1" w:lastRow="0" w:firstColumn="1" w:lastColumn="0" w:noHBand="0" w:noVBand="1"/>
      </w:tblPr>
      <w:tblGrid>
        <w:gridCol w:w="2719"/>
        <w:gridCol w:w="1422"/>
        <w:gridCol w:w="1700"/>
        <w:gridCol w:w="1493"/>
        <w:gridCol w:w="1367"/>
        <w:gridCol w:w="1373"/>
      </w:tblGrid>
      <w:tr>
        <w:trPr>
          <w:jc w:val="center"/>
          <w:trHeight w:val="48"/>
        </w:trPr>
        <w:tc>
          <w:tcPr>
            <w:tcBorders>
              <w:top w:val="single" w:color="000000" w:sz="4" w:space="0"/>
              <w:left w:val="single" w:color="000000" w:sz="4" w:space="0"/>
              <w:right w:val="single" w:color="000000" w:sz="4" w:space="0"/>
            </w:tcBorders>
            <w:tcW w:w="2719" w:type="dxa"/>
            <w:vAlign w:val="center"/>
            <w:vMerge w:val="restart"/>
            <w:textDirection w:val="lrTb"/>
            <w:noWrap w:val="false"/>
          </w:tcPr>
          <w:p>
            <w:pPr>
              <w:pStyle w:val="1146"/>
              <w:ind w:firstLine="0"/>
              <w:jc w:val="center"/>
              <w:widowControl w:val="off"/>
              <w:rPr>
                <w:sz w:val="20"/>
              </w:rPr>
            </w:pPr>
            <w:r>
              <w:rPr>
                <w:rFonts w:ascii="Arial Narrow" w:hAnsi="Arial Narrow" w:cs="Calibri"/>
                <w:b/>
                <w:sz w:val="20"/>
              </w:rPr>
              <w:t xml:space="preserve">Название учебного учреждения</w:t>
            </w:r>
            <w:r>
              <w:rPr>
                <w:sz w:val="20"/>
              </w:rPr>
            </w:r>
            <w:r>
              <w:rPr>
                <w:sz w:val="20"/>
              </w:rPr>
            </w:r>
          </w:p>
        </w:tc>
        <w:tc>
          <w:tcPr>
            <w:gridSpan w:val="2"/>
            <w:tcBorders>
              <w:top w:val="single" w:color="000000" w:sz="4" w:space="0"/>
              <w:bottom w:val="single" w:color="000000" w:sz="4" w:space="0"/>
              <w:right w:val="single" w:color="000000" w:sz="4" w:space="0"/>
            </w:tcBorders>
            <w:tcW w:w="3122" w:type="dxa"/>
            <w:vAlign w:val="center"/>
            <w:textDirection w:val="lrTb"/>
            <w:noWrap w:val="false"/>
          </w:tcPr>
          <w:p>
            <w:pPr>
              <w:pStyle w:val="1146"/>
              <w:ind w:firstLine="0"/>
              <w:jc w:val="center"/>
              <w:widowControl w:val="off"/>
              <w:rPr>
                <w:sz w:val="20"/>
              </w:rPr>
            </w:pPr>
            <w:r>
              <w:rPr>
                <w:rFonts w:ascii="Arial Narrow" w:hAnsi="Arial Narrow" w:cs="Calibri"/>
                <w:b/>
                <w:sz w:val="20"/>
              </w:rPr>
              <w:t xml:space="preserve">Количество обученных (чел.)</w:t>
            </w:r>
            <w:r>
              <w:rPr>
                <w:sz w:val="20"/>
              </w:rPr>
            </w:r>
            <w:r>
              <w:rPr>
                <w:sz w:val="20"/>
              </w:rPr>
            </w:r>
          </w:p>
        </w:tc>
        <w:tc>
          <w:tcPr>
            <w:gridSpan w:val="3"/>
            <w:tcBorders>
              <w:top w:val="single" w:color="000000" w:sz="4" w:space="0"/>
              <w:bottom w:val="single" w:color="000000" w:sz="4" w:space="0"/>
              <w:right w:val="single" w:color="000000" w:sz="4" w:space="0"/>
            </w:tcBorders>
            <w:tcW w:w="4233" w:type="dxa"/>
            <w:vAlign w:val="center"/>
            <w:textDirection w:val="lrTb"/>
            <w:noWrap w:val="false"/>
          </w:tcPr>
          <w:p>
            <w:pPr>
              <w:pStyle w:val="1146"/>
              <w:ind w:firstLine="0"/>
              <w:jc w:val="center"/>
              <w:widowControl w:val="off"/>
              <w:rPr>
                <w:sz w:val="20"/>
              </w:rPr>
            </w:pPr>
            <w:r>
              <w:rPr>
                <w:rFonts w:ascii="Arial Narrow" w:hAnsi="Arial Narrow" w:cs="Calibri"/>
                <w:b/>
                <w:sz w:val="20"/>
              </w:rPr>
              <w:t xml:space="preserve">Обучено работников по категориям (чел.)</w:t>
            </w:r>
            <w:r>
              <w:rPr>
                <w:sz w:val="20"/>
              </w:rPr>
            </w:r>
            <w:r>
              <w:rPr>
                <w:sz w:val="20"/>
              </w:rPr>
            </w:r>
          </w:p>
        </w:tc>
      </w:tr>
      <w:tr>
        <w:trPr>
          <w:jc w:val="center"/>
          <w:trHeight w:val="45"/>
        </w:trPr>
        <w:tc>
          <w:tcPr>
            <w:tcBorders>
              <w:left w:val="single" w:color="000000" w:sz="4" w:space="0"/>
              <w:bottom w:val="single" w:color="000000" w:sz="4" w:space="0"/>
              <w:right w:val="single" w:color="000000" w:sz="4" w:space="0"/>
            </w:tcBorders>
            <w:tcW w:w="2719" w:type="dxa"/>
            <w:vAlign w:val="center"/>
            <w:vMerge w:val="continue"/>
            <w:textDirection w:val="lrTb"/>
            <w:noWrap w:val="false"/>
          </w:tcPr>
          <w:p>
            <w:pPr>
              <w:pStyle w:val="1146"/>
              <w:ind w:firstLine="0"/>
              <w:jc w:val="center"/>
              <w:widowControl w:val="off"/>
              <w:rPr>
                <w:rFonts w:ascii="Arial Narrow" w:hAnsi="Arial Narrow" w:cs="Calibri"/>
                <w:b/>
                <w:sz w:val="20"/>
              </w:rPr>
            </w:pPr>
            <w:r>
              <w:rPr>
                <w:rFonts w:ascii="Arial Narrow" w:hAnsi="Arial Narrow" w:cs="Calibri"/>
                <w:b/>
                <w:sz w:val="20"/>
              </w:rPr>
            </w:r>
            <w:r>
              <w:rPr>
                <w:rFonts w:ascii="Arial Narrow" w:hAnsi="Arial Narrow" w:cs="Calibri"/>
                <w:b/>
                <w:sz w:val="20"/>
              </w:rPr>
            </w:r>
            <w:r>
              <w:rPr>
                <w:rFonts w:ascii="Arial Narrow" w:hAnsi="Arial Narrow" w:cs="Calibri"/>
                <w:b/>
                <w:sz w:val="20"/>
              </w:rPr>
            </w:r>
          </w:p>
        </w:tc>
        <w:tc>
          <w:tcPr>
            <w:tcBorders>
              <w:bottom w:val="single" w:color="000000" w:sz="4" w:space="0"/>
              <w:right w:val="single" w:color="000000" w:sz="4" w:space="0"/>
            </w:tcBorders>
            <w:tcW w:w="1422" w:type="dxa"/>
            <w:vAlign w:val="center"/>
            <w:textDirection w:val="lrTb"/>
            <w:noWrap w:val="false"/>
          </w:tcPr>
          <w:p>
            <w:pPr>
              <w:pStyle w:val="1146"/>
              <w:ind w:firstLine="0"/>
              <w:jc w:val="center"/>
              <w:widowControl w:val="off"/>
              <w:rPr>
                <w:sz w:val="20"/>
              </w:rPr>
            </w:pPr>
            <w:r>
              <w:rPr>
                <w:rFonts w:ascii="Arial Narrow" w:hAnsi="Arial Narrow" w:cs="Calibri"/>
                <w:b/>
                <w:sz w:val="20"/>
              </w:rPr>
              <w:t xml:space="preserve">Всего</w:t>
            </w:r>
            <w:r>
              <w:rPr>
                <w:sz w:val="20"/>
              </w:rPr>
            </w:r>
            <w:r>
              <w:rPr>
                <w:sz w:val="20"/>
              </w:rPr>
            </w:r>
          </w:p>
        </w:tc>
        <w:tc>
          <w:tcPr>
            <w:tcBorders>
              <w:bottom w:val="single" w:color="000000" w:sz="4" w:space="0"/>
              <w:right w:val="single" w:color="000000" w:sz="4" w:space="0"/>
            </w:tcBorders>
            <w:tcW w:w="1700" w:type="dxa"/>
            <w:vAlign w:val="center"/>
            <w:textDirection w:val="lrTb"/>
            <w:noWrap w:val="false"/>
          </w:tcPr>
          <w:p>
            <w:pPr>
              <w:pStyle w:val="1146"/>
              <w:ind w:firstLine="0"/>
              <w:jc w:val="center"/>
              <w:widowControl w:val="off"/>
              <w:rPr>
                <w:sz w:val="20"/>
              </w:rPr>
            </w:pPr>
            <w:r>
              <w:rPr>
                <w:rFonts w:ascii="Arial Narrow" w:hAnsi="Arial Narrow" w:cs="Calibri"/>
                <w:b/>
                <w:sz w:val="20"/>
              </w:rPr>
              <w:t xml:space="preserve">Из них сторонних организаций</w:t>
            </w:r>
            <w:r>
              <w:rPr>
                <w:sz w:val="20"/>
              </w:rPr>
            </w:r>
            <w:r>
              <w:rPr>
                <w:sz w:val="20"/>
              </w:rPr>
            </w:r>
          </w:p>
        </w:tc>
        <w:tc>
          <w:tcPr>
            <w:tcBorders>
              <w:bottom w:val="single" w:color="000000" w:sz="4" w:space="0"/>
              <w:right w:val="single" w:color="000000" w:sz="4" w:space="0"/>
            </w:tcBorders>
            <w:tcW w:w="1493" w:type="dxa"/>
            <w:vAlign w:val="center"/>
            <w:textDirection w:val="lrTb"/>
            <w:noWrap w:val="false"/>
          </w:tcPr>
          <w:p>
            <w:pPr>
              <w:pStyle w:val="1146"/>
              <w:ind w:firstLine="0"/>
              <w:jc w:val="center"/>
              <w:widowControl w:val="off"/>
              <w:rPr>
                <w:sz w:val="20"/>
              </w:rPr>
            </w:pPr>
            <w:r>
              <w:rPr>
                <w:rFonts w:ascii="Arial Narrow" w:hAnsi="Arial Narrow" w:cs="Calibri"/>
                <w:b/>
                <w:sz w:val="20"/>
              </w:rPr>
              <w:t xml:space="preserve">Руководители</w:t>
            </w:r>
            <w:r>
              <w:rPr>
                <w:sz w:val="20"/>
              </w:rPr>
            </w:r>
            <w:r>
              <w:rPr>
                <w:sz w:val="20"/>
              </w:rPr>
            </w:r>
          </w:p>
        </w:tc>
        <w:tc>
          <w:tcPr>
            <w:tcBorders>
              <w:bottom w:val="single" w:color="000000" w:sz="4" w:space="0"/>
              <w:right w:val="single" w:color="000000" w:sz="4" w:space="0"/>
            </w:tcBorders>
            <w:tcW w:w="1367" w:type="dxa"/>
            <w:vAlign w:val="center"/>
            <w:textDirection w:val="lrTb"/>
            <w:noWrap w:val="false"/>
          </w:tcPr>
          <w:p>
            <w:pPr>
              <w:pStyle w:val="1146"/>
              <w:ind w:firstLine="0"/>
              <w:jc w:val="center"/>
              <w:widowControl w:val="off"/>
              <w:rPr>
                <w:sz w:val="20"/>
              </w:rPr>
            </w:pPr>
            <w:r>
              <w:rPr>
                <w:rFonts w:ascii="Arial Narrow" w:hAnsi="Arial Narrow" w:cs="Calibri"/>
                <w:b/>
                <w:sz w:val="20"/>
              </w:rPr>
              <w:t xml:space="preserve">Специалисты и служащие</w:t>
            </w:r>
            <w:r>
              <w:rPr>
                <w:sz w:val="20"/>
              </w:rPr>
            </w:r>
            <w:r>
              <w:rPr>
                <w:sz w:val="20"/>
              </w:rPr>
            </w:r>
          </w:p>
        </w:tc>
        <w:tc>
          <w:tcPr>
            <w:tcBorders>
              <w:bottom w:val="single" w:color="000000" w:sz="4" w:space="0"/>
              <w:right w:val="single" w:color="000000" w:sz="4" w:space="0"/>
            </w:tcBorders>
            <w:tcW w:w="1373" w:type="dxa"/>
            <w:vAlign w:val="center"/>
            <w:textDirection w:val="lrTb"/>
            <w:noWrap w:val="false"/>
          </w:tcPr>
          <w:p>
            <w:pPr>
              <w:pStyle w:val="1146"/>
              <w:ind w:firstLine="0"/>
              <w:jc w:val="center"/>
              <w:widowControl w:val="off"/>
              <w:rPr>
                <w:sz w:val="20"/>
              </w:rPr>
            </w:pPr>
            <w:r>
              <w:rPr>
                <w:rFonts w:ascii="Arial Narrow" w:hAnsi="Arial Narrow" w:cs="Calibri"/>
                <w:b/>
                <w:sz w:val="20"/>
              </w:rPr>
              <w:t xml:space="preserve">Рабочие</w:t>
            </w:r>
            <w:r>
              <w:rPr>
                <w:sz w:val="20"/>
              </w:rPr>
            </w:r>
            <w:r>
              <w:rPr>
                <w:sz w:val="20"/>
              </w:rPr>
            </w:r>
          </w:p>
        </w:tc>
      </w:tr>
      <w:tr>
        <w:trPr>
          <w:jc w:val="center"/>
          <w:trHeight w:val="174"/>
        </w:trPr>
        <w:tc>
          <w:tcPr>
            <w:tcBorders>
              <w:top w:val="single" w:color="000000" w:sz="4" w:space="0"/>
              <w:left w:val="single" w:color="000000" w:sz="4" w:space="0"/>
              <w:bottom w:val="single" w:color="000000" w:sz="4" w:space="0"/>
              <w:right w:val="single" w:color="000000" w:sz="4" w:space="0"/>
            </w:tcBorders>
            <w:tcW w:w="2719" w:type="dxa"/>
            <w:vAlign w:val="center"/>
            <w:textDirection w:val="lrTb"/>
            <w:noWrap w:val="false"/>
          </w:tcPr>
          <w:p>
            <w:pPr>
              <w:pStyle w:val="1146"/>
              <w:ind w:firstLine="0"/>
              <w:jc w:val="center"/>
              <w:widowControl w:val="off"/>
              <w:rPr>
                <w:rFonts w:ascii="Arial Narrow" w:hAnsi="Arial Narrow" w:cs="Calibri"/>
                <w:sz w:val="20"/>
              </w:rPr>
            </w:pPr>
            <w:r>
              <w:rPr>
                <w:rFonts w:ascii="Arial Narrow" w:hAnsi="Arial Narrow" w:cs="Calibri"/>
                <w:sz w:val="20"/>
              </w:rPr>
              <w:t xml:space="preserve">Учебно-консультационный пункт </w:t>
            </w:r>
            <w:r>
              <w:rPr>
                <w:rFonts w:ascii="Arial Narrow" w:hAnsi="Arial Narrow" w:cs="Calibri"/>
                <w:sz w:val="20"/>
              </w:rPr>
            </w:r>
            <w:r>
              <w:rPr>
                <w:rFonts w:ascii="Arial Narrow" w:hAnsi="Arial Narrow" w:cs="Calibri"/>
                <w:sz w:val="20"/>
              </w:rPr>
            </w:r>
          </w:p>
          <w:p>
            <w:pPr>
              <w:pStyle w:val="1146"/>
              <w:ind w:firstLine="0"/>
              <w:jc w:val="center"/>
              <w:widowControl w:val="off"/>
              <w:rPr>
                <w:sz w:val="20"/>
              </w:rPr>
            </w:pPr>
            <w:r>
              <w:rPr>
                <w:rFonts w:ascii="Arial Narrow" w:hAnsi="Arial Narrow" w:cs="Calibri"/>
                <w:sz w:val="20"/>
              </w:rPr>
              <w:t xml:space="preserve">ПАО «Камчатскэнерго»</w:t>
            </w:r>
            <w:r>
              <w:rPr>
                <w:sz w:val="20"/>
              </w:rPr>
            </w:r>
            <w:r>
              <w:rPr>
                <w:sz w:val="20"/>
              </w:rPr>
            </w:r>
          </w:p>
        </w:tc>
        <w:tc>
          <w:tcPr>
            <w:tcBorders>
              <w:top w:val="single" w:color="000000" w:sz="4" w:space="0"/>
              <w:bottom w:val="single" w:color="000000" w:sz="4" w:space="0"/>
              <w:right w:val="single" w:color="000000" w:sz="4" w:space="0"/>
            </w:tcBorders>
            <w:tcW w:w="1422" w:type="dxa"/>
            <w:vAlign w:val="center"/>
            <w:textDirection w:val="lrTb"/>
            <w:noWrap w:val="false"/>
          </w:tcPr>
          <w:p>
            <w:pPr>
              <w:pStyle w:val="1146"/>
              <w:ind w:firstLine="0"/>
              <w:jc w:val="center"/>
              <w:widowControl w:val="off"/>
              <w:rPr>
                <w:sz w:val="20"/>
              </w:rPr>
            </w:pPr>
            <w:r>
              <w:rPr>
                <w:rFonts w:ascii="Arial Narrow" w:hAnsi="Arial Narrow" w:cs="Calibri"/>
                <w:b/>
                <w:sz w:val="20"/>
              </w:rPr>
              <w:t xml:space="preserve">3392</w:t>
            </w:r>
            <w:r>
              <w:rPr>
                <w:sz w:val="20"/>
              </w:rPr>
            </w:r>
            <w:r>
              <w:rPr>
                <w:sz w:val="20"/>
              </w:rPr>
            </w:r>
          </w:p>
          <w:p>
            <w:pPr>
              <w:pStyle w:val="1146"/>
              <w:ind w:firstLine="0"/>
              <w:jc w:val="center"/>
              <w:widowControl w:val="off"/>
              <w:rPr>
                <w:sz w:val="20"/>
              </w:rPr>
            </w:pPr>
            <w:r>
              <w:rPr>
                <w:rFonts w:ascii="Arial Narrow" w:hAnsi="Arial Narrow" w:cs="Calibri"/>
                <w:sz w:val="20"/>
              </w:rPr>
              <w:t xml:space="preserve">(274 из них по дист. курсам КорУнГа</w:t>
            </w:r>
            <w:r>
              <w:rPr>
                <w:sz w:val="20"/>
              </w:rPr>
            </w:r>
            <w:r>
              <w:rPr>
                <w:sz w:val="20"/>
              </w:rPr>
            </w:r>
          </w:p>
        </w:tc>
        <w:tc>
          <w:tcPr>
            <w:tcBorders>
              <w:top w:val="single" w:color="000000" w:sz="4" w:space="0"/>
              <w:bottom w:val="single" w:color="000000" w:sz="4" w:space="0"/>
              <w:right w:val="single" w:color="000000" w:sz="4" w:space="0"/>
            </w:tcBorders>
            <w:tcW w:w="1700" w:type="dxa"/>
            <w:vAlign w:val="center"/>
            <w:textDirection w:val="lrTb"/>
            <w:noWrap w:val="false"/>
          </w:tcPr>
          <w:p>
            <w:pPr>
              <w:pStyle w:val="1146"/>
              <w:ind w:firstLine="0"/>
              <w:jc w:val="center"/>
              <w:widowControl w:val="off"/>
              <w:rPr>
                <w:sz w:val="20"/>
              </w:rPr>
            </w:pPr>
            <w:r>
              <w:rPr>
                <w:rFonts w:ascii="Arial Narrow" w:hAnsi="Arial Narrow" w:cs="Calibri"/>
                <w:sz w:val="20"/>
              </w:rPr>
              <w:t xml:space="preserve">-</w:t>
            </w:r>
            <w:r>
              <w:rPr>
                <w:sz w:val="20"/>
              </w:rPr>
            </w:r>
            <w:r>
              <w:rPr>
                <w:sz w:val="20"/>
              </w:rPr>
            </w:r>
          </w:p>
        </w:tc>
        <w:tc>
          <w:tcPr>
            <w:tcBorders>
              <w:top w:val="single" w:color="000000" w:sz="4" w:space="0"/>
              <w:bottom w:val="single" w:color="000000" w:sz="4" w:space="0"/>
              <w:right w:val="single" w:color="000000" w:sz="4" w:space="0"/>
            </w:tcBorders>
            <w:tcW w:w="1493" w:type="dxa"/>
            <w:vAlign w:val="center"/>
            <w:textDirection w:val="lrTb"/>
            <w:noWrap w:val="false"/>
          </w:tcPr>
          <w:p>
            <w:pPr>
              <w:pStyle w:val="1146"/>
              <w:ind w:firstLine="0"/>
              <w:jc w:val="center"/>
              <w:widowControl w:val="off"/>
              <w:rPr>
                <w:sz w:val="20"/>
              </w:rPr>
            </w:pPr>
            <w:r>
              <w:rPr>
                <w:rFonts w:ascii="Arial Narrow" w:hAnsi="Arial Narrow" w:cs="Calibri"/>
                <w:b/>
                <w:sz w:val="20"/>
              </w:rPr>
              <w:t xml:space="preserve">168</w:t>
            </w:r>
            <w:r>
              <w:rPr>
                <w:sz w:val="20"/>
              </w:rPr>
            </w:r>
            <w:r>
              <w:rPr>
                <w:sz w:val="20"/>
              </w:rPr>
            </w:r>
          </w:p>
          <w:p>
            <w:pPr>
              <w:pStyle w:val="1146"/>
              <w:ind w:firstLine="0"/>
              <w:jc w:val="center"/>
              <w:widowControl w:val="off"/>
              <w:rPr>
                <w:sz w:val="20"/>
              </w:rPr>
            </w:pPr>
            <w:r>
              <w:rPr>
                <w:rFonts w:ascii="Arial Narrow" w:hAnsi="Arial Narrow" w:cs="Calibri"/>
                <w:sz w:val="20"/>
              </w:rPr>
              <w:t xml:space="preserve">(48  из них по дист. курсам КорУнГа)</w:t>
            </w:r>
            <w:r>
              <w:rPr>
                <w:sz w:val="20"/>
              </w:rPr>
            </w:r>
            <w:r>
              <w:rPr>
                <w:sz w:val="20"/>
              </w:rPr>
            </w:r>
          </w:p>
        </w:tc>
        <w:tc>
          <w:tcPr>
            <w:tcBorders>
              <w:top w:val="single" w:color="000000" w:sz="4" w:space="0"/>
              <w:bottom w:val="single" w:color="000000" w:sz="4" w:space="0"/>
              <w:right w:val="single" w:color="000000" w:sz="4" w:space="0"/>
            </w:tcBorders>
            <w:tcW w:w="1367" w:type="dxa"/>
            <w:vAlign w:val="center"/>
            <w:textDirection w:val="lrTb"/>
            <w:noWrap w:val="false"/>
          </w:tcPr>
          <w:p>
            <w:pPr>
              <w:pStyle w:val="1146"/>
              <w:ind w:firstLine="0"/>
              <w:jc w:val="center"/>
              <w:widowControl w:val="off"/>
              <w:rPr>
                <w:sz w:val="20"/>
              </w:rPr>
            </w:pPr>
            <w:r>
              <w:rPr>
                <w:rFonts w:ascii="Arial Narrow" w:hAnsi="Arial Narrow" w:cs="Calibri"/>
                <w:b/>
                <w:sz w:val="20"/>
              </w:rPr>
              <w:t xml:space="preserve">564</w:t>
            </w:r>
            <w:r>
              <w:rPr>
                <w:sz w:val="20"/>
              </w:rPr>
            </w:r>
            <w:r>
              <w:rPr>
                <w:sz w:val="20"/>
              </w:rPr>
            </w:r>
          </w:p>
          <w:p>
            <w:pPr>
              <w:pStyle w:val="1146"/>
              <w:ind w:firstLine="0"/>
              <w:jc w:val="center"/>
              <w:widowControl w:val="off"/>
              <w:rPr>
                <w:sz w:val="20"/>
              </w:rPr>
            </w:pPr>
            <w:r>
              <w:rPr>
                <w:rFonts w:ascii="Arial Narrow" w:hAnsi="Arial Narrow" w:cs="Calibri"/>
                <w:sz w:val="20"/>
              </w:rPr>
              <w:t xml:space="preserve">(24  из них по дист. курсам КорУнГа)</w:t>
            </w:r>
            <w:r>
              <w:rPr>
                <w:sz w:val="20"/>
              </w:rPr>
            </w:r>
            <w:r>
              <w:rPr>
                <w:sz w:val="20"/>
              </w:rPr>
            </w:r>
          </w:p>
        </w:tc>
        <w:tc>
          <w:tcPr>
            <w:tcBorders>
              <w:top w:val="single" w:color="000000" w:sz="4" w:space="0"/>
              <w:bottom w:val="single" w:color="000000" w:sz="4" w:space="0"/>
              <w:right w:val="single" w:color="000000" w:sz="4" w:space="0"/>
            </w:tcBorders>
            <w:tcW w:w="1373" w:type="dxa"/>
            <w:vAlign w:val="center"/>
            <w:textDirection w:val="lrTb"/>
            <w:noWrap w:val="false"/>
          </w:tcPr>
          <w:p>
            <w:pPr>
              <w:pStyle w:val="1146"/>
              <w:ind w:firstLine="0"/>
              <w:jc w:val="center"/>
              <w:widowControl w:val="off"/>
              <w:rPr>
                <w:sz w:val="20"/>
              </w:rPr>
            </w:pPr>
            <w:r>
              <w:rPr>
                <w:rFonts w:ascii="Arial Narrow" w:hAnsi="Arial Narrow" w:cs="Calibri"/>
                <w:b/>
                <w:sz w:val="20"/>
              </w:rPr>
              <w:t xml:space="preserve">2 660</w:t>
            </w:r>
            <w:r>
              <w:rPr>
                <w:sz w:val="20"/>
              </w:rPr>
            </w:r>
            <w:r>
              <w:rPr>
                <w:sz w:val="20"/>
              </w:rPr>
            </w:r>
          </w:p>
          <w:p>
            <w:pPr>
              <w:pStyle w:val="1146"/>
              <w:ind w:firstLine="0"/>
              <w:jc w:val="center"/>
              <w:widowControl w:val="off"/>
              <w:rPr>
                <w:sz w:val="20"/>
              </w:rPr>
            </w:pPr>
            <w:r>
              <w:rPr>
                <w:rFonts w:ascii="Arial Narrow" w:hAnsi="Arial Narrow" w:cs="Calibri"/>
                <w:sz w:val="20"/>
              </w:rPr>
              <w:t xml:space="preserve">(202 из них по дист. курсам КорУнГа)</w:t>
            </w:r>
            <w:r>
              <w:rPr>
                <w:sz w:val="20"/>
              </w:rPr>
            </w:r>
            <w:r>
              <w:rPr>
                <w:sz w:val="20"/>
              </w:rPr>
            </w:r>
          </w:p>
        </w:tc>
      </w:tr>
    </w:tbl>
    <w:p>
      <w:pPr>
        <w:pStyle w:val="1063"/>
        <w:ind w:left="142" w:firstLine="567"/>
        <w:jc w:val="both"/>
        <w:rPr>
          <w:rFonts w:ascii="Arial Narrow" w:hAnsi="Arial Narrow" w:cs="Calibri"/>
          <w:sz w:val="10"/>
          <w:szCs w:val="10"/>
        </w:rPr>
      </w:pPr>
      <w:r>
        <w:rPr>
          <w:rFonts w:ascii="Arial Narrow" w:hAnsi="Arial Narrow" w:cs="Calibri"/>
          <w:sz w:val="10"/>
          <w:szCs w:val="10"/>
        </w:rPr>
      </w:r>
      <w:r>
        <w:rPr>
          <w:rFonts w:ascii="Arial Narrow" w:hAnsi="Arial Narrow" w:cs="Calibri"/>
          <w:sz w:val="10"/>
          <w:szCs w:val="10"/>
        </w:rPr>
      </w:r>
      <w:r>
        <w:rPr>
          <w:rFonts w:ascii="Arial Narrow" w:hAnsi="Arial Narrow" w:cs="Calibri"/>
          <w:sz w:val="10"/>
          <w:szCs w:val="10"/>
        </w:rPr>
      </w:r>
    </w:p>
    <w:p>
      <w:pPr>
        <w:pStyle w:val="1063"/>
        <w:ind w:firstLine="567"/>
        <w:jc w:val="both"/>
      </w:pPr>
      <w:r>
        <w:rPr>
          <w:rFonts w:ascii="Arial Narrow" w:hAnsi="Arial Narrow" w:cs="Calibri"/>
        </w:rPr>
        <w:t xml:space="preserve">В 2024 году на баз</w:t>
      </w:r>
      <w:r>
        <w:rPr>
          <w:rFonts w:ascii="Arial Narrow" w:hAnsi="Arial Narrow" w:cs="Calibri"/>
        </w:rPr>
        <w:t xml:space="preserve">е Учебно-консультационного пункта ПАО «Камчатскэнерго» проведены Соревнования профессионального мастерства персонала электротехнических лабораторий станций ТЭЦ-1, ТЭЦ-2 филиала ПАО «Камчатскэнерго» Камчатские ТЭЦ. Участие приняли 10 работников предприятия.</w:t>
      </w:r>
      <w:r/>
    </w:p>
    <w:p>
      <w:pPr>
        <w:pStyle w:val="1063"/>
        <w:ind w:firstLine="567"/>
        <w:jc w:val="both"/>
      </w:pPr>
      <w:r>
        <w:rPr>
          <w:rFonts w:ascii="Arial Narrow" w:hAnsi="Arial Narrow" w:cs="Calibri"/>
        </w:rPr>
        <w:t xml:space="preserve">Проведена подготовка персонала, входящего в состав НАСФ практическим навыкам оказания первой помощи, пострадавшим на производстве. Подготовку прошли 17 работников предприятия.</w:t>
      </w:r>
      <w:r/>
    </w:p>
    <w:p>
      <w:pPr>
        <w:pStyle w:val="1063"/>
        <w:ind w:firstLine="567"/>
        <w:jc w:val="both"/>
      </w:pPr>
      <w:r>
        <w:rPr>
          <w:rFonts w:ascii="Arial Narrow" w:hAnsi="Arial Narrow" w:cs="Calibri"/>
        </w:rPr>
        <w:t xml:space="preserve">Четверо сотрудников Общества приняли участие в V</w:t>
      </w:r>
      <w:r>
        <w:rPr>
          <w:rFonts w:ascii="Arial Narrow" w:hAnsi="Arial Narrow" w:cs="Calibri"/>
          <w:lang w:val="en-US"/>
        </w:rPr>
        <w:t xml:space="preserve">I</w:t>
      </w:r>
      <w:r>
        <w:rPr>
          <w:rFonts w:ascii="Arial Narrow" w:hAnsi="Arial Narrow" w:cs="Calibri"/>
        </w:rPr>
        <w:t xml:space="preserve"> корпоративном инженерном кейс-чемпионате по инновациям и рационализации «РАЦЭНЕРДЖИ».</w:t>
      </w:r>
      <w:r/>
    </w:p>
    <w:p>
      <w:pPr>
        <w:pStyle w:val="1063"/>
        <w:ind w:firstLine="567"/>
        <w:jc w:val="both"/>
      </w:pPr>
      <w:r>
        <w:rPr>
          <w:rFonts w:ascii="Arial Narrow" w:hAnsi="Arial Narrow" w:cs="Calibri"/>
        </w:rPr>
        <w:t xml:space="preserve">Команда филиала ПАО «Камчатскэнерго» ЦЭС в составе 5 человек представляла ПАО «Камчатскэнерго» на корпоративных соревнованиях оперативно-ремонтного персонала распределительных электрических сетей Группы РусГидро, прошедших на</w:t>
      </w:r>
      <w:r>
        <w:rPr>
          <w:rFonts w:ascii="Arial Narrow" w:hAnsi="Arial Narrow" w:cs="Calibri"/>
        </w:rPr>
        <w:t xml:space="preserve"> базе негосударственного некоммерческого образовательного учреждения дополнительного профессионального образования «Учебно-производственный центр подготовки персонала энергетики» в городе Якутск. По итогам корпоративных соревнований команда заняла 2 место.</w:t>
      </w:r>
      <w:r/>
    </w:p>
    <w:p>
      <w:pPr>
        <w:pStyle w:val="1063"/>
        <w:ind w:firstLine="567"/>
        <w:jc w:val="both"/>
      </w:pPr>
      <w:r>
        <w:rPr>
          <w:rFonts w:ascii="Arial Narrow" w:hAnsi="Arial Narrow" w:cs="Calibri"/>
        </w:rPr>
        <w:t xml:space="preserve">Команда филиала ПАО «Камчатскэнерго» ЦЭС в составе 2-х человек (участник и компатриот) приняли участие в Чемпионате профессионального мастерства Группы РусГидро по стандартам АРПН по компетенции «Эксплуатация кабельных линий электропередачи», прошедших</w:t>
      </w:r>
      <w:r>
        <w:rPr>
          <w:rFonts w:ascii="Arial Narrow" w:hAnsi="Arial Narrow" w:cs="Calibri"/>
        </w:rPr>
        <w:t xml:space="preserve"> на базе негосударственного некоммерческого образовательного учреждения дополнительного профессионального образования «Учебно-производственный центр подготовки персонала энергетики» в городе Якутск. По результатам Чемпионата участник команды занял 1 место.</w:t>
      </w:r>
      <w:r/>
    </w:p>
    <w:p>
      <w:pPr>
        <w:pStyle w:val="1063"/>
        <w:ind w:firstLine="567"/>
        <w:jc w:val="both"/>
      </w:pPr>
      <w:r>
        <w:rPr>
          <w:rFonts w:ascii="Arial Narrow" w:hAnsi="Arial Narrow" w:cs="Calibri"/>
        </w:rPr>
        <w:t xml:space="preserve">Команда филиала ПАО «Камчатскэнерго» Возо</w:t>
      </w:r>
      <w:r>
        <w:rPr>
          <w:rFonts w:ascii="Arial Narrow" w:hAnsi="Arial Narrow" w:cs="Calibri"/>
        </w:rPr>
        <w:t xml:space="preserve">бновляемая энергетика в составе 5 человек представляла ПАО «Камчатскэнерго» в отборочном этапе на Десятых Всероссийских соревнованиях оперативного персонала ГЭС,  прошедших на базе филиала ПАО «РусГидро» – «Чебоксарская ГЭС» (Чувашская Республика, г. Новоч</w:t>
      </w:r>
      <w:r>
        <w:rPr>
          <w:rFonts w:ascii="Arial Narrow" w:hAnsi="Arial Narrow" w:cs="Calibri"/>
        </w:rPr>
        <w:t xml:space="preserve">ебоксарск) и государственного автономного профессионального образовательного учреждения Чувашской Республики «Межрегиональный центр компетенций – Чебоксарский электромеханический колледж» Министерства образования и молодежной политики Чувашской Республики.</w:t>
      </w:r>
      <w:r/>
    </w:p>
    <w:p>
      <w:pPr>
        <w:pStyle w:val="1063"/>
        <w:ind w:firstLine="567"/>
        <w:jc w:val="both"/>
      </w:pPr>
      <w:r>
        <w:rPr>
          <w:rFonts w:ascii="Arial Narrow" w:hAnsi="Arial Narrow" w:cs="Calibri"/>
        </w:rPr>
        <w:t xml:space="preserve">Сотрудники Учебно-консультационного пункта ПАО «Камчатскэнерго» приняли участие в региональном чемпионате «Профессионалы» в качестве индустриальных экспертов.</w:t>
      </w:r>
      <w:r/>
    </w:p>
    <w:p>
      <w:pPr>
        <w:pStyle w:val="1063"/>
        <w:ind w:left="142" w:firstLine="567"/>
        <w:jc w:val="both"/>
        <w:rPr>
          <w:rFonts w:ascii="Arial Narrow" w:hAnsi="Arial Narrow" w:cs="Calibri"/>
        </w:rPr>
      </w:pPr>
      <w:r>
        <w:rPr>
          <w:rFonts w:ascii="Arial Narrow" w:hAnsi="Arial Narrow" w:cs="Calibri"/>
        </w:rPr>
      </w:r>
      <w:r>
        <w:rPr>
          <w:rFonts w:ascii="Arial Narrow" w:hAnsi="Arial Narrow" w:cs="Calibri"/>
        </w:rPr>
      </w:r>
      <w:r>
        <w:rPr>
          <w:rFonts w:ascii="Arial Narrow" w:hAnsi="Arial Narrow" w:cs="Calibri"/>
        </w:rPr>
      </w:r>
    </w:p>
    <w:p>
      <w:pPr>
        <w:pStyle w:val="763"/>
        <w:jc w:val="both"/>
        <w:keepLines/>
        <w:spacing w:after="0" w:line="276" w:lineRule="auto"/>
        <w:rPr>
          <w:rFonts w:ascii="Arial Narrow" w:hAnsi="Arial Narrow" w:eastAsiaTheme="majorEastAsia" w:cstheme="minorHAnsi"/>
          <w:color w:val="314e87"/>
          <w:lang w:eastAsia="en-US" w:bidi="ru-RU"/>
        </w:rPr>
      </w:pPr>
      <w:r/>
      <w:bookmarkStart w:id="133" w:name="_Toc157606434"/>
      <w:r/>
      <w:bookmarkStart w:id="134" w:name="_Toc193883501"/>
      <w:r/>
      <w:bookmarkStart w:id="135" w:name="_Toc196127001"/>
      <w:r>
        <w:rPr>
          <w:rFonts w:ascii="Arial Narrow" w:hAnsi="Arial Narrow" w:eastAsiaTheme="majorEastAsia" w:cstheme="minorHAnsi"/>
          <w:b/>
          <w:color w:val="314e87"/>
          <w:sz w:val="24"/>
          <w:szCs w:val="24"/>
          <w:lang w:eastAsia="en-US" w:bidi="ru-RU"/>
        </w:rPr>
        <w:t xml:space="preserve">8.2. Социальная политика Общества</w:t>
      </w:r>
      <w:bookmarkEnd w:id="133"/>
      <w:r/>
      <w:bookmarkEnd w:id="134"/>
      <w:r/>
      <w:bookmarkEnd w:id="135"/>
      <w:r>
        <w:rPr>
          <w:rFonts w:ascii="Arial Narrow" w:hAnsi="Arial Narrow" w:eastAsiaTheme="majorEastAsia" w:cstheme="minorHAnsi"/>
          <w:color w:val="314e87"/>
          <w:lang w:eastAsia="en-US" w:bidi="ru-RU"/>
        </w:rPr>
      </w:r>
      <w:r>
        <w:rPr>
          <w:rFonts w:ascii="Arial Narrow" w:hAnsi="Arial Narrow" w:eastAsiaTheme="majorEastAsia" w:cstheme="minorHAnsi"/>
          <w:color w:val="314e87"/>
          <w:lang w:eastAsia="en-US" w:bidi="ru-RU"/>
        </w:rPr>
      </w:r>
    </w:p>
    <w:p>
      <w:pPr>
        <w:pStyle w:val="1063"/>
        <w:ind w:firstLine="567"/>
        <w:jc w:val="both"/>
      </w:pPr>
      <w:r>
        <w:rPr>
          <w:rFonts w:ascii="Arial Narrow" w:hAnsi="Arial Narrow" w:cs="Calibri"/>
        </w:rPr>
        <w:t xml:space="preserve">Основным документом в области социальной политики и социального партнерства Общества в отчетном периоде является Коллективный договор ПАО «Камчатскэнерго» на 2024-2026 годы, </w:t>
      </w:r>
      <w:r>
        <w:rPr>
          <w:rFonts w:ascii="Arial Narrow" w:hAnsi="Arial Narrow" w:cs="Calibri"/>
        </w:rPr>
        <w:t xml:space="preserve">устанавливающий систему льгот, гарантий и компенсаций, предоставляемых работникам Общества, в том числе сверх предусмотренных законодательством Российской Федерации.</w:t>
      </w:r>
      <w:r/>
    </w:p>
    <w:p>
      <w:pPr>
        <w:pStyle w:val="1063"/>
        <w:jc w:val="both"/>
        <w:tabs>
          <w:tab w:val="left" w:pos="566" w:leader="none"/>
          <w:tab w:val="left" w:pos="850" w:leader="none"/>
        </w:tabs>
        <w:rPr>
          <w:rFonts w:ascii="Arial Narrow" w:hAnsi="Arial Narrow" w:cs="Calibri"/>
          <w:color w:val="314e87"/>
        </w:rPr>
      </w:pPr>
      <w:r>
        <w:rPr>
          <w:rFonts w:ascii="Arial Narrow" w:hAnsi="Arial Narrow" w:cs="Calibri"/>
          <w:color w:val="314e87"/>
        </w:rPr>
      </w:r>
      <w:r>
        <w:rPr>
          <w:rFonts w:ascii="Arial Narrow" w:hAnsi="Arial Narrow" w:cs="Calibri"/>
          <w:color w:val="314e87"/>
        </w:rPr>
      </w:r>
      <w:r>
        <w:rPr>
          <w:rFonts w:ascii="Arial Narrow" w:hAnsi="Arial Narrow" w:cs="Calibri"/>
          <w:color w:val="314e87"/>
        </w:rPr>
      </w:r>
    </w:p>
    <w:p>
      <w:pPr>
        <w:pStyle w:val="1063"/>
        <w:jc w:val="both"/>
        <w:tabs>
          <w:tab w:val="left" w:pos="566" w:leader="none"/>
          <w:tab w:val="left" w:pos="850" w:leader="none"/>
        </w:tabs>
        <w:rPr>
          <w:b/>
        </w:rPr>
      </w:pPr>
      <w:r>
        <w:rPr>
          <w:rFonts w:ascii="Arial Narrow" w:hAnsi="Arial Narrow" w:cs="Calibri"/>
          <w:b/>
          <w:color w:val="314e87"/>
        </w:rPr>
        <w:t xml:space="preserve">Социальные расходы Общества</w:t>
      </w:r>
      <w:r>
        <w:rPr>
          <w:b/>
        </w:rPr>
      </w:r>
      <w:r>
        <w:rPr>
          <w:b/>
        </w:rPr>
      </w:r>
    </w:p>
    <w:p>
      <w:pPr>
        <w:pStyle w:val="1063"/>
        <w:ind w:left="7200" w:firstLine="720"/>
        <w:jc w:val="center"/>
        <w:rPr>
          <w:lang w:val="en-US"/>
        </w:rPr>
      </w:pPr>
      <w:r>
        <w:rPr>
          <w:rFonts w:ascii="Arial Narrow" w:hAnsi="Arial Narrow" w:eastAsia="Calibri" w:cs="Calibri"/>
          <w:i/>
          <w:lang w:eastAsia="ja-JP"/>
        </w:rPr>
        <w:t xml:space="preserve">         Таблица № 38</w:t>
      </w:r>
      <w:r>
        <w:rPr>
          <w:lang w:val="en-US"/>
        </w:rPr>
      </w:r>
      <w:r>
        <w:rPr>
          <w:lang w:val="en-US"/>
        </w:rPr>
      </w:r>
    </w:p>
    <w:tbl>
      <w:tblPr>
        <w:tblW w:w="10060" w:type="dxa"/>
        <w:jc w:val="center"/>
        <w:tblLayout w:type="fixed"/>
        <w:tblLook w:val="04A0" w:firstRow="1" w:lastRow="0" w:firstColumn="1" w:lastColumn="0" w:noHBand="0" w:noVBand="1"/>
      </w:tblPr>
      <w:tblGrid>
        <w:gridCol w:w="4938"/>
        <w:gridCol w:w="1555"/>
        <w:gridCol w:w="1701"/>
        <w:gridCol w:w="1866"/>
      </w:tblGrid>
      <w:tr>
        <w:trPr>
          <w:jc w:val="center"/>
        </w:trPr>
        <w:tc>
          <w:tcPr>
            <w:tcBorders>
              <w:top w:val="single" w:color="000000" w:sz="4" w:space="0"/>
              <w:left w:val="single" w:color="000000" w:sz="4" w:space="0"/>
              <w:bottom w:val="single" w:color="000000" w:sz="4" w:space="0"/>
              <w:right w:val="single" w:color="000000" w:sz="4" w:space="0"/>
            </w:tcBorders>
            <w:tcW w:w="4937" w:type="dxa"/>
            <w:textDirection w:val="lrTb"/>
            <w:noWrap w:val="false"/>
          </w:tcPr>
          <w:p>
            <w:pPr>
              <w:pStyle w:val="1146"/>
              <w:ind w:firstLine="0"/>
              <w:jc w:val="center"/>
              <w:spacing w:line="276" w:lineRule="auto"/>
              <w:widowControl w:val="off"/>
              <w:rPr>
                <w:rFonts w:ascii="Arial Narrow" w:hAnsi="Arial Narrow" w:cs="Calibri"/>
                <w:sz w:val="20"/>
              </w:rPr>
            </w:pPr>
            <w:r>
              <w:rPr>
                <w:rFonts w:ascii="Arial Narrow" w:hAnsi="Arial Narrow" w:cs="Calibri"/>
                <w:sz w:val="20"/>
              </w:rPr>
            </w:r>
            <w:r>
              <w:rPr>
                <w:rFonts w:ascii="Arial Narrow" w:hAnsi="Arial Narrow" w:cs="Calibri"/>
                <w:sz w:val="20"/>
              </w:rPr>
            </w:r>
            <w:r>
              <w:rPr>
                <w:rFonts w:ascii="Arial Narrow" w:hAnsi="Arial Narrow" w:cs="Calibri"/>
                <w:sz w:val="20"/>
              </w:rPr>
            </w:r>
          </w:p>
        </w:tc>
        <w:tc>
          <w:tcPr>
            <w:tcBorders>
              <w:top w:val="single" w:color="000000" w:sz="4" w:space="0"/>
              <w:left w:val="single" w:color="000000" w:sz="4" w:space="0"/>
              <w:bottom w:val="single" w:color="000000" w:sz="4" w:space="0"/>
              <w:right w:val="single" w:color="000000" w:sz="4" w:space="0"/>
            </w:tcBorders>
            <w:tcW w:w="1555" w:type="dxa"/>
            <w:textDirection w:val="lrTb"/>
            <w:noWrap w:val="false"/>
          </w:tcPr>
          <w:p>
            <w:pPr>
              <w:pStyle w:val="1146"/>
              <w:ind w:firstLine="0"/>
              <w:jc w:val="center"/>
              <w:spacing w:line="276" w:lineRule="auto"/>
              <w:widowControl w:val="off"/>
              <w:rPr>
                <w:sz w:val="20"/>
              </w:rPr>
            </w:pPr>
            <w:r>
              <w:rPr>
                <w:rFonts w:ascii="Arial Narrow" w:hAnsi="Arial Narrow" w:cs="Calibri"/>
                <w:b/>
                <w:sz w:val="20"/>
              </w:rPr>
              <w:t xml:space="preserve">2022</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701" w:type="dxa"/>
            <w:textDirection w:val="lrTb"/>
            <w:noWrap w:val="false"/>
          </w:tcPr>
          <w:p>
            <w:pPr>
              <w:pStyle w:val="1146"/>
              <w:ind w:firstLine="0"/>
              <w:jc w:val="center"/>
              <w:spacing w:line="276" w:lineRule="auto"/>
              <w:widowControl w:val="off"/>
              <w:rPr>
                <w:sz w:val="20"/>
              </w:rPr>
            </w:pPr>
            <w:r>
              <w:rPr>
                <w:rFonts w:ascii="Arial Narrow" w:hAnsi="Arial Narrow" w:cs="Calibri"/>
                <w:b/>
                <w:sz w:val="20"/>
              </w:rPr>
              <w:t xml:space="preserve">2023</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866" w:type="dxa"/>
            <w:textDirection w:val="lrTb"/>
            <w:noWrap w:val="false"/>
          </w:tcPr>
          <w:p>
            <w:pPr>
              <w:pStyle w:val="1146"/>
              <w:ind w:firstLine="0"/>
              <w:jc w:val="center"/>
              <w:spacing w:line="276" w:lineRule="auto"/>
              <w:widowControl w:val="off"/>
              <w:rPr>
                <w:sz w:val="20"/>
              </w:rPr>
            </w:pPr>
            <w:r>
              <w:rPr>
                <w:rFonts w:ascii="Arial Narrow" w:hAnsi="Arial Narrow" w:cs="Calibri"/>
                <w:b/>
                <w:sz w:val="20"/>
              </w:rPr>
              <w:t xml:space="preserve">2024</w:t>
            </w:r>
            <w:r>
              <w:rPr>
                <w:sz w:val="20"/>
              </w:rPr>
            </w:r>
            <w:r>
              <w:rPr>
                <w:sz w:val="20"/>
              </w:rPr>
            </w:r>
          </w:p>
        </w:tc>
      </w:tr>
      <w:tr>
        <w:trPr>
          <w:jc w:val="center"/>
        </w:trPr>
        <w:tc>
          <w:tcPr>
            <w:tcBorders>
              <w:top w:val="single" w:color="000000" w:sz="4" w:space="0"/>
              <w:left w:val="single" w:color="000000" w:sz="4" w:space="0"/>
              <w:bottom w:val="single" w:color="000000" w:sz="4" w:space="0"/>
              <w:right w:val="single" w:color="000000" w:sz="4" w:space="0"/>
            </w:tcBorders>
            <w:tcW w:w="4937" w:type="dxa"/>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Социальные расходы, тыс. рублей</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555" w:type="dxa"/>
            <w:vAlign w:val="center"/>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250 383,4</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302 774,99</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866" w:type="dxa"/>
            <w:vAlign w:val="center"/>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286 944,25</w:t>
            </w:r>
            <w:r>
              <w:rPr>
                <w:sz w:val="20"/>
              </w:rPr>
            </w:r>
            <w:r>
              <w:rPr>
                <w:sz w:val="20"/>
              </w:rPr>
            </w:r>
          </w:p>
        </w:tc>
      </w:tr>
      <w:tr>
        <w:trPr>
          <w:jc w:val="center"/>
          <w:trHeight w:val="461"/>
        </w:trPr>
        <w:tc>
          <w:tcPr>
            <w:tcBorders>
              <w:top w:val="single" w:color="000000" w:sz="4" w:space="0"/>
              <w:left w:val="single" w:color="000000" w:sz="4" w:space="0"/>
              <w:bottom w:val="single" w:color="000000" w:sz="4" w:space="0"/>
              <w:right w:val="single" w:color="000000" w:sz="4" w:space="0"/>
            </w:tcBorders>
            <w:tcW w:w="4937" w:type="dxa"/>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В том числе  расходы, учтенные в фонде заработной платы и средней заработной плате работников</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555" w:type="dxa"/>
            <w:vAlign w:val="center"/>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151 354,9</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701" w:type="dxa"/>
            <w:vAlign w:val="center"/>
            <w:textDirection w:val="lrTb"/>
            <w:noWrap w:val="false"/>
          </w:tcPr>
          <w:p>
            <w:pPr>
              <w:pStyle w:val="1146"/>
              <w:ind w:firstLine="0"/>
              <w:jc w:val="center"/>
              <w:spacing w:line="276" w:lineRule="auto"/>
              <w:widowControl w:val="off"/>
              <w:rPr>
                <w:rFonts w:ascii="Arial Narrow" w:hAnsi="Arial Narrow" w:cs="Calibri"/>
                <w:sz w:val="20"/>
              </w:rPr>
            </w:pPr>
            <w:r>
              <w:rPr>
                <w:rFonts w:ascii="Arial Narrow" w:hAnsi="Arial Narrow" w:cs="Calibri"/>
              </w:rPr>
              <w:t xml:space="preserve">178 359,75</w:t>
            </w:r>
            <w:r>
              <w:rPr>
                <w:rFonts w:ascii="Arial Narrow" w:hAnsi="Arial Narrow" w:cs="Calibri"/>
                <w:sz w:val="20"/>
              </w:rPr>
            </w:r>
            <w:r>
              <w:rPr>
                <w:rFonts w:ascii="Arial Narrow" w:hAnsi="Arial Narrow" w:cs="Calibri"/>
                <w:sz w:val="20"/>
              </w:rPr>
            </w:r>
          </w:p>
        </w:tc>
        <w:tc>
          <w:tcPr>
            <w:tcBorders>
              <w:top w:val="single" w:color="000000" w:sz="4" w:space="0"/>
              <w:left w:val="single" w:color="000000" w:sz="4" w:space="0"/>
              <w:bottom w:val="single" w:color="000000" w:sz="4" w:space="0"/>
              <w:right w:val="single" w:color="000000" w:sz="4" w:space="0"/>
            </w:tcBorders>
            <w:tcW w:w="1866" w:type="dxa"/>
            <w:vAlign w:val="center"/>
            <w:textDirection w:val="lrTb"/>
            <w:noWrap w:val="false"/>
          </w:tcPr>
          <w:p>
            <w:pPr>
              <w:pStyle w:val="1146"/>
              <w:ind w:firstLine="0"/>
              <w:jc w:val="center"/>
              <w:spacing w:line="276" w:lineRule="auto"/>
              <w:widowControl w:val="off"/>
              <w:rPr>
                <w:rFonts w:ascii="Arial Narrow" w:hAnsi="Arial Narrow" w:cs="Calibri"/>
                <w:sz w:val="20"/>
              </w:rPr>
            </w:pPr>
            <w:r>
              <w:rPr>
                <w:rFonts w:ascii="Arial Narrow" w:hAnsi="Arial Narrow" w:cs="Calibri"/>
              </w:rPr>
              <w:t xml:space="preserve">182 611,30</w:t>
            </w:r>
            <w:r>
              <w:rPr>
                <w:rFonts w:ascii="Arial Narrow" w:hAnsi="Arial Narrow" w:cs="Calibri"/>
                <w:sz w:val="20"/>
              </w:rPr>
            </w:r>
            <w:r>
              <w:rPr>
                <w:rFonts w:ascii="Arial Narrow" w:hAnsi="Arial Narrow" w:cs="Calibri"/>
                <w:sz w:val="20"/>
              </w:rPr>
            </w:r>
          </w:p>
        </w:tc>
      </w:tr>
    </w:tbl>
    <w:p>
      <w:pPr>
        <w:pStyle w:val="1063"/>
        <w:ind w:left="142" w:firstLine="567"/>
        <w:jc w:val="both"/>
        <w:rPr>
          <w:rFonts w:ascii="Arial Narrow" w:hAnsi="Arial Narrow" w:cs="Calibri"/>
        </w:rPr>
      </w:pPr>
      <w:r>
        <w:rPr>
          <w:rFonts w:ascii="Arial Narrow" w:hAnsi="Arial Narrow" w:cs="Calibri"/>
        </w:rPr>
      </w:r>
      <w:r>
        <w:rPr>
          <w:rFonts w:ascii="Arial Narrow" w:hAnsi="Arial Narrow" w:cs="Calibri"/>
        </w:rPr>
      </w:r>
      <w:r>
        <w:rPr>
          <w:rFonts w:ascii="Arial Narrow" w:hAnsi="Arial Narrow" w:cs="Calibri"/>
        </w:rPr>
      </w:r>
    </w:p>
    <w:p>
      <w:pPr>
        <w:pStyle w:val="1091"/>
        <w:ind w:left="0" w:firstLine="709"/>
        <w:jc w:val="both"/>
        <w:spacing w:line="276" w:lineRule="auto"/>
        <w:widowControl w:val="off"/>
        <w:tabs>
          <w:tab w:val="left" w:pos="850" w:leader="none"/>
          <w:tab w:val="left" w:pos="993" w:leader="none"/>
        </w:tabs>
        <w:rPr>
          <w:lang w:val="ru-RU"/>
        </w:rPr>
      </w:pPr>
      <w:r>
        <w:rPr>
          <w:rFonts w:ascii="Arial Narrow" w:hAnsi="Arial Narrow"/>
          <w:sz w:val="24"/>
          <w:szCs w:val="24"/>
          <w:lang w:val="ru-RU" w:eastAsia="ru-RU"/>
        </w:rPr>
        <w:t xml:space="preserve">Предусмотренные Коллективным договором обязательства в 2024 исполнены в полном объеме</w:t>
      </w:r>
      <w:r>
        <w:rPr>
          <w:rFonts w:ascii="Arial Narrow" w:hAnsi="Arial Narrow"/>
          <w:sz w:val="24"/>
          <w:szCs w:val="24"/>
          <w:shd w:val="clear" w:color="auto" w:fill="ffffff"/>
          <w:lang w:val="ru-RU" w:eastAsia="ru-RU"/>
        </w:rPr>
        <w:t xml:space="preserve">, </w:t>
      </w:r>
      <w:r>
        <w:rPr>
          <w:rFonts w:ascii="Arial Narrow" w:hAnsi="Arial Narrow" w:cs="Calibri"/>
          <w:sz w:val="24"/>
          <w:szCs w:val="24"/>
          <w:lang w:val="ru-RU" w:eastAsia="ru-RU"/>
        </w:rPr>
        <w:t xml:space="preserve">отклонения связаны с востребованностью и наличием оснований для предоставления тех или иных льгот и гарантий.</w:t>
      </w:r>
      <w:r>
        <w:rPr>
          <w:lang w:val="ru-RU"/>
        </w:rPr>
      </w:r>
      <w:r>
        <w:rPr>
          <w:lang w:val="ru-RU"/>
        </w:rPr>
      </w:r>
    </w:p>
    <w:p>
      <w:pPr>
        <w:pStyle w:val="1091"/>
        <w:ind w:left="0" w:firstLine="709"/>
        <w:jc w:val="both"/>
        <w:spacing w:line="276" w:lineRule="auto"/>
        <w:widowControl w:val="off"/>
        <w:tabs>
          <w:tab w:val="left" w:pos="850" w:leader="none"/>
          <w:tab w:val="left" w:pos="993" w:leader="none"/>
        </w:tabs>
        <w:rPr>
          <w:lang w:val="ru-RU"/>
        </w:rPr>
      </w:pPr>
      <w:r>
        <w:rPr>
          <w:rFonts w:ascii="Arial Narrow" w:hAnsi="Arial Narrow"/>
          <w:sz w:val="24"/>
          <w:szCs w:val="24"/>
          <w:lang w:val="ru-RU" w:eastAsia="ru-RU"/>
        </w:rPr>
        <w:t xml:space="preserve">В структ</w:t>
      </w:r>
      <w:r>
        <w:rPr>
          <w:rFonts w:ascii="Arial Narrow" w:hAnsi="Arial Narrow"/>
          <w:sz w:val="24"/>
          <w:szCs w:val="24"/>
          <w:lang w:val="ru-RU" w:eastAsia="ru-RU"/>
        </w:rPr>
        <w:t xml:space="preserve">уре социальных расходов Общества основная доля приходится на единовременные вознаграждения, в том числе в честь профессионального праздника День энергетика, компенсацию расходов на проезд к месту проведения отпуска и обратно, материальную помощь к отпуску.</w:t>
      </w:r>
      <w:r>
        <w:rPr>
          <w:lang w:val="ru-RU"/>
        </w:rPr>
      </w:r>
      <w:r>
        <w:rPr>
          <w:lang w:val="ru-RU"/>
        </w:rPr>
      </w:r>
    </w:p>
    <w:p>
      <w:pPr>
        <w:pStyle w:val="1144"/>
        <w:ind w:firstLine="709"/>
        <w:jc w:val="both"/>
        <w:spacing w:line="276" w:lineRule="auto"/>
      </w:pPr>
      <w:r>
        <w:rPr>
          <w:rFonts w:ascii="Arial Narrow" w:hAnsi="Arial Narrow"/>
          <w:sz w:val="24"/>
          <w:szCs w:val="24"/>
        </w:rPr>
        <w:t xml:space="preserve">В Общест</w:t>
      </w:r>
      <w:r>
        <w:rPr>
          <w:rFonts w:ascii="Arial Narrow" w:hAnsi="Arial Narrow"/>
          <w:sz w:val="24"/>
          <w:szCs w:val="24"/>
        </w:rPr>
        <w:t xml:space="preserve">ве реализуются программы негосударственного пенсионного обеспечения, добровольного медицинского страхования, страхования от несчастных случаев и болезней. Работники общества принимают активное участие в корпоративных и региональных спортивных мероприятиях.</w:t>
      </w:r>
      <w:r/>
    </w:p>
    <w:p>
      <w:pPr>
        <w:rPr>
          <w:rFonts w:ascii="Arial Narrow" w:hAnsi="Arial Narrow" w:eastAsia="Arial" w:cs="Calibri"/>
          <w:sz w:val="24"/>
          <w:szCs w:val="24"/>
          <w:lang w:eastAsia="en-US"/>
        </w:rPr>
      </w:pPr>
      <w:r>
        <w:br w:type="page" w:clear="all"/>
      </w:r>
      <w:r>
        <w:rPr>
          <w:rFonts w:ascii="Arial Narrow" w:hAnsi="Arial Narrow" w:eastAsia="Arial" w:cs="Calibri"/>
          <w:sz w:val="24"/>
          <w:szCs w:val="24"/>
          <w:lang w:eastAsia="en-US"/>
        </w:rPr>
      </w:r>
      <w:r>
        <w:rPr>
          <w:rFonts w:ascii="Arial Narrow" w:hAnsi="Arial Narrow" w:eastAsia="Arial" w:cs="Calibri"/>
          <w:sz w:val="24"/>
          <w:szCs w:val="24"/>
          <w:lang w:eastAsia="en-US"/>
        </w:rPr>
      </w:r>
    </w:p>
    <w:p>
      <w:pPr>
        <w:pStyle w:val="762"/>
        <w:jc w:val="center"/>
        <w:keepLines w:val="0"/>
        <w:spacing w:before="0" w:after="0" w:line="276" w:lineRule="auto"/>
      </w:pPr>
      <w:r/>
      <w:bookmarkStart w:id="136" w:name="_Toc193883502"/>
      <w:r/>
      <w:bookmarkStart w:id="137" w:name="_Toc196127002"/>
      <w:r>
        <w:rPr>
          <w:rFonts w:ascii="Arial Narrow" w:hAnsi="Arial Narrow" w:eastAsiaTheme="majorEastAsia" w:cstheme="minorHAnsi"/>
          <w:b/>
          <w:color w:val="314e87"/>
          <w:sz w:val="28"/>
          <w:szCs w:val="28"/>
          <w:lang w:eastAsia="en-US"/>
        </w:rPr>
        <w:t xml:space="preserve">Раздел 9. ОХРАНА ЗДОРОВЬЯ РАБОТНИКОВ И ПОВЫШЕНИЕ БЕЗОПАСНОСТИ ТРУДА</w:t>
      </w:r>
      <w:bookmarkEnd w:id="136"/>
      <w:r/>
      <w:bookmarkEnd w:id="137"/>
      <w:r/>
      <w:r/>
    </w:p>
    <w:p>
      <w:pPr>
        <w:pStyle w:val="1063"/>
        <w:ind w:firstLine="567"/>
        <w:jc w:val="both"/>
      </w:pPr>
      <w:r>
        <w:rPr>
          <w:rFonts w:ascii="Arial Narrow" w:hAnsi="Arial Narrow" w:cs="Calibri"/>
        </w:rPr>
        <w:t xml:space="preserve">Обеспечени</w:t>
      </w:r>
      <w:r>
        <w:rPr>
          <w:rFonts w:ascii="Arial Narrow" w:hAnsi="Arial Narrow" w:cs="Calibri"/>
        </w:rPr>
        <w:t xml:space="preserve">е безопасных условий труда, охрана жизни и здоровья персонала являются важным приоритетом деятельности ПАО «Камчатскэнерго». Для повышения уровня квалификации персонала и создания привлекательных условий труда в ПАО «Камчатскэнерго» применяется комплексный</w:t>
      </w:r>
      <w:r>
        <w:rPr>
          <w:rFonts w:ascii="Arial Narrow" w:hAnsi="Arial Narrow" w:cs="Calibri"/>
        </w:rPr>
        <w:t xml:space="preserve"> подход к вопросам подготовки и развития работников. Главной задачей реализации мероприятий в области охраны труда является недопущение травматизма на производстве, безопасность и охрана здоровья, повсеместное внедрение корпоративной культуры безопасности.</w:t>
      </w:r>
      <w:r/>
    </w:p>
    <w:p>
      <w:pPr>
        <w:pStyle w:val="1063"/>
        <w:ind w:firstLine="567"/>
        <w:jc w:val="both"/>
      </w:pPr>
      <w:r>
        <w:rPr>
          <w:rFonts w:ascii="Arial Narrow" w:hAnsi="Arial Narrow" w:cs="Calibri"/>
        </w:rPr>
        <w:t xml:space="preserve">Целями Общества в области охраны труда и здоровья работников являются постоянное улучшение состояния охраны труда и промышленной безопасности (ОТ и ПБ), обеспечение контроля за выполнени</w:t>
      </w:r>
      <w:r>
        <w:rPr>
          <w:rFonts w:ascii="Arial Narrow" w:hAnsi="Arial Narrow" w:cs="Calibri"/>
        </w:rPr>
        <w:t xml:space="preserve">ем принятых обязательств; достижение стабильного снижения показателей производственного травматизма и аварийности; повышение промышленной безопасности производственных объектов; поддержание результативной и эффективной системы управления в области ОТ и ПБ.</w:t>
      </w:r>
      <w:r/>
    </w:p>
    <w:p>
      <w:pPr>
        <w:pStyle w:val="1063"/>
        <w:jc w:val="both"/>
        <w:rPr>
          <w:rFonts w:ascii="Arial Narrow" w:hAnsi="Arial Narrow" w:cs="Calibri"/>
        </w:rPr>
      </w:pPr>
      <w:r>
        <w:rPr>
          <w:rFonts w:ascii="Arial Narrow" w:hAnsi="Arial Narrow" w:cs="Calibri"/>
        </w:rPr>
      </w:r>
      <w:r>
        <w:rPr>
          <w:rFonts w:ascii="Arial Narrow" w:hAnsi="Arial Narrow" w:cs="Calibri"/>
        </w:rPr>
      </w:r>
      <w:r>
        <w:rPr>
          <w:rFonts w:ascii="Arial Narrow" w:hAnsi="Arial Narrow" w:cs="Calibri"/>
        </w:rPr>
      </w:r>
    </w:p>
    <w:p>
      <w:pPr>
        <w:pStyle w:val="1063"/>
        <w:jc w:val="both"/>
        <w:spacing w:after="120"/>
        <w:tabs>
          <w:tab w:val="left" w:pos="566" w:leader="none"/>
          <w:tab w:val="left" w:pos="850" w:leader="none"/>
        </w:tabs>
        <w:rPr>
          <w:b/>
        </w:rPr>
      </w:pPr>
      <w:r>
        <w:rPr>
          <w:rFonts w:ascii="Arial Narrow" w:hAnsi="Arial Narrow" w:cs="Calibri"/>
          <w:b/>
          <w:color w:val="314e87"/>
        </w:rPr>
        <w:t xml:space="preserve">Основные нормативные документы, регламентирующие охрану труда в Обществе</w:t>
      </w:r>
      <w:r>
        <w:rPr>
          <w:b/>
        </w:rPr>
      </w:r>
      <w:r>
        <w:rPr>
          <w:b/>
        </w:rPr>
      </w:r>
    </w:p>
    <w:p>
      <w:pPr>
        <w:pStyle w:val="1091"/>
        <w:numPr>
          <w:ilvl w:val="0"/>
          <w:numId w:val="8"/>
        </w:numPr>
        <w:ind w:left="0" w:firstLine="425"/>
        <w:jc w:val="both"/>
        <w:spacing w:line="276" w:lineRule="auto"/>
        <w:rPr>
          <w:lang w:val="ru-RU"/>
        </w:rPr>
      </w:pPr>
      <w:r>
        <w:rPr>
          <w:rFonts w:ascii="Arial Narrow" w:hAnsi="Arial Narrow" w:cs="Calibri"/>
          <w:sz w:val="24"/>
          <w:szCs w:val="24"/>
          <w:lang w:val="ru-RU"/>
        </w:rPr>
        <w:t xml:space="preserve">Коллективный договор ПАО «Камчатскэнерго» на 2022 - 2024 годы;</w:t>
      </w:r>
      <w:r>
        <w:rPr>
          <w:lang w:val="ru-RU"/>
        </w:rPr>
      </w:r>
      <w:r>
        <w:rPr>
          <w:lang w:val="ru-RU"/>
        </w:rPr>
      </w:r>
    </w:p>
    <w:p>
      <w:pPr>
        <w:pStyle w:val="1091"/>
        <w:numPr>
          <w:ilvl w:val="0"/>
          <w:numId w:val="8"/>
        </w:numPr>
        <w:ind w:left="0" w:firstLine="425"/>
        <w:jc w:val="both"/>
        <w:spacing w:line="276" w:lineRule="auto"/>
        <w:rPr>
          <w:lang w:val="ru-RU"/>
        </w:rPr>
      </w:pPr>
      <w:r>
        <w:rPr>
          <w:rFonts w:ascii="Arial Narrow" w:hAnsi="Arial Narrow" w:cs="Calibri"/>
          <w:sz w:val="24"/>
          <w:szCs w:val="24"/>
          <w:lang w:val="ru-RU"/>
        </w:rPr>
        <w:t xml:space="preserve">Положение о системе управления охраной труда от 20.09.2022;</w:t>
      </w:r>
      <w:r>
        <w:rPr>
          <w:lang w:val="ru-RU"/>
        </w:rPr>
      </w:r>
      <w:r>
        <w:rPr>
          <w:lang w:val="ru-RU"/>
        </w:rPr>
      </w:r>
    </w:p>
    <w:p>
      <w:pPr>
        <w:pStyle w:val="1091"/>
        <w:numPr>
          <w:ilvl w:val="0"/>
          <w:numId w:val="8"/>
        </w:numPr>
        <w:ind w:left="0" w:firstLine="425"/>
        <w:jc w:val="both"/>
        <w:spacing w:line="276" w:lineRule="auto"/>
        <w:rPr>
          <w:lang w:val="ru-RU"/>
        </w:rPr>
      </w:pPr>
      <w:r>
        <w:rPr>
          <w:rFonts w:ascii="Arial Narrow" w:hAnsi="Arial Narrow" w:cs="Calibri"/>
          <w:sz w:val="24"/>
          <w:szCs w:val="24"/>
          <w:lang w:val="ru-RU"/>
        </w:rPr>
        <w:t xml:space="preserve">Методика процесса «Информирование работников ПАО «Камчатскэнерго» об</w:t>
      </w:r>
      <w:r>
        <w:rPr>
          <w:rFonts w:ascii="Arial Narrow" w:hAnsi="Arial Narrow" w:cs="Calibri"/>
          <w:sz w:val="24"/>
          <w:szCs w:val="24"/>
        </w:rPr>
        <w:t xml:space="preserve"> </w:t>
      </w:r>
      <w:r>
        <w:rPr>
          <w:rFonts w:ascii="Arial Narrow" w:hAnsi="Arial Narrow" w:cs="Calibri"/>
          <w:sz w:val="24"/>
          <w:szCs w:val="24"/>
          <w:lang w:val="ru-RU"/>
        </w:rPr>
        <w:t xml:space="preserve">условиях и охране труда на рабочих местах, риске повреждения здоровья, предоставляемых им гарантиях, компенсациях и средствах индивидуальной защит» от 16.05.2022;</w:t>
      </w:r>
      <w:r>
        <w:rPr>
          <w:lang w:val="ru-RU"/>
        </w:rPr>
      </w:r>
      <w:r>
        <w:rPr>
          <w:lang w:val="ru-RU"/>
        </w:rPr>
      </w:r>
    </w:p>
    <w:p>
      <w:pPr>
        <w:pStyle w:val="1091"/>
        <w:numPr>
          <w:ilvl w:val="0"/>
          <w:numId w:val="8"/>
        </w:numPr>
        <w:ind w:left="0" w:firstLine="425"/>
        <w:jc w:val="both"/>
        <w:spacing w:line="276" w:lineRule="auto"/>
        <w:rPr>
          <w:lang w:val="ru-RU"/>
        </w:rPr>
      </w:pPr>
      <w:r>
        <w:rPr>
          <w:rFonts w:ascii="Arial Narrow" w:hAnsi="Arial Narrow" w:cs="Calibri"/>
          <w:sz w:val="24"/>
          <w:szCs w:val="24"/>
          <w:lang w:val="ru-RU"/>
        </w:rPr>
        <w:t xml:space="preserve">Регламент процесса «Реагирование на несчастные случаи и профессиональные заболевания» от 05.04.2022;</w:t>
      </w:r>
      <w:r>
        <w:rPr>
          <w:lang w:val="ru-RU"/>
        </w:rPr>
      </w:r>
      <w:r>
        <w:rPr>
          <w:lang w:val="ru-RU"/>
        </w:rPr>
      </w:r>
    </w:p>
    <w:p>
      <w:pPr>
        <w:pStyle w:val="1091"/>
        <w:numPr>
          <w:ilvl w:val="0"/>
          <w:numId w:val="8"/>
        </w:numPr>
        <w:ind w:left="0" w:firstLine="425"/>
        <w:jc w:val="both"/>
        <w:spacing w:line="276" w:lineRule="auto"/>
        <w:rPr>
          <w:lang w:val="ru-RU"/>
        </w:rPr>
      </w:pPr>
      <w:r>
        <w:rPr>
          <w:rFonts w:ascii="Arial Narrow" w:hAnsi="Arial Narrow" w:cs="Calibri"/>
          <w:sz w:val="24"/>
          <w:szCs w:val="24"/>
          <w:lang w:val="ru-RU"/>
        </w:rPr>
        <w:t xml:space="preserve">Политика РусГидро в области охраны труда от 25.10.2022;</w:t>
      </w:r>
      <w:r>
        <w:rPr>
          <w:lang w:val="ru-RU"/>
        </w:rPr>
      </w:r>
      <w:r>
        <w:rPr>
          <w:lang w:val="ru-RU"/>
        </w:rPr>
      </w:r>
    </w:p>
    <w:p>
      <w:pPr>
        <w:pStyle w:val="1091"/>
        <w:numPr>
          <w:ilvl w:val="0"/>
          <w:numId w:val="8"/>
        </w:numPr>
        <w:ind w:left="0" w:firstLine="425"/>
        <w:jc w:val="both"/>
        <w:spacing w:line="276" w:lineRule="auto"/>
        <w:rPr>
          <w:lang w:val="ru-RU"/>
        </w:rPr>
      </w:pPr>
      <w:r>
        <w:rPr>
          <w:rFonts w:ascii="Arial Narrow" w:hAnsi="Arial Narrow" w:cs="Calibri"/>
          <w:sz w:val="24"/>
          <w:szCs w:val="24"/>
          <w:lang w:val="ru-RU"/>
        </w:rPr>
        <w:t xml:space="preserve">Регламент «Обеспечение работников молоком и другими равноценными пищевыми продуктами, лечебно-профилактическим питанием» от 20.02.2021, с изменениями от 07.09.2023;</w:t>
      </w:r>
      <w:r>
        <w:rPr>
          <w:lang w:val="ru-RU"/>
        </w:rPr>
      </w:r>
      <w:r>
        <w:rPr>
          <w:lang w:val="ru-RU"/>
        </w:rPr>
      </w:r>
    </w:p>
    <w:p>
      <w:pPr>
        <w:pStyle w:val="1091"/>
        <w:numPr>
          <w:ilvl w:val="0"/>
          <w:numId w:val="8"/>
        </w:numPr>
        <w:ind w:left="0" w:firstLine="425"/>
        <w:jc w:val="both"/>
        <w:spacing w:line="276" w:lineRule="auto"/>
        <w:rPr>
          <w:lang w:val="ru-RU"/>
        </w:rPr>
      </w:pPr>
      <w:r>
        <w:rPr>
          <w:rFonts w:ascii="Arial Narrow" w:hAnsi="Arial Narrow" w:cs="Calibri"/>
          <w:sz w:val="24"/>
          <w:szCs w:val="24"/>
          <w:lang w:val="ru-RU"/>
        </w:rPr>
        <w:t xml:space="preserve">Регламент процесса «Разработка, согласование, пересмотр, оформление, учет и хранение инструкций по охране труда» от 03.08.2022;</w:t>
      </w:r>
      <w:r>
        <w:rPr>
          <w:lang w:val="ru-RU"/>
        </w:rPr>
      </w:r>
      <w:r>
        <w:rPr>
          <w:lang w:val="ru-RU"/>
        </w:rPr>
      </w:r>
    </w:p>
    <w:p>
      <w:pPr>
        <w:pStyle w:val="1091"/>
        <w:numPr>
          <w:ilvl w:val="0"/>
          <w:numId w:val="8"/>
        </w:numPr>
        <w:ind w:left="0" w:firstLine="425"/>
        <w:jc w:val="both"/>
        <w:spacing w:line="276" w:lineRule="auto"/>
        <w:rPr>
          <w:lang w:val="ru-RU"/>
        </w:rPr>
      </w:pPr>
      <w:r>
        <w:rPr>
          <w:rFonts w:ascii="Arial Narrow" w:hAnsi="Arial Narrow" w:cs="Calibri"/>
          <w:sz w:val="24"/>
          <w:szCs w:val="24"/>
          <w:lang w:val="ru-RU"/>
        </w:rPr>
        <w:t xml:space="preserve">Регламент процесса «Допуск персонала подрядных организаций на объекты ПАО</w:t>
      </w:r>
      <w:r>
        <w:rPr>
          <w:rFonts w:ascii="Arial Narrow" w:hAnsi="Arial Narrow" w:cs="Calibri"/>
          <w:sz w:val="24"/>
          <w:szCs w:val="24"/>
        </w:rPr>
        <w:t xml:space="preserve"> </w:t>
      </w:r>
      <w:r>
        <w:rPr>
          <w:rFonts w:ascii="Arial Narrow" w:hAnsi="Arial Narrow" w:cs="Calibri"/>
          <w:sz w:val="24"/>
          <w:szCs w:val="24"/>
          <w:lang w:val="ru-RU"/>
        </w:rPr>
        <w:t xml:space="preserve">«Камчатскэнерго» от 05.06.2023;</w:t>
      </w:r>
      <w:r>
        <w:rPr>
          <w:lang w:val="ru-RU"/>
        </w:rPr>
      </w:r>
      <w:r>
        <w:rPr>
          <w:lang w:val="ru-RU"/>
        </w:rPr>
      </w:r>
    </w:p>
    <w:p>
      <w:pPr>
        <w:pStyle w:val="1091"/>
        <w:numPr>
          <w:ilvl w:val="0"/>
          <w:numId w:val="8"/>
        </w:numPr>
        <w:ind w:left="0" w:firstLine="425"/>
        <w:jc w:val="both"/>
        <w:spacing w:line="276" w:lineRule="auto"/>
        <w:rPr>
          <w:lang w:val="ru-RU"/>
        </w:rPr>
      </w:pPr>
      <w:r>
        <w:rPr>
          <w:rFonts w:ascii="Arial Narrow" w:hAnsi="Arial Narrow" w:cs="Calibri"/>
          <w:sz w:val="24"/>
          <w:szCs w:val="24"/>
          <w:lang w:val="ru-RU"/>
        </w:rPr>
        <w:t xml:space="preserve">Регламент управления профессиональными рисками от 17.03.2022;</w:t>
      </w:r>
      <w:r>
        <w:rPr>
          <w:lang w:val="ru-RU"/>
        </w:rPr>
      </w:r>
      <w:r>
        <w:rPr>
          <w:lang w:val="ru-RU"/>
        </w:rPr>
      </w:r>
    </w:p>
    <w:p>
      <w:pPr>
        <w:pStyle w:val="1091"/>
        <w:numPr>
          <w:ilvl w:val="0"/>
          <w:numId w:val="8"/>
        </w:numPr>
        <w:ind w:left="0" w:firstLine="425"/>
        <w:jc w:val="both"/>
        <w:spacing w:line="276" w:lineRule="auto"/>
        <w:rPr>
          <w:lang w:val="ru-RU"/>
        </w:rPr>
      </w:pPr>
      <w:r>
        <w:rPr>
          <w:rFonts w:ascii="Arial Narrow" w:hAnsi="Arial Narrow" w:cs="Calibri"/>
          <w:sz w:val="24"/>
          <w:szCs w:val="24"/>
          <w:lang w:val="ru-RU"/>
        </w:rPr>
        <w:t xml:space="preserve">Регламент процесса «Обеспечение работников средствами индивидуальной и коллективной защиты, смывающими и обезвреживающими средствами» от 23.08.2023;</w:t>
      </w:r>
      <w:r>
        <w:rPr>
          <w:lang w:val="ru-RU"/>
        </w:rPr>
      </w:r>
      <w:r>
        <w:rPr>
          <w:lang w:val="ru-RU"/>
        </w:rPr>
      </w:r>
    </w:p>
    <w:p>
      <w:pPr>
        <w:pStyle w:val="1091"/>
        <w:numPr>
          <w:ilvl w:val="0"/>
          <w:numId w:val="8"/>
        </w:numPr>
        <w:ind w:left="0" w:firstLine="425"/>
        <w:jc w:val="both"/>
        <w:spacing w:line="276" w:lineRule="auto"/>
        <w:rPr>
          <w:lang w:val="ru-RU"/>
        </w:rPr>
      </w:pPr>
      <w:r>
        <w:rPr>
          <w:rFonts w:ascii="Arial Narrow" w:hAnsi="Arial Narrow" w:cs="Calibri"/>
          <w:sz w:val="24"/>
          <w:szCs w:val="24"/>
          <w:lang w:val="ru-RU"/>
        </w:rPr>
        <w:t xml:space="preserve">Регламент «Организация и проведение оценки условий труда» от 21.01.2021;</w:t>
      </w:r>
      <w:r>
        <w:rPr>
          <w:lang w:val="ru-RU"/>
        </w:rPr>
      </w:r>
      <w:r>
        <w:rPr>
          <w:lang w:val="ru-RU"/>
        </w:rPr>
      </w:r>
    </w:p>
    <w:p>
      <w:pPr>
        <w:pStyle w:val="1091"/>
        <w:numPr>
          <w:ilvl w:val="0"/>
          <w:numId w:val="8"/>
        </w:numPr>
        <w:ind w:left="0" w:firstLine="425"/>
        <w:jc w:val="both"/>
        <w:spacing w:line="276" w:lineRule="auto"/>
        <w:rPr>
          <w:lang w:val="ru-RU"/>
        </w:rPr>
      </w:pPr>
      <w:r>
        <w:rPr>
          <w:rFonts w:ascii="Arial Narrow" w:hAnsi="Arial Narrow" w:cs="Calibri"/>
          <w:sz w:val="24"/>
          <w:szCs w:val="24"/>
          <w:lang w:val="ru-RU"/>
        </w:rPr>
        <w:t xml:space="preserve">Положение о процессе проведения Дня охраны труда в ПАО «Камчатскэнерго» от 31.01 2022;</w:t>
      </w:r>
      <w:r>
        <w:rPr>
          <w:lang w:val="ru-RU"/>
        </w:rPr>
      </w:r>
      <w:r>
        <w:rPr>
          <w:lang w:val="ru-RU"/>
        </w:rPr>
      </w:r>
    </w:p>
    <w:p>
      <w:pPr>
        <w:pStyle w:val="1091"/>
        <w:numPr>
          <w:ilvl w:val="0"/>
          <w:numId w:val="8"/>
        </w:numPr>
        <w:ind w:left="0" w:firstLine="425"/>
        <w:jc w:val="both"/>
        <w:spacing w:line="276" w:lineRule="auto"/>
        <w:rPr>
          <w:lang w:val="ru-RU"/>
        </w:rPr>
      </w:pPr>
      <w:r>
        <w:rPr>
          <w:rFonts w:ascii="Arial Narrow" w:hAnsi="Arial Narrow" w:cs="Calibri"/>
          <w:sz w:val="24"/>
          <w:szCs w:val="24"/>
          <w:lang w:val="ru-RU"/>
        </w:rPr>
        <w:t xml:space="preserve">Порядок работы с персоналом в ПАО «Камчатскэнерго»;</w:t>
      </w:r>
      <w:r>
        <w:rPr>
          <w:lang w:val="ru-RU"/>
        </w:rPr>
      </w:r>
      <w:r>
        <w:rPr>
          <w:lang w:val="ru-RU"/>
        </w:rPr>
      </w:r>
    </w:p>
    <w:p>
      <w:pPr>
        <w:pStyle w:val="1091"/>
        <w:numPr>
          <w:ilvl w:val="0"/>
          <w:numId w:val="8"/>
        </w:numPr>
        <w:ind w:left="0" w:firstLine="425"/>
        <w:jc w:val="both"/>
        <w:spacing w:line="276" w:lineRule="auto"/>
        <w:rPr>
          <w:lang w:val="ru-RU"/>
        </w:rPr>
      </w:pPr>
      <w:r>
        <w:rPr>
          <w:rFonts w:ascii="Arial Narrow" w:hAnsi="Arial Narrow" w:cs="Calibri"/>
          <w:sz w:val="24"/>
          <w:szCs w:val="24"/>
          <w:lang w:val="ru-RU"/>
        </w:rPr>
        <w:t xml:space="preserve">Порядок обучения по оказанию первой помощи пострадавшим в ПАО «Камчатскэнерго» от 17.07.2023;</w:t>
      </w:r>
      <w:r>
        <w:rPr>
          <w:lang w:val="ru-RU"/>
        </w:rPr>
      </w:r>
      <w:r>
        <w:rPr>
          <w:lang w:val="ru-RU"/>
        </w:rPr>
      </w:r>
    </w:p>
    <w:p>
      <w:pPr>
        <w:pStyle w:val="1091"/>
        <w:numPr>
          <w:ilvl w:val="0"/>
          <w:numId w:val="8"/>
        </w:numPr>
        <w:ind w:left="0" w:firstLine="425"/>
        <w:jc w:val="both"/>
        <w:spacing w:line="276" w:lineRule="auto"/>
        <w:rPr>
          <w:lang w:val="ru-RU"/>
        </w:rPr>
      </w:pPr>
      <w:r>
        <w:rPr>
          <w:rFonts w:ascii="Arial Narrow" w:hAnsi="Arial Narrow" w:cs="Calibri"/>
          <w:sz w:val="24"/>
          <w:szCs w:val="24"/>
          <w:lang w:val="ru-RU"/>
        </w:rPr>
        <w:t xml:space="preserve">Другие локальные нормативные акты Общества (ОРД, инструкции по охране труда, акты – предписания по результатам проверок рабочих мест, протоколы совещаний, должностные инструкции и положения о структурных подразделениях).</w:t>
      </w:r>
      <w:r>
        <w:rPr>
          <w:lang w:val="ru-RU"/>
        </w:rPr>
      </w:r>
      <w:r>
        <w:rPr>
          <w:lang w:val="ru-RU"/>
        </w:rPr>
      </w:r>
    </w:p>
    <w:p>
      <w:pPr>
        <w:pStyle w:val="1063"/>
        <w:jc w:val="both"/>
        <w:tabs>
          <w:tab w:val="left" w:pos="566" w:leader="none"/>
          <w:tab w:val="left" w:pos="850" w:leader="none"/>
        </w:tabs>
        <w:rPr>
          <w:rFonts w:ascii="Arial Narrow" w:hAnsi="Arial Narrow" w:cs="Calibri"/>
          <w:color w:val="314e87"/>
          <w:sz w:val="12"/>
          <w:szCs w:val="12"/>
        </w:rPr>
      </w:pPr>
      <w:r>
        <w:rPr>
          <w:rFonts w:ascii="Arial Narrow" w:hAnsi="Arial Narrow" w:cs="Calibri"/>
          <w:color w:val="314e87"/>
          <w:sz w:val="12"/>
          <w:szCs w:val="12"/>
        </w:rPr>
      </w:r>
      <w:r>
        <w:rPr>
          <w:rFonts w:ascii="Arial Narrow" w:hAnsi="Arial Narrow" w:cs="Calibri"/>
          <w:color w:val="314e87"/>
          <w:sz w:val="12"/>
          <w:szCs w:val="12"/>
        </w:rPr>
      </w:r>
      <w:r>
        <w:rPr>
          <w:rFonts w:ascii="Arial Narrow" w:hAnsi="Arial Narrow" w:cs="Calibri"/>
          <w:color w:val="314e87"/>
          <w:sz w:val="12"/>
          <w:szCs w:val="12"/>
        </w:rPr>
      </w:r>
    </w:p>
    <w:p>
      <w:pPr>
        <w:pStyle w:val="1063"/>
        <w:jc w:val="both"/>
        <w:spacing w:after="120"/>
        <w:tabs>
          <w:tab w:val="left" w:pos="566" w:leader="none"/>
          <w:tab w:val="left" w:pos="850" w:leader="none"/>
        </w:tabs>
        <w:rPr>
          <w:b/>
        </w:rPr>
      </w:pPr>
      <w:r>
        <w:rPr>
          <w:rFonts w:ascii="Arial Narrow" w:hAnsi="Arial Narrow" w:cs="Calibri"/>
          <w:b/>
          <w:color w:val="314e87"/>
        </w:rPr>
        <w:t xml:space="preserve">Основные мероприятия, направленных на улучшение условий и охраны труда</w:t>
      </w:r>
      <w:r>
        <w:rPr>
          <w:b/>
        </w:rPr>
      </w:r>
      <w:r>
        <w:rPr>
          <w:b/>
        </w:rPr>
      </w:r>
    </w:p>
    <w:p>
      <w:pPr>
        <w:pStyle w:val="1063"/>
        <w:ind w:firstLine="567"/>
        <w:jc w:val="both"/>
        <w:tabs>
          <w:tab w:val="left" w:pos="850" w:leader="none"/>
        </w:tabs>
      </w:pPr>
      <w:r>
        <w:rPr>
          <w:rFonts w:ascii="Arial Narrow" w:hAnsi="Arial Narrow" w:cs="Calibri"/>
        </w:rPr>
        <w:t xml:space="preserve">В ПАО «Камчатскэнерго» организована работа по предупреждению травм на производстве, проводится в соответствии с требованиями законодательства Российской Федерации и с учетом организационно-распорядительных документов ПАО «РусГидро».</w:t>
      </w:r>
      <w:r/>
    </w:p>
    <w:p>
      <w:pPr>
        <w:pStyle w:val="1063"/>
        <w:ind w:firstLine="567"/>
        <w:jc w:val="both"/>
        <w:tabs>
          <w:tab w:val="left" w:pos="850" w:leader="none"/>
        </w:tabs>
      </w:pPr>
      <w:r>
        <w:rPr>
          <w:rFonts w:ascii="Arial Narrow" w:hAnsi="Arial Narrow" w:cs="Calibri"/>
        </w:rPr>
        <w:t xml:space="preserve">В целях организации безопасных условий труда, предупреждения травматизма и профзаболеваний в Обществе, а также для обеспечения надежной работы оборудования, предупреждения аварий, обеспечения готовности Общества к локализации и</w:t>
      </w:r>
      <w:r>
        <w:rPr>
          <w:rFonts w:ascii="Arial Narrow" w:hAnsi="Arial Narrow" w:cs="Calibri"/>
        </w:rPr>
        <w:t xml:space="preserve"> ликвидации последствий аварий на энергетическом оборудовании в ПАО «Камчатскэнерго» создано Управление охраны труда, производственного контроля и экологии (далее – УОТПКиЭ). В филиалах ПАО «Камчатскэнерго» созданы отделы (службы) с аналогичными функциями.</w:t>
      </w:r>
      <w:r/>
    </w:p>
    <w:p>
      <w:pPr>
        <w:pStyle w:val="1063"/>
        <w:ind w:firstLine="567"/>
        <w:jc w:val="both"/>
        <w:tabs>
          <w:tab w:val="left" w:pos="850" w:leader="none"/>
        </w:tabs>
      </w:pPr>
      <w:r>
        <w:rPr>
          <w:rFonts w:ascii="Arial Narrow" w:hAnsi="Arial Narrow" w:cs="Calibri"/>
        </w:rPr>
        <w:t xml:space="preserve">Ежегодно в филиалах Общества проводятся смотры-конкурсы по охране труда, по</w:t>
      </w:r>
      <w:r>
        <w:rPr>
          <w:rFonts w:ascii="Arial Narrow" w:hAnsi="Arial Narrow" w:cs="Calibri"/>
        </w:rPr>
        <w:t xml:space="preserve">жарной безопасности. Ежемесячно проводятся Дни охраны труда и пожарной безопасности (ДОТиПБ), в том числе один раз в квартал День охраны труда и пожарной безопасности по программе, единой для всех филиалов и подконтрольных обществ ПАО «РусГидро» (ЕДОТиПБ).</w:t>
      </w:r>
      <w:r/>
    </w:p>
    <w:p>
      <w:pPr>
        <w:pStyle w:val="1063"/>
        <w:ind w:firstLine="567"/>
        <w:jc w:val="both"/>
        <w:tabs>
          <w:tab w:val="left" w:pos="850" w:leader="none"/>
        </w:tabs>
      </w:pPr>
      <w:r>
        <w:rPr>
          <w:rFonts w:ascii="Arial Narrow" w:hAnsi="Arial Narrow" w:cs="Calibri"/>
        </w:rPr>
        <w:t xml:space="preserve">Руководители и специалисты ПАО «Камчатскэнерго» проводят регулярные проверки рабочих м</w:t>
      </w:r>
      <w:r>
        <w:rPr>
          <w:rFonts w:ascii="Arial Narrow" w:hAnsi="Arial Narrow" w:cs="Calibri"/>
        </w:rPr>
        <w:t xml:space="preserve">ест и работающих бригад с целью выявления отклонений от требований нормативных документов по охране труда. По результатам проверок выпускаются приказы по филиалам об устранении замечаний и приведению рабочих мест в соответствие с требованиями охраны труда.</w:t>
      </w:r>
      <w:r/>
    </w:p>
    <w:p>
      <w:pPr>
        <w:pStyle w:val="1063"/>
        <w:ind w:firstLine="567"/>
        <w:jc w:val="both"/>
        <w:tabs>
          <w:tab w:val="left" w:pos="850" w:leader="none"/>
        </w:tabs>
      </w:pPr>
      <w:r>
        <w:rPr>
          <w:rFonts w:ascii="Arial Narrow" w:hAnsi="Arial Narrow" w:cs="Calibri"/>
        </w:rPr>
        <w:t xml:space="preserve">Помимо этого, в Обществе проводится специальная оценка условий труда.</w:t>
      </w:r>
      <w:r/>
    </w:p>
    <w:p>
      <w:pPr>
        <w:pStyle w:val="1063"/>
        <w:ind w:firstLine="567"/>
        <w:jc w:val="both"/>
        <w:tabs>
          <w:tab w:val="left" w:pos="850" w:leader="none"/>
        </w:tabs>
      </w:pPr>
      <w:r>
        <w:rPr>
          <w:rFonts w:ascii="Arial Narrow" w:hAnsi="Arial Narrow" w:cs="Calibri"/>
        </w:rPr>
        <w:t xml:space="preserve">Специальная оценка условий труда (СОУТ) велась аккредитованными в государственных органах по труду организациями по планам филиалов (в соответствии Федер</w:t>
      </w:r>
      <w:r>
        <w:rPr>
          <w:rFonts w:ascii="Arial Narrow" w:hAnsi="Arial Narrow" w:cs="Calibri"/>
        </w:rPr>
        <w:t xml:space="preserve">альным законом Российской Федерации от 28.12.2013 № 426-ФЗ «О специальной оценке условий труда», а также Методикой проведения специальной оценки условий труда, утвержденной приказом Минтруда и социального развития Российской Федерации от 24.01.2014 № 33н).</w:t>
      </w:r>
      <w:r/>
    </w:p>
    <w:p>
      <w:pPr>
        <w:pStyle w:val="1063"/>
        <w:ind w:firstLine="567"/>
        <w:jc w:val="both"/>
        <w:tabs>
          <w:tab w:val="left" w:pos="850" w:leader="none"/>
        </w:tabs>
      </w:pPr>
      <w:r>
        <w:rPr>
          <w:rFonts w:ascii="Arial Narrow" w:hAnsi="Arial Narrow" w:cs="Calibri"/>
        </w:rPr>
        <w:t xml:space="preserve">Общее количество рабочих мест, на которых проведена специальная оценка условий труда, составило 2523 РМ. Работа ведется в соответствии с графиками с периодичностью один раз в 5 лет. В 2024 году СОУТ проведена на 624 рабочих местах.</w:t>
      </w:r>
      <w:r/>
    </w:p>
    <w:p>
      <w:pPr>
        <w:pStyle w:val="1063"/>
        <w:ind w:firstLine="567"/>
        <w:jc w:val="both"/>
        <w:tabs>
          <w:tab w:val="left" w:pos="850" w:leader="none"/>
        </w:tabs>
      </w:pPr>
      <w:r>
        <w:rPr>
          <w:rFonts w:ascii="Arial Narrow" w:hAnsi="Arial Narrow" w:cs="Calibri"/>
        </w:rPr>
        <w:t xml:space="preserve">На конец 2024 года количество рабочих мест, не соответствующих нормативным условиям труда, составило 1 213, на данных рабочих местах было занято 2 403 человек.</w:t>
      </w:r>
      <w:r/>
    </w:p>
    <w:p>
      <w:pPr>
        <w:pStyle w:val="1063"/>
        <w:ind w:firstLine="567"/>
        <w:jc w:val="both"/>
        <w:tabs>
          <w:tab w:val="left" w:pos="850" w:leader="none"/>
        </w:tabs>
      </w:pPr>
      <w:r>
        <w:rPr>
          <w:rFonts w:ascii="Arial Narrow" w:hAnsi="Arial Narrow" w:cs="Calibri"/>
        </w:rPr>
        <w:t xml:space="preserve">С учетом данных СОУТ, результатов производственного контроля за состоянием условий и охраны труда в ПАО «Камчатскэнерго» проведена работа</w:t>
      </w:r>
      <w:r>
        <w:rPr>
          <w:rFonts w:ascii="Arial Narrow" w:hAnsi="Arial Narrow" w:cs="Calibri"/>
          <w:lang w:eastAsia="ru-RU"/>
        </w:rPr>
        <w:t xml:space="preserve"> по идентификации опасностей и оценки рисков для всех рабочих мест. </w:t>
      </w:r>
      <w:r>
        <w:rPr>
          <w:rFonts w:ascii="Arial Narrow" w:hAnsi="Arial Narrow" w:cs="Calibri"/>
        </w:rPr>
        <w:t xml:space="preserve">На основе установленной вероятности событий и тяжести последствий определены величины рисков. Результаты оценки рисков занесены в</w:t>
      </w:r>
      <w:r>
        <w:rPr>
          <w:rFonts w:ascii="Arial Narrow" w:hAnsi="Arial Narrow" w:cs="Calibri"/>
        </w:rPr>
        <w:t xml:space="preserve"> карты с указанием уровней рисков. С результатами оценки рисков проведено ознакомление работников под подпись в картах идентификации опасностей и оценки рисков. Работа по анализу и пересмотру профессиональных рисков работников ведется на постоянной основе.</w:t>
      </w:r>
      <w:r/>
    </w:p>
    <w:p>
      <w:pPr>
        <w:pStyle w:val="1063"/>
        <w:ind w:firstLine="567"/>
        <w:jc w:val="both"/>
        <w:tabs>
          <w:tab w:val="left" w:pos="850" w:leader="none"/>
        </w:tabs>
      </w:pPr>
      <w:r>
        <w:rPr>
          <w:rFonts w:ascii="Arial Narrow" w:hAnsi="Arial Narrow" w:cs="Calibri"/>
        </w:rPr>
        <w:t xml:space="preserve">Наиболее важными задачами руководителей и специалистов Исполнительного аппарата и филиалов ПАО «Камчатскэнерго» по предупреждению аварийности и снижения травматизма являются:</w:t>
      </w:r>
      <w:r/>
    </w:p>
    <w:p>
      <w:pPr>
        <w:pStyle w:val="1091"/>
        <w:numPr>
          <w:ilvl w:val="0"/>
          <w:numId w:val="8"/>
        </w:numPr>
        <w:ind w:left="0" w:firstLine="567"/>
        <w:jc w:val="both"/>
        <w:spacing w:line="276" w:lineRule="auto"/>
        <w:tabs>
          <w:tab w:val="left" w:pos="850" w:leader="none"/>
        </w:tabs>
        <w:rPr>
          <w:lang w:val="ru-RU"/>
        </w:rPr>
      </w:pPr>
      <w:r>
        <w:rPr>
          <w:rFonts w:ascii="Arial Narrow" w:hAnsi="Arial Narrow" w:cs="Calibri"/>
          <w:sz w:val="24"/>
          <w:szCs w:val="24"/>
          <w:lang w:val="ru-RU"/>
        </w:rPr>
        <w:t xml:space="preserve">улучшение технического обслуживания оборудования, приведение оборудования в соответствие с правилами (надписи, четкость схем и их соответствие фактическому состоянию, удобство обслуживания для персонала);</w:t>
      </w:r>
      <w:r>
        <w:rPr>
          <w:lang w:val="ru-RU"/>
        </w:rPr>
      </w:r>
      <w:r>
        <w:rPr>
          <w:lang w:val="ru-RU"/>
        </w:rPr>
      </w:r>
    </w:p>
    <w:p>
      <w:pPr>
        <w:pStyle w:val="1091"/>
        <w:numPr>
          <w:ilvl w:val="0"/>
          <w:numId w:val="8"/>
        </w:numPr>
        <w:ind w:left="0" w:firstLine="567"/>
        <w:jc w:val="both"/>
        <w:spacing w:line="276" w:lineRule="auto"/>
        <w:tabs>
          <w:tab w:val="left" w:pos="850" w:leader="none"/>
        </w:tabs>
        <w:rPr>
          <w:lang w:val="ru-RU"/>
        </w:rPr>
      </w:pPr>
      <w:r>
        <w:rPr>
          <w:rFonts w:ascii="Arial Narrow" w:hAnsi="Arial Narrow" w:cs="Calibri"/>
          <w:sz w:val="24"/>
          <w:szCs w:val="24"/>
          <w:lang w:val="ru-RU"/>
        </w:rPr>
        <w:t xml:space="preserve">планомерная замена морально и физически устаревшего оборудования, воздушных и кабельных ЛЭП;</w:t>
      </w:r>
      <w:r>
        <w:rPr>
          <w:lang w:val="ru-RU"/>
        </w:rPr>
      </w:r>
      <w:r>
        <w:rPr>
          <w:lang w:val="ru-RU"/>
        </w:rPr>
      </w:r>
    </w:p>
    <w:p>
      <w:pPr>
        <w:pStyle w:val="1091"/>
        <w:numPr>
          <w:ilvl w:val="0"/>
          <w:numId w:val="8"/>
        </w:numPr>
        <w:ind w:left="0" w:firstLine="567"/>
        <w:jc w:val="both"/>
        <w:spacing w:line="276" w:lineRule="auto"/>
        <w:tabs>
          <w:tab w:val="left" w:pos="850" w:leader="none"/>
        </w:tabs>
        <w:rPr>
          <w:lang w:val="ru-RU"/>
        </w:rPr>
      </w:pPr>
      <w:r>
        <w:rPr>
          <w:rFonts w:ascii="Arial Narrow" w:hAnsi="Arial Narrow" w:cs="Calibri"/>
          <w:sz w:val="24"/>
          <w:szCs w:val="24"/>
          <w:lang w:val="ru-RU"/>
        </w:rPr>
        <w:t xml:space="preserve">повышение контроля за приемкой оборудования из ремонтов;</w:t>
      </w:r>
      <w:r>
        <w:rPr>
          <w:lang w:val="ru-RU"/>
        </w:rPr>
      </w:r>
      <w:r>
        <w:rPr>
          <w:lang w:val="ru-RU"/>
        </w:rPr>
      </w:r>
    </w:p>
    <w:p>
      <w:pPr>
        <w:pStyle w:val="1091"/>
        <w:numPr>
          <w:ilvl w:val="0"/>
          <w:numId w:val="8"/>
        </w:numPr>
        <w:ind w:left="0" w:firstLine="567"/>
        <w:jc w:val="both"/>
        <w:spacing w:line="276" w:lineRule="auto"/>
        <w:tabs>
          <w:tab w:val="left" w:pos="850" w:leader="none"/>
        </w:tabs>
        <w:rPr>
          <w:lang w:val="ru-RU"/>
        </w:rPr>
      </w:pPr>
      <w:r>
        <w:rPr>
          <w:rFonts w:ascii="Arial Narrow" w:hAnsi="Arial Narrow" w:cs="Calibri"/>
          <w:sz w:val="24"/>
          <w:szCs w:val="24"/>
          <w:lang w:val="ru-RU"/>
        </w:rPr>
        <w:t xml:space="preserve">модернизация, техническое перевооружение и реконструкция по следующим направлениям: замена масляных выключателей на элегазовые и вакуумные,</w:t>
      </w:r>
      <w:r>
        <w:rPr>
          <w:rFonts w:ascii="Arial Narrow" w:hAnsi="Arial Narrow" w:cs="Calibri"/>
          <w:sz w:val="24"/>
          <w:szCs w:val="24"/>
          <w:lang w:val="ru-RU"/>
        </w:rPr>
        <w:t xml:space="preserve"> выполнение многолетнего графика замены фарфоровых опорно-стержневых изоляторов разъединителей 35-110 кВ на полимерные, внедрение современных микропроцессорных устройств РЗА и современных устройств связи, увеличение объема телемеханизации подстанций 35-110</w:t>
      </w:r>
      <w:r>
        <w:rPr>
          <w:rFonts w:ascii="Arial Narrow" w:hAnsi="Arial Narrow" w:cs="Calibri"/>
          <w:sz w:val="24"/>
          <w:szCs w:val="24"/>
        </w:rPr>
        <w:t xml:space="preserve"> </w:t>
      </w:r>
      <w:r>
        <w:rPr>
          <w:rFonts w:ascii="Arial Narrow" w:hAnsi="Arial Narrow" w:cs="Calibri"/>
          <w:sz w:val="24"/>
          <w:szCs w:val="24"/>
          <w:lang w:val="ru-RU"/>
        </w:rPr>
        <w:t xml:space="preserve">кВ;</w:t>
      </w:r>
      <w:r>
        <w:rPr>
          <w:lang w:val="ru-RU"/>
        </w:rPr>
      </w:r>
      <w:r>
        <w:rPr>
          <w:lang w:val="ru-RU"/>
        </w:rPr>
      </w:r>
    </w:p>
    <w:p>
      <w:pPr>
        <w:pStyle w:val="1091"/>
        <w:numPr>
          <w:ilvl w:val="0"/>
          <w:numId w:val="8"/>
        </w:numPr>
        <w:ind w:left="0" w:firstLine="567"/>
        <w:jc w:val="both"/>
        <w:spacing w:line="276" w:lineRule="auto"/>
        <w:tabs>
          <w:tab w:val="left" w:pos="850" w:leader="none"/>
        </w:tabs>
        <w:rPr>
          <w:lang w:val="ru-RU"/>
        </w:rPr>
      </w:pPr>
      <w:r>
        <w:rPr>
          <w:rFonts w:ascii="Arial Narrow" w:hAnsi="Arial Narrow" w:cs="Calibri"/>
          <w:sz w:val="24"/>
          <w:szCs w:val="24"/>
          <w:lang w:val="ru-RU"/>
        </w:rPr>
        <w:t xml:space="preserve">повышение готовности персонала к действиям в нормальных и аварийных режимах (повышение </w:t>
      </w:r>
      <w:r>
        <w:rPr>
          <w:rFonts w:ascii="Arial Narrow" w:hAnsi="Arial Narrow" w:cs="Calibri"/>
          <w:sz w:val="24"/>
          <w:szCs w:val="24"/>
          <w:lang w:val="ru-RU"/>
        </w:rPr>
        <w:t xml:space="preserve">качества специальной подготовки, инструктажей, непрерывной профессиональной подготовки и противоаварийных тренировок, повышение качества проверки знаний, усиление контроля со стороны руководителей по ведению режима работы, переключений, приема-сдачи смен);</w:t>
      </w:r>
      <w:r>
        <w:rPr>
          <w:lang w:val="ru-RU"/>
        </w:rPr>
      </w:r>
      <w:r>
        <w:rPr>
          <w:lang w:val="ru-RU"/>
        </w:rPr>
      </w:r>
    </w:p>
    <w:p>
      <w:pPr>
        <w:pStyle w:val="1091"/>
        <w:numPr>
          <w:ilvl w:val="0"/>
          <w:numId w:val="8"/>
        </w:numPr>
        <w:ind w:left="0" w:firstLine="567"/>
        <w:jc w:val="both"/>
        <w:spacing w:line="276" w:lineRule="auto"/>
        <w:tabs>
          <w:tab w:val="left" w:pos="850" w:leader="none"/>
        </w:tabs>
        <w:rPr>
          <w:lang w:val="ru-RU"/>
        </w:rPr>
      </w:pPr>
      <w:r>
        <w:rPr>
          <w:rFonts w:ascii="Arial Narrow" w:hAnsi="Arial Narrow" w:cs="Calibri"/>
          <w:sz w:val="24"/>
          <w:szCs w:val="24"/>
          <w:lang w:val="ru-RU"/>
        </w:rPr>
        <w:t xml:space="preserve">повышение ответственности персонала всех уровней за нарушения должностных и производственных инструкций, инструкций и норм по ОТ;</w:t>
      </w:r>
      <w:r>
        <w:rPr>
          <w:lang w:val="ru-RU"/>
        </w:rPr>
      </w:r>
      <w:r>
        <w:rPr>
          <w:lang w:val="ru-RU"/>
        </w:rPr>
      </w:r>
    </w:p>
    <w:p>
      <w:pPr>
        <w:pStyle w:val="1091"/>
        <w:numPr>
          <w:ilvl w:val="0"/>
          <w:numId w:val="8"/>
        </w:numPr>
        <w:ind w:left="0" w:firstLine="567"/>
        <w:jc w:val="both"/>
        <w:spacing w:line="276" w:lineRule="auto"/>
        <w:tabs>
          <w:tab w:val="left" w:pos="850" w:leader="none"/>
        </w:tabs>
      </w:pPr>
      <w:r>
        <w:rPr>
          <w:rFonts w:ascii="Arial Narrow" w:hAnsi="Arial Narrow" w:cs="Calibri"/>
          <w:sz w:val="24"/>
          <w:szCs w:val="24"/>
        </w:rPr>
        <w:t xml:space="preserve">улучшение качества эксплуатационной документации;</w:t>
      </w:r>
      <w:r/>
    </w:p>
    <w:p>
      <w:pPr>
        <w:pStyle w:val="1091"/>
        <w:numPr>
          <w:ilvl w:val="0"/>
          <w:numId w:val="8"/>
        </w:numPr>
        <w:ind w:left="0" w:firstLine="567"/>
        <w:jc w:val="both"/>
        <w:spacing w:line="276" w:lineRule="auto"/>
        <w:tabs>
          <w:tab w:val="left" w:pos="850" w:leader="none"/>
        </w:tabs>
        <w:rPr>
          <w:lang w:val="ru-RU"/>
        </w:rPr>
      </w:pPr>
      <w:r>
        <w:rPr>
          <w:rFonts w:ascii="Arial Narrow" w:hAnsi="Arial Narrow" w:cs="Calibri"/>
          <w:sz w:val="24"/>
          <w:szCs w:val="24"/>
          <w:lang w:val="ru-RU"/>
        </w:rPr>
        <w:t xml:space="preserve">повышение качества и результативности самоаудита (проверки работающих бригад, обходы рабочих мест, непрерывный технический аудит, тематические проверки и т. п.);</w:t>
      </w:r>
      <w:r>
        <w:rPr>
          <w:lang w:val="ru-RU"/>
        </w:rPr>
      </w:r>
      <w:r>
        <w:rPr>
          <w:lang w:val="ru-RU"/>
        </w:rPr>
      </w:r>
    </w:p>
    <w:p>
      <w:pPr>
        <w:pStyle w:val="1091"/>
        <w:numPr>
          <w:ilvl w:val="0"/>
          <w:numId w:val="8"/>
        </w:numPr>
        <w:ind w:left="0" w:firstLine="567"/>
        <w:jc w:val="both"/>
        <w:spacing w:line="276" w:lineRule="auto"/>
        <w:tabs>
          <w:tab w:val="left" w:pos="850" w:leader="none"/>
        </w:tabs>
        <w:rPr>
          <w:lang w:val="ru-RU"/>
        </w:rPr>
      </w:pPr>
      <w:r>
        <w:rPr>
          <w:rFonts w:ascii="Arial Narrow" w:hAnsi="Arial Narrow" w:cs="Calibri"/>
          <w:sz w:val="24"/>
          <w:szCs w:val="24"/>
          <w:lang w:val="ru-RU"/>
        </w:rPr>
        <w:t xml:space="preserve">обеспечение регулярного доведения вопросов производственной безопасности и охраны труда до сведения всего персонала Общества с использованием внутрикорпоративных средств коммуникации и регламентов взаимодействия менеджмента и персонала.</w:t>
      </w:r>
      <w:r>
        <w:rPr>
          <w:lang w:val="ru-RU"/>
        </w:rPr>
      </w:r>
      <w:r>
        <w:rPr>
          <w:lang w:val="ru-RU"/>
        </w:rPr>
      </w:r>
    </w:p>
    <w:p>
      <w:pPr>
        <w:pStyle w:val="1063"/>
        <w:ind w:firstLine="567"/>
        <w:jc w:val="both"/>
        <w:tabs>
          <w:tab w:val="left" w:pos="850" w:leader="none"/>
        </w:tabs>
      </w:pPr>
      <w:r>
        <w:rPr>
          <w:rFonts w:ascii="Arial Narrow" w:hAnsi="Arial Narrow" w:cs="Calibri"/>
        </w:rPr>
        <w:t xml:space="preserve">В 2024 году Социальным фондом России для финансового обеспечения преду</w:t>
      </w:r>
      <w:r>
        <w:rPr>
          <w:rFonts w:ascii="Arial Narrow" w:hAnsi="Arial Narrow" w:cs="Calibri"/>
        </w:rPr>
        <w:t xml:space="preserve">предительных мер по сокращению производственного травматизма и профзаболеваний возмещено 2 181 085,35 рублей (решение СФР от 06.12.2024 № 224-Ф), израсходованных на проведение обязательных периодических медицинских осмотров работников ПАО «Камчатскэнерго».</w:t>
      </w:r>
      <w:r/>
    </w:p>
    <w:p>
      <w:pPr>
        <w:pStyle w:val="1063"/>
        <w:jc w:val="both"/>
        <w:tabs>
          <w:tab w:val="left" w:pos="566" w:leader="none"/>
          <w:tab w:val="left" w:pos="850" w:leader="none"/>
        </w:tabs>
        <w:rPr>
          <w:rFonts w:ascii="Arial Narrow" w:hAnsi="Arial Narrow" w:cs="Calibri"/>
          <w:color w:val="314e87"/>
          <w:sz w:val="12"/>
          <w:szCs w:val="12"/>
        </w:rPr>
      </w:pPr>
      <w:r>
        <w:rPr>
          <w:rFonts w:ascii="Arial Narrow" w:hAnsi="Arial Narrow" w:cs="Calibri"/>
          <w:color w:val="314e87"/>
          <w:sz w:val="12"/>
          <w:szCs w:val="12"/>
        </w:rPr>
      </w:r>
      <w:r>
        <w:rPr>
          <w:rFonts w:ascii="Arial Narrow" w:hAnsi="Arial Narrow" w:cs="Calibri"/>
          <w:color w:val="314e87"/>
          <w:sz w:val="12"/>
          <w:szCs w:val="12"/>
        </w:rPr>
      </w:r>
      <w:r>
        <w:rPr>
          <w:rFonts w:ascii="Arial Narrow" w:hAnsi="Arial Narrow" w:cs="Calibri"/>
          <w:color w:val="314e87"/>
          <w:sz w:val="12"/>
          <w:szCs w:val="12"/>
        </w:rPr>
      </w:r>
    </w:p>
    <w:p>
      <w:pPr>
        <w:pStyle w:val="1063"/>
        <w:jc w:val="both"/>
        <w:spacing w:after="120"/>
        <w:tabs>
          <w:tab w:val="left" w:pos="566" w:leader="none"/>
          <w:tab w:val="left" w:pos="850" w:leader="none"/>
        </w:tabs>
        <w:rPr>
          <w:b/>
        </w:rPr>
      </w:pPr>
      <w:r>
        <w:rPr>
          <w:rFonts w:ascii="Arial Narrow" w:hAnsi="Arial Narrow" w:cs="Calibri"/>
          <w:b/>
          <w:color w:val="314e87"/>
        </w:rPr>
        <w:t xml:space="preserve">Затраты на охрану труда</w:t>
      </w:r>
      <w:r>
        <w:rPr>
          <w:b/>
        </w:rPr>
      </w:r>
      <w:r>
        <w:rPr>
          <w:b/>
        </w:rPr>
      </w:r>
    </w:p>
    <w:p>
      <w:pPr>
        <w:pStyle w:val="1063"/>
        <w:ind w:firstLine="567"/>
        <w:jc w:val="both"/>
        <w:tabs>
          <w:tab w:val="left" w:pos="850" w:leader="none"/>
        </w:tabs>
      </w:pPr>
      <w:r>
        <w:rPr>
          <w:rFonts w:ascii="Arial Narrow" w:hAnsi="Arial Narrow" w:cs="Calibri"/>
        </w:rPr>
        <w:t xml:space="preserve">Всего за отчетный период 2024 года затраты на мероприятия по охране труда в ПАО</w:t>
      </w:r>
      <w:r>
        <w:rPr>
          <w:rFonts w:ascii="Arial Narrow" w:hAnsi="Arial Narrow" w:cs="Calibri"/>
          <w:lang w:val="en-US"/>
        </w:rPr>
        <w:t xml:space="preserve"> </w:t>
      </w:r>
      <w:r>
        <w:rPr>
          <w:rFonts w:ascii="Arial Narrow" w:hAnsi="Arial Narrow" w:cs="Calibri"/>
        </w:rPr>
        <w:t xml:space="preserve">«Камчатскэнерго» составили 162 930,4 тыс. рублей (в 2023 году 152 550 тыс. рублей), в том числе:</w:t>
      </w:r>
      <w:r/>
    </w:p>
    <w:p>
      <w:pPr>
        <w:pStyle w:val="1091"/>
        <w:numPr>
          <w:ilvl w:val="0"/>
          <w:numId w:val="8"/>
        </w:numPr>
        <w:ind w:left="0" w:firstLine="567"/>
        <w:jc w:val="both"/>
        <w:spacing w:line="276" w:lineRule="auto"/>
        <w:tabs>
          <w:tab w:val="left" w:pos="850" w:leader="none"/>
        </w:tabs>
        <w:rPr>
          <w:lang w:val="ru-RU"/>
        </w:rPr>
      </w:pPr>
      <w:r>
        <w:rPr>
          <w:rFonts w:ascii="Arial Narrow" w:hAnsi="Arial Narrow" w:cs="Calibri"/>
          <w:sz w:val="24"/>
          <w:szCs w:val="24"/>
          <w:lang w:val="ru-RU"/>
        </w:rPr>
        <w:t xml:space="preserve">на мероприятия по предупреждению несчастных случаев – 11 391,8 тыс. рублей;</w:t>
      </w:r>
      <w:r>
        <w:rPr>
          <w:lang w:val="ru-RU"/>
        </w:rPr>
      </w:r>
      <w:r>
        <w:rPr>
          <w:lang w:val="ru-RU"/>
        </w:rPr>
      </w:r>
    </w:p>
    <w:p>
      <w:pPr>
        <w:pStyle w:val="1091"/>
        <w:numPr>
          <w:ilvl w:val="0"/>
          <w:numId w:val="8"/>
        </w:numPr>
        <w:ind w:left="0" w:firstLine="567"/>
        <w:jc w:val="both"/>
        <w:spacing w:line="276" w:lineRule="auto"/>
        <w:tabs>
          <w:tab w:val="left" w:pos="850" w:leader="none"/>
        </w:tabs>
        <w:rPr>
          <w:lang w:val="ru-RU"/>
        </w:rPr>
      </w:pPr>
      <w:r>
        <w:rPr>
          <w:rFonts w:ascii="Arial Narrow" w:hAnsi="Arial Narrow" w:cs="Calibri"/>
          <w:sz w:val="24"/>
          <w:szCs w:val="24"/>
          <w:lang w:val="ru-RU"/>
        </w:rPr>
        <w:t xml:space="preserve">на проведение санитарно-гигиенических мероприятий по предупреждению заболеваний на производстве – 27 816,00 тыс. рублей;</w:t>
      </w:r>
      <w:r>
        <w:rPr>
          <w:lang w:val="ru-RU"/>
        </w:rPr>
      </w:r>
      <w:r>
        <w:rPr>
          <w:lang w:val="ru-RU"/>
        </w:rPr>
      </w:r>
    </w:p>
    <w:p>
      <w:pPr>
        <w:pStyle w:val="1091"/>
        <w:numPr>
          <w:ilvl w:val="0"/>
          <w:numId w:val="8"/>
        </w:numPr>
        <w:ind w:left="0" w:firstLine="567"/>
        <w:jc w:val="both"/>
        <w:spacing w:line="276" w:lineRule="auto"/>
        <w:tabs>
          <w:tab w:val="left" w:pos="850" w:leader="none"/>
        </w:tabs>
        <w:rPr>
          <w:lang w:val="ru-RU"/>
        </w:rPr>
      </w:pPr>
      <w:r>
        <w:rPr>
          <w:rFonts w:ascii="Arial Narrow" w:hAnsi="Arial Narrow" w:cs="Calibri"/>
          <w:sz w:val="24"/>
          <w:szCs w:val="24"/>
          <w:lang w:val="ru-RU"/>
        </w:rPr>
        <w:t xml:space="preserve">на мероприятия по общему улучшению условий труда – 25 334,6 тыс. рублей;</w:t>
      </w:r>
      <w:r>
        <w:rPr>
          <w:lang w:val="ru-RU"/>
        </w:rPr>
      </w:r>
      <w:r>
        <w:rPr>
          <w:lang w:val="ru-RU"/>
        </w:rPr>
      </w:r>
    </w:p>
    <w:p>
      <w:pPr>
        <w:pStyle w:val="1091"/>
        <w:numPr>
          <w:ilvl w:val="0"/>
          <w:numId w:val="8"/>
        </w:numPr>
        <w:ind w:left="0" w:firstLine="567"/>
        <w:jc w:val="both"/>
        <w:spacing w:line="276" w:lineRule="auto"/>
        <w:tabs>
          <w:tab w:val="left" w:pos="850" w:leader="none"/>
        </w:tabs>
        <w:rPr>
          <w:lang w:val="ru-RU"/>
        </w:rPr>
      </w:pPr>
      <w:r>
        <w:rPr>
          <w:rFonts w:ascii="Arial Narrow" w:hAnsi="Arial Narrow" w:cs="Calibri"/>
          <w:sz w:val="24"/>
          <w:szCs w:val="24"/>
          <w:lang w:val="ru-RU"/>
        </w:rPr>
        <w:t xml:space="preserve">на обеспечение работников средствами индивидуальной защиты – 98 388,00 тыс.</w:t>
      </w:r>
      <w:r>
        <w:rPr>
          <w:rFonts w:ascii="Arial Narrow" w:hAnsi="Arial Narrow" w:cs="Calibri"/>
          <w:sz w:val="24"/>
          <w:szCs w:val="24"/>
        </w:rPr>
        <w:t xml:space="preserve"> </w:t>
      </w:r>
      <w:r>
        <w:rPr>
          <w:rFonts w:ascii="Arial Narrow" w:hAnsi="Arial Narrow" w:cs="Calibri"/>
          <w:sz w:val="24"/>
          <w:szCs w:val="24"/>
          <w:lang w:val="ru-RU"/>
        </w:rPr>
        <w:t xml:space="preserve">рублей (в среднем 25,8 тыс. рублей на 1 человека).</w:t>
      </w:r>
      <w:r>
        <w:rPr>
          <w:lang w:val="ru-RU"/>
        </w:rPr>
      </w:r>
      <w:r>
        <w:rPr>
          <w:lang w:val="ru-RU"/>
        </w:rPr>
      </w:r>
    </w:p>
    <w:p>
      <w:pPr>
        <w:pStyle w:val="1063"/>
        <w:ind w:firstLine="567"/>
        <w:jc w:val="both"/>
        <w:tabs>
          <w:tab w:val="left" w:pos="850" w:leader="none"/>
        </w:tabs>
      </w:pPr>
      <w:r>
        <w:rPr>
          <w:rFonts w:ascii="Arial Narrow" w:hAnsi="Arial Narrow" w:cs="Calibri"/>
        </w:rPr>
        <w:t xml:space="preserve">Затраты по охране труда на одного работника в 2024 году составили 42,7 тыс. руб/чел, в 2023 году на одного работающего приходилось 39,4 тыс. руб./чел. </w:t>
      </w:r>
      <w:r>
        <w:rPr>
          <w:rFonts w:ascii="Arial Narrow" w:hAnsi="Arial Narrow" w:cs="Calibri"/>
        </w:rPr>
        <w:tab/>
      </w:r>
      <w:r/>
    </w:p>
    <w:p>
      <w:pPr>
        <w:pStyle w:val="1063"/>
        <w:ind w:firstLine="567"/>
        <w:jc w:val="both"/>
        <w:tabs>
          <w:tab w:val="left" w:pos="850" w:leader="none"/>
        </w:tabs>
      </w:pPr>
      <w:r>
        <w:rPr>
          <w:rFonts w:ascii="Arial Narrow" w:hAnsi="Arial Narrow" w:cs="Calibri"/>
        </w:rPr>
        <w:t xml:space="preserve">Также в 2024 году организовано и проведено обучение по охране труда и пожарной безопасности </w:t>
      </w:r>
      <w:r>
        <w:rPr>
          <w:rFonts w:ascii="Arial Narrow" w:hAnsi="Arial Narrow" w:cs="Calibri"/>
        </w:rPr>
        <w:br/>
        <w:t xml:space="preserve">2 915 работникам на сумму 3 640,8 тыс. рублей (в среднем по 1 249 рублей на одного человека).</w:t>
      </w:r>
      <w:r/>
    </w:p>
    <w:p>
      <w:pPr>
        <w:pStyle w:val="1063"/>
        <w:jc w:val="both"/>
        <w:tabs>
          <w:tab w:val="left" w:pos="993" w:leader="none"/>
        </w:tabs>
        <w:rPr>
          <w:rFonts w:ascii="Arial Narrow" w:hAnsi="Arial Narrow" w:cs="Calibri"/>
          <w:sz w:val="12"/>
          <w:szCs w:val="12"/>
        </w:rPr>
      </w:pPr>
      <w:r>
        <w:rPr>
          <w:rFonts w:ascii="Arial Narrow" w:hAnsi="Arial Narrow" w:cs="Calibri"/>
          <w:sz w:val="12"/>
          <w:szCs w:val="12"/>
        </w:rPr>
      </w:r>
      <w:r>
        <w:rPr>
          <w:rFonts w:ascii="Arial Narrow" w:hAnsi="Arial Narrow" w:cs="Calibri"/>
          <w:sz w:val="12"/>
          <w:szCs w:val="12"/>
        </w:rPr>
      </w:r>
      <w:r>
        <w:rPr>
          <w:rFonts w:ascii="Arial Narrow" w:hAnsi="Arial Narrow" w:cs="Calibri"/>
          <w:sz w:val="12"/>
          <w:szCs w:val="12"/>
        </w:rPr>
      </w:r>
    </w:p>
    <w:p>
      <w:pPr>
        <w:pStyle w:val="1063"/>
        <w:jc w:val="both"/>
        <w:spacing w:after="120"/>
        <w:tabs>
          <w:tab w:val="left" w:pos="566" w:leader="none"/>
          <w:tab w:val="left" w:pos="850" w:leader="none"/>
        </w:tabs>
        <w:rPr>
          <w:b/>
        </w:rPr>
      </w:pPr>
      <w:r>
        <w:rPr>
          <w:rFonts w:ascii="Arial Narrow" w:hAnsi="Arial Narrow" w:cs="Calibri"/>
          <w:b/>
          <w:color w:val="314e87"/>
        </w:rPr>
        <w:t xml:space="preserve">Производственный травматизм</w:t>
      </w:r>
      <w:r>
        <w:rPr>
          <w:b/>
        </w:rPr>
      </w:r>
      <w:r>
        <w:rPr>
          <w:b/>
        </w:rPr>
      </w:r>
    </w:p>
    <w:p>
      <w:pPr>
        <w:pStyle w:val="1063"/>
        <w:ind w:firstLine="567"/>
        <w:jc w:val="both"/>
        <w:tabs>
          <w:tab w:val="left" w:pos="850" w:leader="none"/>
        </w:tabs>
        <w:rPr>
          <w:rFonts w:ascii="Arial Narrow" w:hAnsi="Arial Narrow" w:cs="Calibri"/>
        </w:rPr>
      </w:pPr>
      <w:r>
        <w:rPr>
          <w:rFonts w:ascii="Arial Narrow" w:hAnsi="Arial Narrow" w:cs="Calibri"/>
        </w:rPr>
        <w:t xml:space="preserve">За 12 месяцев 2024 года в ПАО «Камчатскэнерго» произошел 1 несчастный случай, степень тяжести — легкий, </w:t>
      </w:r>
      <w:r>
        <w:rPr>
          <w:rFonts w:ascii="Arial Narrow" w:hAnsi="Arial Narrow" w:cs="Calibri"/>
          <w:iCs/>
        </w:rPr>
        <w:t xml:space="preserve">воздействие электрической дуги, характер полученных повреждений: электротравма, токовый ожог боковой поверхности грудной клетки</w:t>
      </w:r>
      <w:r>
        <w:rPr>
          <w:rFonts w:ascii="Arial Narrow" w:hAnsi="Arial Narrow" w:cs="Calibri"/>
        </w:rPr>
        <w:t xml:space="preserve">.</w:t>
      </w:r>
      <w:r>
        <w:rPr>
          <w:rFonts w:ascii="Arial Narrow" w:hAnsi="Arial Narrow" w:cs="Calibri"/>
        </w:rPr>
      </w:r>
      <w:r>
        <w:rPr>
          <w:rFonts w:ascii="Arial Narrow" w:hAnsi="Arial Narrow" w:cs="Calibri"/>
        </w:rPr>
      </w:r>
    </w:p>
    <w:p>
      <w:pPr>
        <w:pStyle w:val="1063"/>
        <w:ind w:firstLine="567"/>
        <w:jc w:val="right"/>
        <w:tabs>
          <w:tab w:val="left" w:pos="850" w:leader="none"/>
        </w:tabs>
        <w:rPr>
          <w:sz w:val="12"/>
          <w:szCs w:val="12"/>
          <w:lang w:val="en-US"/>
        </w:rPr>
      </w:pPr>
      <w:r>
        <w:rPr>
          <w:rFonts w:ascii="Arial Narrow" w:hAnsi="Arial Narrow" w:eastAsia="Calibri" w:cs="Calibri"/>
          <w:i/>
          <w:lang w:eastAsia="ja-JP"/>
        </w:rPr>
        <w:t xml:space="preserve">Таблица № 39</w:t>
      </w:r>
      <w:r>
        <w:rPr>
          <w:sz w:val="12"/>
          <w:szCs w:val="12"/>
          <w:lang w:val="en-US"/>
        </w:rPr>
      </w:r>
      <w:r>
        <w:rPr>
          <w:sz w:val="12"/>
          <w:szCs w:val="12"/>
          <w:lang w:val="en-US"/>
        </w:rPr>
      </w:r>
    </w:p>
    <w:tbl>
      <w:tblPr>
        <w:tblW w:w="10087" w:type="dxa"/>
        <w:tblInd w:w="109" w:type="dxa"/>
        <w:tblLayout w:type="fixed"/>
        <w:tblLook w:val="04A0" w:firstRow="1" w:lastRow="0" w:firstColumn="1" w:lastColumn="0" w:noHBand="0" w:noVBand="1"/>
      </w:tblPr>
      <w:tblGrid>
        <w:gridCol w:w="6520"/>
        <w:gridCol w:w="1725"/>
        <w:gridCol w:w="1842"/>
      </w:tblGrid>
      <w:tr>
        <w:trPr/>
        <w:tc>
          <w:tcPr>
            <w:tcBorders>
              <w:top w:val="single" w:color="000000" w:sz="4" w:space="0"/>
              <w:left w:val="single" w:color="000000" w:sz="4" w:space="0"/>
              <w:bottom w:val="single" w:color="000000" w:sz="4" w:space="0"/>
              <w:right w:val="single" w:color="000000" w:sz="4" w:space="0"/>
            </w:tcBorders>
            <w:tcW w:w="6520" w:type="dxa"/>
            <w:vAlign w:val="center"/>
            <w:vMerge w:val="restart"/>
            <w:textDirection w:val="lrTb"/>
            <w:noWrap w:val="false"/>
          </w:tcPr>
          <w:p>
            <w:pPr>
              <w:pStyle w:val="1146"/>
              <w:ind w:firstLine="0"/>
              <w:jc w:val="center"/>
              <w:spacing w:line="276" w:lineRule="auto"/>
              <w:widowControl w:val="off"/>
              <w:rPr>
                <w:b/>
                <w:sz w:val="20"/>
              </w:rPr>
            </w:pPr>
            <w:r>
              <w:rPr>
                <w:rFonts w:ascii="Arial Narrow" w:hAnsi="Arial Narrow" w:cs="Calibri"/>
                <w:b/>
                <w:sz w:val="20"/>
              </w:rPr>
              <w:t xml:space="preserve">Наименование</w:t>
            </w:r>
            <w:r>
              <w:rPr>
                <w:b/>
                <w:sz w:val="20"/>
              </w:rPr>
            </w:r>
            <w:r>
              <w:rPr>
                <w:b/>
                <w:sz w:val="20"/>
              </w:rPr>
            </w:r>
          </w:p>
        </w:tc>
        <w:tc>
          <w:tcPr>
            <w:gridSpan w:val="2"/>
            <w:tcBorders>
              <w:top w:val="single" w:color="000000" w:sz="4" w:space="0"/>
              <w:left w:val="single" w:color="000000" w:sz="4" w:space="0"/>
              <w:bottom w:val="single" w:color="000000" w:sz="4" w:space="0"/>
              <w:right w:val="single" w:color="000000" w:sz="4" w:space="0"/>
            </w:tcBorders>
            <w:tcW w:w="3567" w:type="dxa"/>
            <w:vAlign w:val="center"/>
            <w:textDirection w:val="lrTb"/>
            <w:noWrap w:val="false"/>
          </w:tcPr>
          <w:p>
            <w:pPr>
              <w:pStyle w:val="1146"/>
              <w:ind w:firstLine="0"/>
              <w:jc w:val="center"/>
              <w:spacing w:line="276" w:lineRule="auto"/>
              <w:widowControl w:val="off"/>
              <w:rPr>
                <w:b/>
                <w:sz w:val="20"/>
              </w:rPr>
            </w:pPr>
            <w:r>
              <w:rPr>
                <w:rFonts w:ascii="Arial Narrow" w:hAnsi="Arial Narrow" w:cs="Calibri"/>
                <w:b/>
                <w:sz w:val="20"/>
              </w:rPr>
              <w:t xml:space="preserve">Количество пострадавших</w:t>
            </w:r>
            <w:r>
              <w:rPr>
                <w:b/>
                <w:sz w:val="20"/>
              </w:rPr>
            </w:r>
            <w:r>
              <w:rPr>
                <w:b/>
                <w:sz w:val="20"/>
              </w:rPr>
            </w:r>
          </w:p>
        </w:tc>
      </w:tr>
      <w:tr>
        <w:trPr/>
        <w:tc>
          <w:tcPr>
            <w:tcBorders>
              <w:top w:val="single" w:color="000000" w:sz="4" w:space="0"/>
              <w:left w:val="single" w:color="000000" w:sz="4" w:space="0"/>
              <w:bottom w:val="single" w:color="000000" w:sz="4" w:space="0"/>
              <w:right w:val="single" w:color="000000" w:sz="4" w:space="0"/>
            </w:tcBorders>
            <w:tcW w:w="6520" w:type="dxa"/>
            <w:vAlign w:val="center"/>
            <w:vMerge w:val="continue"/>
            <w:textDirection w:val="lrTb"/>
            <w:noWrap w:val="false"/>
          </w:tcPr>
          <w:p>
            <w:pPr>
              <w:pStyle w:val="1062"/>
              <w:rPr>
                <w:b/>
                <w:sz w:val="20"/>
                <w:szCs w:val="20"/>
              </w:rPr>
            </w:pPr>
            <w:r>
              <w:rPr>
                <w:b/>
                <w:sz w:val="20"/>
                <w:szCs w:val="20"/>
              </w:rPr>
            </w:r>
            <w:r>
              <w:rPr>
                <w:b/>
                <w:sz w:val="20"/>
                <w:szCs w:val="20"/>
              </w:rPr>
            </w:r>
            <w:r>
              <w:rPr>
                <w:b/>
                <w:sz w:val="20"/>
                <w:szCs w:val="20"/>
              </w:rPr>
            </w:r>
          </w:p>
        </w:tc>
        <w:tc>
          <w:tcPr>
            <w:tcBorders>
              <w:top w:val="single" w:color="000000" w:sz="4" w:space="0"/>
              <w:left w:val="single" w:color="000000" w:sz="4" w:space="0"/>
              <w:bottom w:val="single" w:color="000000" w:sz="4" w:space="0"/>
              <w:right w:val="single" w:color="000000" w:sz="4" w:space="0"/>
            </w:tcBorders>
            <w:tcW w:w="1725" w:type="dxa"/>
            <w:vAlign w:val="center"/>
            <w:textDirection w:val="lrTb"/>
            <w:noWrap w:val="false"/>
          </w:tcPr>
          <w:p>
            <w:pPr>
              <w:pStyle w:val="1146"/>
              <w:ind w:firstLine="0"/>
              <w:jc w:val="center"/>
              <w:spacing w:line="276" w:lineRule="auto"/>
              <w:widowControl w:val="off"/>
              <w:rPr>
                <w:b/>
                <w:sz w:val="20"/>
              </w:rPr>
            </w:pPr>
            <w:r>
              <w:rPr>
                <w:rFonts w:ascii="Arial Narrow" w:hAnsi="Arial Narrow" w:cs="Calibri"/>
                <w:b/>
                <w:sz w:val="20"/>
              </w:rPr>
              <w:t xml:space="preserve">2023 год</w:t>
            </w:r>
            <w:r>
              <w:rPr>
                <w:b/>
                <w:sz w:val="20"/>
              </w:rPr>
            </w:r>
            <w:r>
              <w:rPr>
                <w:b/>
                <w:sz w:val="20"/>
              </w:rPr>
            </w:r>
          </w:p>
        </w:tc>
        <w:tc>
          <w:tcPr>
            <w:tcBorders>
              <w:top w:val="single" w:color="000000" w:sz="4" w:space="0"/>
              <w:left w:val="single" w:color="000000" w:sz="4" w:space="0"/>
              <w:bottom w:val="single" w:color="000000" w:sz="4" w:space="0"/>
              <w:right w:val="single" w:color="000000" w:sz="4" w:space="0"/>
            </w:tcBorders>
            <w:tcW w:w="1842" w:type="dxa"/>
            <w:vAlign w:val="center"/>
            <w:textDirection w:val="lrTb"/>
            <w:noWrap w:val="false"/>
          </w:tcPr>
          <w:p>
            <w:pPr>
              <w:pStyle w:val="1146"/>
              <w:ind w:firstLine="0"/>
              <w:jc w:val="center"/>
              <w:spacing w:line="276" w:lineRule="auto"/>
              <w:widowControl w:val="off"/>
              <w:rPr>
                <w:b/>
                <w:sz w:val="20"/>
              </w:rPr>
            </w:pPr>
            <w:r>
              <w:rPr>
                <w:rFonts w:ascii="Arial Narrow" w:hAnsi="Arial Narrow" w:cs="Calibri"/>
                <w:b/>
                <w:sz w:val="20"/>
              </w:rPr>
              <w:t xml:space="preserve">2024 год</w:t>
            </w:r>
            <w:r>
              <w:rPr>
                <w:b/>
                <w:sz w:val="20"/>
              </w:rPr>
            </w:r>
            <w:r>
              <w:rPr>
                <w:b/>
                <w:sz w:val="20"/>
              </w:rPr>
            </w:r>
          </w:p>
        </w:tc>
      </w:tr>
      <w:tr>
        <w:trPr/>
        <w:tc>
          <w:tcPr>
            <w:tcBorders>
              <w:top w:val="single" w:color="000000" w:sz="4" w:space="0"/>
              <w:left w:val="single" w:color="000000" w:sz="4" w:space="0"/>
              <w:bottom w:val="single" w:color="000000" w:sz="4" w:space="0"/>
              <w:right w:val="single" w:color="000000" w:sz="4" w:space="0"/>
            </w:tcBorders>
            <w:tcW w:w="6520" w:type="dxa"/>
            <w:textDirection w:val="lrTb"/>
            <w:noWrap w:val="false"/>
          </w:tcPr>
          <w:p>
            <w:pPr>
              <w:pStyle w:val="1146"/>
              <w:ind w:firstLine="0"/>
              <w:jc w:val="left"/>
              <w:spacing w:line="276" w:lineRule="auto"/>
              <w:widowControl w:val="off"/>
              <w:rPr>
                <w:sz w:val="20"/>
              </w:rPr>
            </w:pPr>
            <w:r>
              <w:rPr>
                <w:rFonts w:ascii="Arial Narrow" w:hAnsi="Arial Narrow" w:cs="Calibri"/>
                <w:sz w:val="20"/>
              </w:rPr>
              <w:t xml:space="preserve">Вид происшествия, в том числе:</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725" w:type="dxa"/>
            <w:textDirection w:val="lrTb"/>
            <w:noWrap w:val="false"/>
          </w:tcPr>
          <w:p>
            <w:pPr>
              <w:pStyle w:val="1146"/>
              <w:ind w:firstLine="0"/>
              <w:jc w:val="center"/>
              <w:spacing w:line="276" w:lineRule="auto"/>
              <w:widowControl w:val="off"/>
              <w:rPr>
                <w:rFonts w:ascii="Arial Narrow" w:hAnsi="Arial Narrow"/>
                <w:b/>
                <w:sz w:val="20"/>
              </w:rPr>
            </w:pPr>
            <w:r>
              <w:rPr>
                <w:rFonts w:ascii="Arial Narrow" w:hAnsi="Arial Narrow"/>
                <w:b/>
                <w:sz w:val="20"/>
              </w:rPr>
            </w:r>
            <w:r>
              <w:rPr>
                <w:rFonts w:ascii="Arial Narrow" w:hAnsi="Arial Narrow"/>
                <w:b/>
                <w:sz w:val="20"/>
              </w:rPr>
            </w:r>
            <w:r>
              <w:rPr>
                <w:rFonts w:ascii="Arial Narrow" w:hAnsi="Arial Narrow"/>
                <w:b/>
                <w:sz w:val="20"/>
              </w:rPr>
            </w:r>
          </w:p>
        </w:tc>
        <w:tc>
          <w:tcPr>
            <w:tcBorders>
              <w:top w:val="single" w:color="000000" w:sz="4" w:space="0"/>
              <w:left w:val="single" w:color="000000" w:sz="4" w:space="0"/>
              <w:bottom w:val="single" w:color="000000" w:sz="4" w:space="0"/>
              <w:right w:val="single" w:color="000000" w:sz="4" w:space="0"/>
            </w:tcBorders>
            <w:tcW w:w="1842" w:type="dxa"/>
            <w:vAlign w:val="center"/>
            <w:textDirection w:val="lrTb"/>
            <w:noWrap w:val="false"/>
          </w:tcPr>
          <w:p>
            <w:pPr>
              <w:pStyle w:val="1146"/>
              <w:ind w:firstLine="0"/>
              <w:jc w:val="center"/>
              <w:spacing w:line="276" w:lineRule="auto"/>
              <w:widowControl w:val="off"/>
              <w:rPr>
                <w:rFonts w:ascii="Arial Narrow" w:hAnsi="Arial Narrow"/>
                <w:b/>
                <w:sz w:val="20"/>
              </w:rPr>
            </w:pPr>
            <w:r>
              <w:rPr>
                <w:rFonts w:ascii="Arial Narrow" w:hAnsi="Arial Narrow"/>
                <w:b/>
                <w:sz w:val="20"/>
              </w:rPr>
            </w:r>
            <w:r>
              <w:rPr>
                <w:rFonts w:ascii="Arial Narrow" w:hAnsi="Arial Narrow"/>
                <w:b/>
                <w:sz w:val="20"/>
              </w:rPr>
            </w:r>
            <w:r>
              <w:rPr>
                <w:rFonts w:ascii="Arial Narrow" w:hAnsi="Arial Narrow"/>
                <w:b/>
                <w:sz w:val="20"/>
              </w:rPr>
            </w:r>
          </w:p>
        </w:tc>
      </w:tr>
      <w:tr>
        <w:trPr>
          <w:trHeight w:val="259"/>
        </w:trPr>
        <w:tc>
          <w:tcPr>
            <w:tcBorders>
              <w:top w:val="single" w:color="000000" w:sz="4" w:space="0"/>
              <w:left w:val="single" w:color="000000" w:sz="4" w:space="0"/>
              <w:bottom w:val="single" w:color="000000" w:sz="4" w:space="0"/>
              <w:right w:val="single" w:color="000000" w:sz="4" w:space="0"/>
            </w:tcBorders>
            <w:tcW w:w="6520" w:type="dxa"/>
            <w:textDirection w:val="lrTb"/>
            <w:noWrap w:val="false"/>
          </w:tcPr>
          <w:p>
            <w:pPr>
              <w:pStyle w:val="1146"/>
              <w:ind w:firstLine="0"/>
              <w:jc w:val="left"/>
              <w:spacing w:line="276" w:lineRule="auto"/>
              <w:widowControl w:val="off"/>
              <w:rPr>
                <w:sz w:val="20"/>
              </w:rPr>
            </w:pPr>
            <w:r>
              <w:rPr>
                <w:rFonts w:ascii="Arial Narrow" w:hAnsi="Arial Narrow" w:cs="Calibri"/>
                <w:sz w:val="20"/>
              </w:rPr>
              <w:t xml:space="preserve">Падения, обрушения, обвалы предметов, материалов, земли и т.д.</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725" w:type="dxa"/>
            <w:vAlign w:val="center"/>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842" w:type="dxa"/>
            <w:vAlign w:val="center"/>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w:t>
            </w:r>
            <w:r>
              <w:rPr>
                <w:sz w:val="20"/>
              </w:rPr>
            </w:r>
            <w:r>
              <w:rPr>
                <w:sz w:val="20"/>
              </w:rPr>
            </w:r>
          </w:p>
        </w:tc>
      </w:tr>
      <w:tr>
        <w:trPr/>
        <w:tc>
          <w:tcPr>
            <w:tcBorders>
              <w:top w:val="single" w:color="000000" w:sz="4" w:space="0"/>
              <w:left w:val="single" w:color="000000" w:sz="4" w:space="0"/>
              <w:bottom w:val="single" w:color="000000" w:sz="4" w:space="0"/>
              <w:right w:val="single" w:color="000000" w:sz="4" w:space="0"/>
            </w:tcBorders>
            <w:tcW w:w="6520" w:type="dxa"/>
            <w:textDirection w:val="lrTb"/>
            <w:noWrap w:val="false"/>
          </w:tcPr>
          <w:p>
            <w:pPr>
              <w:pStyle w:val="1146"/>
              <w:ind w:firstLine="0"/>
              <w:jc w:val="left"/>
              <w:spacing w:line="276" w:lineRule="auto"/>
              <w:widowControl w:val="off"/>
              <w:rPr>
                <w:sz w:val="20"/>
              </w:rPr>
            </w:pPr>
            <w:r>
              <w:rPr>
                <w:rFonts w:ascii="Arial Narrow" w:hAnsi="Arial Narrow" w:cs="Calibri"/>
                <w:sz w:val="20"/>
              </w:rPr>
              <w:t xml:space="preserve">Падение на скользкой поверхности, в том числе покрытой снегом или льдом</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725" w:type="dxa"/>
            <w:vAlign w:val="center"/>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842" w:type="dxa"/>
            <w:vAlign w:val="center"/>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w:t>
            </w:r>
            <w:r>
              <w:rPr>
                <w:sz w:val="20"/>
              </w:rPr>
            </w:r>
            <w:r>
              <w:rPr>
                <w:sz w:val="20"/>
              </w:rPr>
            </w:r>
          </w:p>
        </w:tc>
      </w:tr>
      <w:tr>
        <w:trPr/>
        <w:tc>
          <w:tcPr>
            <w:tcBorders>
              <w:top w:val="single" w:color="000000" w:sz="4" w:space="0"/>
              <w:left w:val="single" w:color="000000" w:sz="4" w:space="0"/>
              <w:bottom w:val="single" w:color="000000" w:sz="4" w:space="0"/>
              <w:right w:val="single" w:color="000000" w:sz="4" w:space="0"/>
            </w:tcBorders>
            <w:tcW w:w="6520" w:type="dxa"/>
            <w:textDirection w:val="lrTb"/>
            <w:noWrap w:val="false"/>
          </w:tcPr>
          <w:p>
            <w:pPr>
              <w:pStyle w:val="1146"/>
              <w:ind w:firstLine="0"/>
              <w:jc w:val="left"/>
              <w:spacing w:line="276" w:lineRule="auto"/>
              <w:widowControl w:val="off"/>
              <w:rPr>
                <w:sz w:val="20"/>
              </w:rPr>
            </w:pPr>
            <w:r>
              <w:rPr>
                <w:rFonts w:ascii="Arial Narrow" w:hAnsi="Arial Narrow" w:cs="Calibri"/>
                <w:sz w:val="20"/>
              </w:rPr>
              <w:t xml:space="preserve">Поражение электрическим током</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725" w:type="dxa"/>
            <w:vAlign w:val="center"/>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842" w:type="dxa"/>
            <w:vAlign w:val="center"/>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1</w:t>
            </w:r>
            <w:r>
              <w:rPr>
                <w:sz w:val="20"/>
              </w:rPr>
            </w:r>
            <w:r>
              <w:rPr>
                <w:sz w:val="20"/>
              </w:rPr>
            </w:r>
          </w:p>
        </w:tc>
      </w:tr>
      <w:tr>
        <w:trPr/>
        <w:tc>
          <w:tcPr>
            <w:tcBorders>
              <w:top w:val="single" w:color="000000" w:sz="4" w:space="0"/>
              <w:left w:val="single" w:color="000000" w:sz="4" w:space="0"/>
              <w:bottom w:val="single" w:color="000000" w:sz="4" w:space="0"/>
              <w:right w:val="single" w:color="000000" w:sz="4" w:space="0"/>
            </w:tcBorders>
            <w:tcW w:w="6520" w:type="dxa"/>
            <w:textDirection w:val="lrTb"/>
            <w:noWrap w:val="false"/>
          </w:tcPr>
          <w:p>
            <w:pPr>
              <w:pStyle w:val="1146"/>
              <w:ind w:firstLine="0"/>
              <w:jc w:val="left"/>
              <w:spacing w:line="276" w:lineRule="auto"/>
              <w:widowControl w:val="off"/>
              <w:rPr>
                <w:sz w:val="20"/>
              </w:rPr>
            </w:pPr>
            <w:r>
              <w:rPr>
                <w:rFonts w:ascii="Arial Narrow" w:hAnsi="Arial Narrow" w:cs="Calibri"/>
                <w:sz w:val="20"/>
              </w:rPr>
              <w:t xml:space="preserve">Причины происшествия</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725" w:type="dxa"/>
            <w:vAlign w:val="center"/>
            <w:textDirection w:val="lrTb"/>
            <w:noWrap w:val="false"/>
          </w:tcPr>
          <w:p>
            <w:pPr>
              <w:pStyle w:val="1146"/>
              <w:ind w:firstLine="0"/>
              <w:jc w:val="center"/>
              <w:spacing w:line="276" w:lineRule="auto"/>
              <w:widowControl w:val="off"/>
              <w:rPr>
                <w:rFonts w:ascii="Arial Narrow" w:hAnsi="Arial Narrow"/>
                <w:b/>
                <w:sz w:val="20"/>
              </w:rPr>
            </w:pPr>
            <w:r>
              <w:rPr>
                <w:rFonts w:ascii="Arial Narrow" w:hAnsi="Arial Narrow"/>
                <w:b/>
                <w:sz w:val="20"/>
              </w:rPr>
            </w:r>
            <w:r>
              <w:rPr>
                <w:rFonts w:ascii="Arial Narrow" w:hAnsi="Arial Narrow"/>
                <w:b/>
                <w:sz w:val="20"/>
              </w:rPr>
            </w:r>
            <w:r>
              <w:rPr>
                <w:rFonts w:ascii="Arial Narrow" w:hAnsi="Arial Narrow"/>
                <w:b/>
                <w:sz w:val="20"/>
              </w:rPr>
            </w:r>
          </w:p>
        </w:tc>
        <w:tc>
          <w:tcPr>
            <w:tcBorders>
              <w:top w:val="single" w:color="000000" w:sz="4" w:space="0"/>
              <w:left w:val="single" w:color="000000" w:sz="4" w:space="0"/>
              <w:bottom w:val="single" w:color="000000" w:sz="4" w:space="0"/>
              <w:right w:val="single" w:color="000000" w:sz="4" w:space="0"/>
            </w:tcBorders>
            <w:tcW w:w="1842" w:type="dxa"/>
            <w:vAlign w:val="center"/>
            <w:textDirection w:val="lrTb"/>
            <w:noWrap w:val="false"/>
          </w:tcPr>
          <w:p>
            <w:pPr>
              <w:pStyle w:val="1146"/>
              <w:ind w:firstLine="0"/>
              <w:jc w:val="center"/>
              <w:spacing w:line="276" w:lineRule="auto"/>
              <w:widowControl w:val="off"/>
              <w:rPr>
                <w:rFonts w:ascii="Arial Narrow" w:hAnsi="Arial Narrow"/>
                <w:b/>
                <w:sz w:val="20"/>
              </w:rPr>
            </w:pPr>
            <w:r>
              <w:rPr>
                <w:rFonts w:ascii="Arial Narrow" w:hAnsi="Arial Narrow"/>
                <w:b/>
                <w:sz w:val="20"/>
              </w:rPr>
            </w:r>
            <w:r>
              <w:rPr>
                <w:rFonts w:ascii="Arial Narrow" w:hAnsi="Arial Narrow"/>
                <w:b/>
                <w:sz w:val="20"/>
              </w:rPr>
            </w:r>
            <w:r>
              <w:rPr>
                <w:rFonts w:ascii="Arial Narrow" w:hAnsi="Arial Narrow"/>
                <w:b/>
                <w:sz w:val="20"/>
              </w:rPr>
            </w:r>
          </w:p>
        </w:tc>
      </w:tr>
      <w:tr>
        <w:trPr/>
        <w:tc>
          <w:tcPr>
            <w:tcBorders>
              <w:top w:val="single" w:color="000000" w:sz="4" w:space="0"/>
              <w:left w:val="single" w:color="000000" w:sz="4" w:space="0"/>
              <w:bottom w:val="single" w:color="000000" w:sz="4" w:space="0"/>
              <w:right w:val="single" w:color="000000" w:sz="4" w:space="0"/>
            </w:tcBorders>
            <w:tcW w:w="6520" w:type="dxa"/>
            <w:textDirection w:val="lrTb"/>
            <w:noWrap w:val="false"/>
          </w:tcPr>
          <w:p>
            <w:pPr>
              <w:pStyle w:val="1146"/>
              <w:ind w:firstLine="0"/>
              <w:jc w:val="left"/>
              <w:spacing w:line="276" w:lineRule="auto"/>
              <w:widowControl w:val="off"/>
              <w:rPr>
                <w:sz w:val="20"/>
              </w:rPr>
            </w:pPr>
            <w:r>
              <w:rPr>
                <w:rFonts w:ascii="Arial Narrow" w:hAnsi="Arial Narrow" w:cs="Calibri"/>
                <w:sz w:val="20"/>
              </w:rPr>
              <w:t xml:space="preserve">Неудовлетворительная организация работ</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725" w:type="dxa"/>
            <w:vAlign w:val="center"/>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842" w:type="dxa"/>
            <w:vAlign w:val="center"/>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1</w:t>
            </w:r>
            <w:r>
              <w:rPr>
                <w:sz w:val="20"/>
              </w:rPr>
            </w:r>
            <w:r>
              <w:rPr>
                <w:sz w:val="20"/>
              </w:rPr>
            </w:r>
          </w:p>
        </w:tc>
      </w:tr>
      <w:tr>
        <w:trPr/>
        <w:tc>
          <w:tcPr>
            <w:tcBorders>
              <w:top w:val="single" w:color="000000" w:sz="4" w:space="0"/>
              <w:left w:val="single" w:color="000000" w:sz="4" w:space="0"/>
              <w:bottom w:val="single" w:color="000000" w:sz="4" w:space="0"/>
              <w:right w:val="single" w:color="000000" w:sz="4" w:space="0"/>
            </w:tcBorders>
            <w:tcW w:w="6520" w:type="dxa"/>
            <w:textDirection w:val="lrTb"/>
            <w:noWrap w:val="false"/>
          </w:tcPr>
          <w:p>
            <w:pPr>
              <w:pStyle w:val="1146"/>
              <w:ind w:firstLine="0"/>
              <w:jc w:val="left"/>
              <w:spacing w:line="276" w:lineRule="auto"/>
              <w:widowControl w:val="off"/>
              <w:rPr>
                <w:sz w:val="20"/>
              </w:rPr>
            </w:pPr>
            <w:r>
              <w:rPr>
                <w:rFonts w:ascii="Arial Narrow" w:hAnsi="Arial Narrow" w:cs="Calibri"/>
                <w:sz w:val="20"/>
              </w:rPr>
              <w:t xml:space="preserve">Прочие причины возникновения несчастных случаев</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725" w:type="dxa"/>
            <w:vAlign w:val="center"/>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1</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842" w:type="dxa"/>
            <w:vAlign w:val="center"/>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w:t>
            </w:r>
            <w:r>
              <w:rPr>
                <w:sz w:val="20"/>
              </w:rPr>
            </w:r>
            <w:r>
              <w:rPr>
                <w:sz w:val="20"/>
              </w:rPr>
            </w:r>
          </w:p>
        </w:tc>
      </w:tr>
      <w:tr>
        <w:trPr/>
        <w:tc>
          <w:tcPr>
            <w:tcBorders>
              <w:top w:val="single" w:color="000000" w:sz="4" w:space="0"/>
              <w:left w:val="single" w:color="000000" w:sz="4" w:space="0"/>
              <w:bottom w:val="single" w:color="000000" w:sz="4" w:space="0"/>
              <w:right w:val="single" w:color="000000" w:sz="4" w:space="0"/>
            </w:tcBorders>
            <w:tcW w:w="6520" w:type="dxa"/>
            <w:textDirection w:val="lrTb"/>
            <w:noWrap w:val="false"/>
          </w:tcPr>
          <w:p>
            <w:pPr>
              <w:pStyle w:val="1146"/>
              <w:ind w:firstLine="0"/>
              <w:jc w:val="left"/>
              <w:spacing w:line="276" w:lineRule="auto"/>
              <w:widowControl w:val="off"/>
              <w:rPr>
                <w:sz w:val="20"/>
              </w:rPr>
            </w:pPr>
            <w:r>
              <w:rPr>
                <w:rFonts w:ascii="Arial Narrow" w:hAnsi="Arial Narrow" w:cs="Calibri"/>
                <w:sz w:val="20"/>
              </w:rPr>
              <w:t xml:space="preserve">Возраст пострадавших</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725" w:type="dxa"/>
            <w:textDirection w:val="lrTb"/>
            <w:noWrap w:val="false"/>
          </w:tcPr>
          <w:p>
            <w:pPr>
              <w:pStyle w:val="1146"/>
              <w:ind w:firstLine="0"/>
              <w:jc w:val="center"/>
              <w:spacing w:line="276" w:lineRule="auto"/>
              <w:widowControl w:val="off"/>
              <w:rPr>
                <w:rFonts w:ascii="Arial Narrow" w:hAnsi="Arial Narrow"/>
                <w:b/>
                <w:sz w:val="20"/>
              </w:rPr>
            </w:pPr>
            <w:r>
              <w:rPr>
                <w:rFonts w:ascii="Arial Narrow" w:hAnsi="Arial Narrow"/>
                <w:b/>
                <w:sz w:val="20"/>
              </w:rPr>
            </w:r>
            <w:r>
              <w:rPr>
                <w:rFonts w:ascii="Arial Narrow" w:hAnsi="Arial Narrow"/>
                <w:b/>
                <w:sz w:val="20"/>
              </w:rPr>
            </w:r>
            <w:r>
              <w:rPr>
                <w:rFonts w:ascii="Arial Narrow" w:hAnsi="Arial Narrow"/>
                <w:b/>
                <w:sz w:val="20"/>
              </w:rPr>
            </w:r>
          </w:p>
        </w:tc>
        <w:tc>
          <w:tcPr>
            <w:tcBorders>
              <w:top w:val="single" w:color="000000" w:sz="4" w:space="0"/>
              <w:left w:val="single" w:color="000000" w:sz="4" w:space="0"/>
              <w:bottom w:val="single" w:color="000000" w:sz="4" w:space="0"/>
              <w:right w:val="single" w:color="000000" w:sz="4" w:space="0"/>
            </w:tcBorders>
            <w:tcW w:w="1842" w:type="dxa"/>
            <w:textDirection w:val="lrTb"/>
            <w:noWrap w:val="false"/>
          </w:tcPr>
          <w:p>
            <w:pPr>
              <w:pStyle w:val="1146"/>
              <w:ind w:firstLine="0"/>
              <w:jc w:val="center"/>
              <w:spacing w:line="276" w:lineRule="auto"/>
              <w:widowControl w:val="off"/>
              <w:rPr>
                <w:rFonts w:ascii="Arial Narrow" w:hAnsi="Arial Narrow"/>
                <w:b/>
                <w:sz w:val="20"/>
              </w:rPr>
            </w:pPr>
            <w:r>
              <w:rPr>
                <w:rFonts w:ascii="Arial Narrow" w:hAnsi="Arial Narrow"/>
                <w:b/>
                <w:sz w:val="20"/>
              </w:rPr>
            </w:r>
            <w:r>
              <w:rPr>
                <w:rFonts w:ascii="Arial Narrow" w:hAnsi="Arial Narrow"/>
                <w:b/>
                <w:sz w:val="20"/>
              </w:rPr>
            </w:r>
            <w:r>
              <w:rPr>
                <w:rFonts w:ascii="Arial Narrow" w:hAnsi="Arial Narrow"/>
                <w:b/>
                <w:sz w:val="20"/>
              </w:rPr>
            </w:r>
          </w:p>
        </w:tc>
      </w:tr>
      <w:tr>
        <w:trPr/>
        <w:tc>
          <w:tcPr>
            <w:tcBorders>
              <w:top w:val="single" w:color="000000" w:sz="4" w:space="0"/>
              <w:left w:val="single" w:color="000000" w:sz="4" w:space="0"/>
              <w:bottom w:val="single" w:color="000000" w:sz="4" w:space="0"/>
              <w:right w:val="single" w:color="000000" w:sz="4" w:space="0"/>
            </w:tcBorders>
            <w:tcW w:w="6520" w:type="dxa"/>
            <w:textDirection w:val="lrTb"/>
            <w:noWrap w:val="false"/>
          </w:tcPr>
          <w:p>
            <w:pPr>
              <w:pStyle w:val="1146"/>
              <w:ind w:firstLine="0"/>
              <w:jc w:val="left"/>
              <w:spacing w:line="276" w:lineRule="auto"/>
              <w:widowControl w:val="off"/>
              <w:rPr>
                <w:sz w:val="20"/>
              </w:rPr>
            </w:pPr>
            <w:r>
              <w:rPr>
                <w:rFonts w:ascii="Arial Narrow" w:hAnsi="Arial Narrow" w:cs="Calibri"/>
                <w:sz w:val="20"/>
              </w:rPr>
              <w:t xml:space="preserve">От 25 до 39 лет</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725" w:type="dxa"/>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1</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842" w:type="dxa"/>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1</w:t>
            </w:r>
            <w:r>
              <w:rPr>
                <w:sz w:val="20"/>
              </w:rPr>
            </w:r>
            <w:r>
              <w:rPr>
                <w:sz w:val="20"/>
              </w:rPr>
            </w:r>
          </w:p>
        </w:tc>
      </w:tr>
      <w:tr>
        <w:trPr/>
        <w:tc>
          <w:tcPr>
            <w:tcBorders>
              <w:top w:val="single" w:color="000000" w:sz="4" w:space="0"/>
              <w:left w:val="single" w:color="000000" w:sz="4" w:space="0"/>
              <w:bottom w:val="single" w:color="000000" w:sz="4" w:space="0"/>
              <w:right w:val="single" w:color="000000" w:sz="4" w:space="0"/>
            </w:tcBorders>
            <w:tcW w:w="6520" w:type="dxa"/>
            <w:textDirection w:val="lrTb"/>
            <w:noWrap w:val="false"/>
          </w:tcPr>
          <w:p>
            <w:pPr>
              <w:pStyle w:val="1146"/>
              <w:ind w:firstLine="0"/>
              <w:jc w:val="left"/>
              <w:spacing w:line="276" w:lineRule="auto"/>
              <w:widowControl w:val="off"/>
              <w:rPr>
                <w:sz w:val="20"/>
              </w:rPr>
            </w:pPr>
            <w:r>
              <w:rPr>
                <w:rFonts w:ascii="Arial Narrow" w:hAnsi="Arial Narrow" w:cs="Calibri"/>
                <w:sz w:val="20"/>
              </w:rPr>
              <w:t xml:space="preserve">От 40 до 49 лет</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725" w:type="dxa"/>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842" w:type="dxa"/>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w:t>
            </w:r>
            <w:r>
              <w:rPr>
                <w:sz w:val="20"/>
              </w:rPr>
            </w:r>
            <w:r>
              <w:rPr>
                <w:sz w:val="20"/>
              </w:rPr>
            </w:r>
          </w:p>
        </w:tc>
      </w:tr>
      <w:tr>
        <w:trPr/>
        <w:tc>
          <w:tcPr>
            <w:tcBorders>
              <w:top w:val="single" w:color="000000" w:sz="4" w:space="0"/>
              <w:left w:val="single" w:color="000000" w:sz="4" w:space="0"/>
              <w:bottom w:val="single" w:color="000000" w:sz="4" w:space="0"/>
              <w:right w:val="single" w:color="000000" w:sz="4" w:space="0"/>
            </w:tcBorders>
            <w:tcW w:w="6520" w:type="dxa"/>
            <w:textDirection w:val="lrTb"/>
            <w:noWrap w:val="false"/>
          </w:tcPr>
          <w:p>
            <w:pPr>
              <w:pStyle w:val="1146"/>
              <w:ind w:firstLine="0"/>
              <w:jc w:val="left"/>
              <w:spacing w:line="276" w:lineRule="auto"/>
              <w:widowControl w:val="off"/>
              <w:rPr>
                <w:sz w:val="20"/>
              </w:rPr>
            </w:pPr>
            <w:r>
              <w:rPr>
                <w:rFonts w:ascii="Arial Narrow" w:hAnsi="Arial Narrow" w:cs="Calibri"/>
                <w:sz w:val="20"/>
              </w:rPr>
              <w:t xml:space="preserve">От 50 до 59 лет</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725" w:type="dxa"/>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842" w:type="dxa"/>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w:t>
            </w:r>
            <w:r>
              <w:rPr>
                <w:sz w:val="20"/>
              </w:rPr>
            </w:r>
            <w:r>
              <w:rPr>
                <w:sz w:val="20"/>
              </w:rPr>
            </w:r>
          </w:p>
        </w:tc>
      </w:tr>
      <w:tr>
        <w:trPr/>
        <w:tc>
          <w:tcPr>
            <w:tcBorders>
              <w:top w:val="single" w:color="000000" w:sz="4" w:space="0"/>
              <w:left w:val="single" w:color="000000" w:sz="4" w:space="0"/>
              <w:bottom w:val="single" w:color="000000" w:sz="4" w:space="0"/>
              <w:right w:val="single" w:color="000000" w:sz="4" w:space="0"/>
            </w:tcBorders>
            <w:tcW w:w="6520" w:type="dxa"/>
            <w:textDirection w:val="lrTb"/>
            <w:noWrap w:val="false"/>
          </w:tcPr>
          <w:p>
            <w:pPr>
              <w:pStyle w:val="1146"/>
              <w:ind w:firstLine="0"/>
              <w:jc w:val="left"/>
              <w:spacing w:line="276" w:lineRule="auto"/>
              <w:widowControl w:val="off"/>
              <w:rPr>
                <w:sz w:val="20"/>
              </w:rPr>
            </w:pPr>
            <w:r>
              <w:rPr>
                <w:rFonts w:ascii="Arial Narrow" w:hAnsi="Arial Narrow" w:cs="Calibri"/>
                <w:sz w:val="20"/>
              </w:rPr>
              <w:t xml:space="preserve">От 60 и старше</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725" w:type="dxa"/>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842" w:type="dxa"/>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w:t>
            </w:r>
            <w:r>
              <w:rPr>
                <w:sz w:val="20"/>
              </w:rPr>
            </w:r>
            <w:r>
              <w:rPr>
                <w:sz w:val="20"/>
              </w:rPr>
            </w:r>
          </w:p>
        </w:tc>
      </w:tr>
      <w:tr>
        <w:trPr/>
        <w:tc>
          <w:tcPr>
            <w:tcBorders>
              <w:top w:val="single" w:color="000000" w:sz="4" w:space="0"/>
              <w:left w:val="single" w:color="000000" w:sz="4" w:space="0"/>
              <w:bottom w:val="single" w:color="000000" w:sz="4" w:space="0"/>
              <w:right w:val="single" w:color="000000" w:sz="4" w:space="0"/>
            </w:tcBorders>
            <w:tcW w:w="6520" w:type="dxa"/>
            <w:textDirection w:val="lrTb"/>
            <w:noWrap w:val="false"/>
          </w:tcPr>
          <w:p>
            <w:pPr>
              <w:pStyle w:val="1146"/>
              <w:ind w:firstLine="0"/>
              <w:jc w:val="left"/>
              <w:spacing w:line="276" w:lineRule="auto"/>
              <w:widowControl w:val="off"/>
              <w:rPr>
                <w:sz w:val="20"/>
              </w:rPr>
            </w:pPr>
            <w:r>
              <w:rPr>
                <w:rFonts w:ascii="Arial Narrow" w:hAnsi="Arial Narrow" w:cs="Calibri"/>
                <w:sz w:val="20"/>
              </w:rPr>
              <w:t xml:space="preserve">Стаж работы</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725" w:type="dxa"/>
            <w:textDirection w:val="lrTb"/>
            <w:noWrap w:val="false"/>
          </w:tcPr>
          <w:p>
            <w:pPr>
              <w:pStyle w:val="1146"/>
              <w:ind w:firstLine="0"/>
              <w:jc w:val="center"/>
              <w:spacing w:line="276" w:lineRule="auto"/>
              <w:widowControl w:val="off"/>
              <w:rPr>
                <w:rFonts w:ascii="Arial Narrow" w:hAnsi="Arial Narrow"/>
                <w:b/>
                <w:sz w:val="20"/>
              </w:rPr>
            </w:pPr>
            <w:r>
              <w:rPr>
                <w:rFonts w:ascii="Arial Narrow" w:hAnsi="Arial Narrow"/>
                <w:b/>
                <w:sz w:val="20"/>
              </w:rPr>
            </w:r>
            <w:r>
              <w:rPr>
                <w:rFonts w:ascii="Arial Narrow" w:hAnsi="Arial Narrow"/>
                <w:b/>
                <w:sz w:val="20"/>
              </w:rPr>
            </w:r>
            <w:r>
              <w:rPr>
                <w:rFonts w:ascii="Arial Narrow" w:hAnsi="Arial Narrow"/>
                <w:b/>
                <w:sz w:val="20"/>
              </w:rPr>
            </w:r>
          </w:p>
        </w:tc>
        <w:tc>
          <w:tcPr>
            <w:tcBorders>
              <w:top w:val="single" w:color="000000" w:sz="4" w:space="0"/>
              <w:left w:val="single" w:color="000000" w:sz="4" w:space="0"/>
              <w:bottom w:val="single" w:color="000000" w:sz="4" w:space="0"/>
              <w:right w:val="single" w:color="000000" w:sz="4" w:space="0"/>
            </w:tcBorders>
            <w:tcW w:w="1842" w:type="dxa"/>
            <w:textDirection w:val="lrTb"/>
            <w:noWrap w:val="false"/>
          </w:tcPr>
          <w:p>
            <w:pPr>
              <w:pStyle w:val="1146"/>
              <w:ind w:firstLine="0"/>
              <w:jc w:val="center"/>
              <w:spacing w:line="276" w:lineRule="auto"/>
              <w:widowControl w:val="off"/>
              <w:rPr>
                <w:rFonts w:ascii="Arial Narrow" w:hAnsi="Arial Narrow"/>
                <w:b/>
                <w:sz w:val="20"/>
              </w:rPr>
            </w:pPr>
            <w:r>
              <w:rPr>
                <w:rFonts w:ascii="Arial Narrow" w:hAnsi="Arial Narrow"/>
                <w:b/>
                <w:sz w:val="20"/>
              </w:rPr>
            </w:r>
            <w:r>
              <w:rPr>
                <w:rFonts w:ascii="Arial Narrow" w:hAnsi="Arial Narrow"/>
                <w:b/>
                <w:sz w:val="20"/>
              </w:rPr>
            </w:r>
            <w:r>
              <w:rPr>
                <w:rFonts w:ascii="Arial Narrow" w:hAnsi="Arial Narrow"/>
                <w:b/>
                <w:sz w:val="20"/>
              </w:rPr>
            </w:r>
          </w:p>
        </w:tc>
      </w:tr>
      <w:tr>
        <w:trPr/>
        <w:tc>
          <w:tcPr>
            <w:tcBorders>
              <w:top w:val="single" w:color="000000" w:sz="4" w:space="0"/>
              <w:left w:val="single" w:color="000000" w:sz="4" w:space="0"/>
              <w:bottom w:val="single" w:color="000000" w:sz="4" w:space="0"/>
              <w:right w:val="single" w:color="000000" w:sz="4" w:space="0"/>
            </w:tcBorders>
            <w:tcW w:w="6520" w:type="dxa"/>
            <w:textDirection w:val="lrTb"/>
            <w:noWrap w:val="false"/>
          </w:tcPr>
          <w:p>
            <w:pPr>
              <w:pStyle w:val="1146"/>
              <w:ind w:firstLine="0"/>
              <w:jc w:val="left"/>
              <w:spacing w:line="276" w:lineRule="auto"/>
              <w:widowControl w:val="off"/>
              <w:rPr>
                <w:sz w:val="20"/>
              </w:rPr>
            </w:pPr>
            <w:r>
              <w:rPr>
                <w:rFonts w:ascii="Arial Narrow" w:hAnsi="Arial Narrow" w:cs="Calibri"/>
                <w:sz w:val="20"/>
              </w:rPr>
              <w:t xml:space="preserve">До 1 года</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725" w:type="dxa"/>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842" w:type="dxa"/>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w:t>
            </w:r>
            <w:r>
              <w:rPr>
                <w:sz w:val="20"/>
              </w:rPr>
            </w:r>
            <w:r>
              <w:rPr>
                <w:sz w:val="20"/>
              </w:rPr>
            </w:r>
          </w:p>
        </w:tc>
      </w:tr>
      <w:tr>
        <w:trPr/>
        <w:tc>
          <w:tcPr>
            <w:tcBorders>
              <w:top w:val="single" w:color="000000" w:sz="4" w:space="0"/>
              <w:left w:val="single" w:color="000000" w:sz="4" w:space="0"/>
              <w:bottom w:val="single" w:color="000000" w:sz="4" w:space="0"/>
              <w:right w:val="single" w:color="000000" w:sz="4" w:space="0"/>
            </w:tcBorders>
            <w:tcW w:w="6520" w:type="dxa"/>
            <w:textDirection w:val="lrTb"/>
            <w:noWrap w:val="false"/>
          </w:tcPr>
          <w:p>
            <w:pPr>
              <w:pStyle w:val="1146"/>
              <w:ind w:firstLine="0"/>
              <w:jc w:val="left"/>
              <w:spacing w:line="276" w:lineRule="auto"/>
              <w:widowControl w:val="off"/>
              <w:rPr>
                <w:sz w:val="20"/>
              </w:rPr>
            </w:pPr>
            <w:r>
              <w:rPr>
                <w:rFonts w:ascii="Arial Narrow" w:hAnsi="Arial Narrow" w:cs="Calibri"/>
                <w:sz w:val="20"/>
              </w:rPr>
              <w:t xml:space="preserve">От 3 до 5</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725" w:type="dxa"/>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842" w:type="dxa"/>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w:t>
            </w:r>
            <w:r>
              <w:rPr>
                <w:sz w:val="20"/>
              </w:rPr>
            </w:r>
            <w:r>
              <w:rPr>
                <w:sz w:val="20"/>
              </w:rPr>
            </w:r>
          </w:p>
        </w:tc>
      </w:tr>
      <w:tr>
        <w:trPr/>
        <w:tc>
          <w:tcPr>
            <w:tcBorders>
              <w:top w:val="single" w:color="000000" w:sz="4" w:space="0"/>
              <w:left w:val="single" w:color="000000" w:sz="4" w:space="0"/>
              <w:bottom w:val="single" w:color="000000" w:sz="4" w:space="0"/>
              <w:right w:val="single" w:color="000000" w:sz="4" w:space="0"/>
            </w:tcBorders>
            <w:tcW w:w="6520" w:type="dxa"/>
            <w:textDirection w:val="lrTb"/>
            <w:noWrap w:val="false"/>
          </w:tcPr>
          <w:p>
            <w:pPr>
              <w:pStyle w:val="1146"/>
              <w:ind w:firstLine="0"/>
              <w:jc w:val="left"/>
              <w:spacing w:line="276" w:lineRule="auto"/>
              <w:widowControl w:val="off"/>
              <w:rPr>
                <w:sz w:val="20"/>
              </w:rPr>
            </w:pPr>
            <w:r>
              <w:rPr>
                <w:rFonts w:ascii="Arial Narrow" w:hAnsi="Arial Narrow" w:cs="Calibri"/>
                <w:sz w:val="20"/>
              </w:rPr>
              <w:t xml:space="preserve">От 5 до 10</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725" w:type="dxa"/>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1</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842" w:type="dxa"/>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w:t>
            </w:r>
            <w:r>
              <w:rPr>
                <w:sz w:val="20"/>
              </w:rPr>
            </w:r>
            <w:r>
              <w:rPr>
                <w:sz w:val="20"/>
              </w:rPr>
            </w:r>
          </w:p>
        </w:tc>
      </w:tr>
      <w:tr>
        <w:trPr/>
        <w:tc>
          <w:tcPr>
            <w:tcBorders>
              <w:top w:val="single" w:color="000000" w:sz="4" w:space="0"/>
              <w:left w:val="single" w:color="000000" w:sz="4" w:space="0"/>
              <w:bottom w:val="single" w:color="000000" w:sz="4" w:space="0"/>
              <w:right w:val="single" w:color="000000" w:sz="4" w:space="0"/>
            </w:tcBorders>
            <w:tcW w:w="6520" w:type="dxa"/>
            <w:textDirection w:val="lrTb"/>
            <w:noWrap w:val="false"/>
          </w:tcPr>
          <w:p>
            <w:pPr>
              <w:pStyle w:val="1146"/>
              <w:ind w:firstLine="0"/>
              <w:jc w:val="left"/>
              <w:spacing w:line="276" w:lineRule="auto"/>
              <w:widowControl w:val="off"/>
              <w:rPr>
                <w:sz w:val="20"/>
              </w:rPr>
            </w:pPr>
            <w:r>
              <w:rPr>
                <w:rFonts w:ascii="Arial Narrow" w:hAnsi="Arial Narrow" w:cs="Calibri"/>
                <w:sz w:val="20"/>
              </w:rPr>
              <w:t xml:space="preserve">Более 10</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725" w:type="dxa"/>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842" w:type="dxa"/>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1</w:t>
            </w:r>
            <w:r>
              <w:rPr>
                <w:sz w:val="20"/>
              </w:rPr>
            </w:r>
            <w:r>
              <w:rPr>
                <w:sz w:val="20"/>
              </w:rPr>
            </w:r>
          </w:p>
        </w:tc>
      </w:tr>
      <w:tr>
        <w:trPr/>
        <w:tc>
          <w:tcPr>
            <w:tcBorders>
              <w:top w:val="single" w:color="000000" w:sz="4" w:space="0"/>
              <w:left w:val="single" w:color="000000" w:sz="4" w:space="0"/>
              <w:bottom w:val="single" w:color="000000" w:sz="4" w:space="0"/>
              <w:right w:val="single" w:color="000000" w:sz="4" w:space="0"/>
            </w:tcBorders>
            <w:tcW w:w="6520" w:type="dxa"/>
            <w:textDirection w:val="lrTb"/>
            <w:noWrap w:val="false"/>
          </w:tcPr>
          <w:p>
            <w:pPr>
              <w:pStyle w:val="1146"/>
              <w:ind w:firstLine="0"/>
              <w:jc w:val="left"/>
              <w:spacing w:line="276" w:lineRule="auto"/>
              <w:widowControl w:val="off"/>
              <w:rPr>
                <w:sz w:val="20"/>
              </w:rPr>
            </w:pPr>
            <w:r>
              <w:rPr>
                <w:rFonts w:ascii="Arial Narrow" w:hAnsi="Arial Narrow" w:cs="Calibri"/>
                <w:sz w:val="20"/>
              </w:rPr>
              <w:t xml:space="preserve">Категория пострадавших</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725" w:type="dxa"/>
            <w:textDirection w:val="lrTb"/>
            <w:noWrap w:val="false"/>
          </w:tcPr>
          <w:p>
            <w:pPr>
              <w:pStyle w:val="1146"/>
              <w:ind w:firstLine="0"/>
              <w:jc w:val="center"/>
              <w:spacing w:line="276" w:lineRule="auto"/>
              <w:widowControl w:val="off"/>
              <w:rPr>
                <w:rFonts w:ascii="Arial Narrow" w:hAnsi="Arial Narrow"/>
                <w:b/>
                <w:sz w:val="20"/>
              </w:rPr>
            </w:pPr>
            <w:r>
              <w:rPr>
                <w:rFonts w:ascii="Arial Narrow" w:hAnsi="Arial Narrow"/>
                <w:b/>
                <w:sz w:val="20"/>
              </w:rPr>
            </w:r>
            <w:r>
              <w:rPr>
                <w:rFonts w:ascii="Arial Narrow" w:hAnsi="Arial Narrow"/>
                <w:b/>
                <w:sz w:val="20"/>
              </w:rPr>
            </w:r>
            <w:r>
              <w:rPr>
                <w:rFonts w:ascii="Arial Narrow" w:hAnsi="Arial Narrow"/>
                <w:b/>
                <w:sz w:val="20"/>
              </w:rPr>
            </w:r>
          </w:p>
        </w:tc>
        <w:tc>
          <w:tcPr>
            <w:tcBorders>
              <w:top w:val="single" w:color="000000" w:sz="4" w:space="0"/>
              <w:left w:val="single" w:color="000000" w:sz="4" w:space="0"/>
              <w:bottom w:val="single" w:color="000000" w:sz="4" w:space="0"/>
              <w:right w:val="single" w:color="000000" w:sz="4" w:space="0"/>
            </w:tcBorders>
            <w:tcW w:w="1842" w:type="dxa"/>
            <w:textDirection w:val="lrTb"/>
            <w:noWrap w:val="false"/>
          </w:tcPr>
          <w:p>
            <w:pPr>
              <w:pStyle w:val="1146"/>
              <w:ind w:firstLine="0"/>
              <w:jc w:val="center"/>
              <w:spacing w:line="276" w:lineRule="auto"/>
              <w:widowControl w:val="off"/>
              <w:rPr>
                <w:rFonts w:ascii="Arial Narrow" w:hAnsi="Arial Narrow"/>
                <w:b/>
                <w:sz w:val="20"/>
              </w:rPr>
            </w:pPr>
            <w:r>
              <w:rPr>
                <w:rFonts w:ascii="Arial Narrow" w:hAnsi="Arial Narrow"/>
                <w:b/>
                <w:sz w:val="20"/>
              </w:rPr>
            </w:r>
            <w:r>
              <w:rPr>
                <w:rFonts w:ascii="Arial Narrow" w:hAnsi="Arial Narrow"/>
                <w:b/>
                <w:sz w:val="20"/>
              </w:rPr>
            </w:r>
            <w:r>
              <w:rPr>
                <w:rFonts w:ascii="Arial Narrow" w:hAnsi="Arial Narrow"/>
                <w:b/>
                <w:sz w:val="20"/>
              </w:rPr>
            </w:r>
          </w:p>
        </w:tc>
      </w:tr>
      <w:tr>
        <w:trPr/>
        <w:tc>
          <w:tcPr>
            <w:tcBorders>
              <w:top w:val="single" w:color="000000" w:sz="4" w:space="0"/>
              <w:left w:val="single" w:color="000000" w:sz="4" w:space="0"/>
              <w:bottom w:val="single" w:color="000000" w:sz="4" w:space="0"/>
              <w:right w:val="single" w:color="000000" w:sz="4" w:space="0"/>
            </w:tcBorders>
            <w:tcW w:w="6520" w:type="dxa"/>
            <w:textDirection w:val="lrTb"/>
            <w:noWrap w:val="false"/>
          </w:tcPr>
          <w:p>
            <w:pPr>
              <w:pStyle w:val="1146"/>
              <w:ind w:firstLine="0"/>
              <w:jc w:val="left"/>
              <w:spacing w:line="276" w:lineRule="auto"/>
              <w:widowControl w:val="off"/>
              <w:rPr>
                <w:sz w:val="20"/>
              </w:rPr>
            </w:pPr>
            <w:r>
              <w:rPr>
                <w:rFonts w:ascii="Arial Narrow" w:hAnsi="Arial Narrow" w:cs="Calibri"/>
                <w:sz w:val="20"/>
              </w:rPr>
              <w:t xml:space="preserve">Руководители</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725" w:type="dxa"/>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842" w:type="dxa"/>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w:t>
            </w:r>
            <w:r>
              <w:rPr>
                <w:sz w:val="20"/>
              </w:rPr>
            </w:r>
            <w:r>
              <w:rPr>
                <w:sz w:val="20"/>
              </w:rPr>
            </w:r>
          </w:p>
        </w:tc>
      </w:tr>
      <w:tr>
        <w:trPr/>
        <w:tc>
          <w:tcPr>
            <w:tcBorders>
              <w:top w:val="single" w:color="000000" w:sz="4" w:space="0"/>
              <w:left w:val="single" w:color="000000" w:sz="4" w:space="0"/>
              <w:bottom w:val="single" w:color="000000" w:sz="4" w:space="0"/>
              <w:right w:val="single" w:color="000000" w:sz="4" w:space="0"/>
            </w:tcBorders>
            <w:tcW w:w="6520" w:type="dxa"/>
            <w:textDirection w:val="lrTb"/>
            <w:noWrap w:val="false"/>
          </w:tcPr>
          <w:p>
            <w:pPr>
              <w:pStyle w:val="1146"/>
              <w:ind w:firstLine="0"/>
              <w:jc w:val="left"/>
              <w:spacing w:line="276" w:lineRule="auto"/>
              <w:widowControl w:val="off"/>
              <w:rPr>
                <w:sz w:val="20"/>
              </w:rPr>
            </w:pPr>
            <w:r>
              <w:rPr>
                <w:rFonts w:ascii="Arial Narrow" w:hAnsi="Arial Narrow" w:cs="Calibri"/>
                <w:sz w:val="20"/>
              </w:rPr>
              <w:t xml:space="preserve">Специалисты</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725" w:type="dxa"/>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842" w:type="dxa"/>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w:t>
            </w:r>
            <w:r>
              <w:rPr>
                <w:sz w:val="20"/>
              </w:rPr>
            </w:r>
            <w:r>
              <w:rPr>
                <w:sz w:val="20"/>
              </w:rPr>
            </w:r>
          </w:p>
        </w:tc>
      </w:tr>
      <w:tr>
        <w:trPr/>
        <w:tc>
          <w:tcPr>
            <w:tcBorders>
              <w:top w:val="single" w:color="000000" w:sz="4" w:space="0"/>
              <w:left w:val="single" w:color="000000" w:sz="4" w:space="0"/>
              <w:bottom w:val="single" w:color="000000" w:sz="4" w:space="0"/>
              <w:right w:val="single" w:color="000000" w:sz="4" w:space="0"/>
            </w:tcBorders>
            <w:tcW w:w="6520" w:type="dxa"/>
            <w:textDirection w:val="lrTb"/>
            <w:noWrap w:val="false"/>
          </w:tcPr>
          <w:p>
            <w:pPr>
              <w:pStyle w:val="1146"/>
              <w:ind w:firstLine="0"/>
              <w:jc w:val="left"/>
              <w:spacing w:line="276" w:lineRule="auto"/>
              <w:widowControl w:val="off"/>
              <w:rPr>
                <w:sz w:val="20"/>
              </w:rPr>
            </w:pPr>
            <w:r>
              <w:rPr>
                <w:rFonts w:ascii="Arial Narrow" w:hAnsi="Arial Narrow" w:cs="Calibri"/>
                <w:sz w:val="20"/>
              </w:rPr>
              <w:t xml:space="preserve">Рабочие основных профессий</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725" w:type="dxa"/>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842" w:type="dxa"/>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1</w:t>
            </w:r>
            <w:r>
              <w:rPr>
                <w:sz w:val="20"/>
              </w:rPr>
            </w:r>
            <w:r>
              <w:rPr>
                <w:sz w:val="20"/>
              </w:rPr>
            </w:r>
          </w:p>
        </w:tc>
      </w:tr>
      <w:tr>
        <w:trPr/>
        <w:tc>
          <w:tcPr>
            <w:tcBorders>
              <w:top w:val="single" w:color="000000" w:sz="4" w:space="0"/>
              <w:left w:val="single" w:color="000000" w:sz="4" w:space="0"/>
              <w:bottom w:val="single" w:color="000000" w:sz="4" w:space="0"/>
              <w:right w:val="single" w:color="000000" w:sz="4" w:space="0"/>
            </w:tcBorders>
            <w:tcW w:w="6520" w:type="dxa"/>
            <w:textDirection w:val="lrTb"/>
            <w:noWrap w:val="false"/>
          </w:tcPr>
          <w:p>
            <w:pPr>
              <w:pStyle w:val="1146"/>
              <w:ind w:firstLine="0"/>
              <w:jc w:val="left"/>
              <w:spacing w:line="276" w:lineRule="auto"/>
              <w:widowControl w:val="off"/>
              <w:rPr>
                <w:sz w:val="20"/>
              </w:rPr>
            </w:pPr>
            <w:r>
              <w:rPr>
                <w:rFonts w:ascii="Arial Narrow" w:hAnsi="Arial Narrow" w:cs="Calibri"/>
                <w:sz w:val="20"/>
              </w:rPr>
              <w:t xml:space="preserve">Рабочие вспомогательных профессий</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725" w:type="dxa"/>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1</w:t>
            </w:r>
            <w:r>
              <w:rPr>
                <w:sz w:val="20"/>
              </w:rPr>
            </w:r>
            <w:r>
              <w:rPr>
                <w:sz w:val="20"/>
              </w:rPr>
            </w:r>
          </w:p>
        </w:tc>
        <w:tc>
          <w:tcPr>
            <w:tcBorders>
              <w:top w:val="single" w:color="000000" w:sz="4" w:space="0"/>
              <w:left w:val="single" w:color="000000" w:sz="4" w:space="0"/>
              <w:bottom w:val="single" w:color="000000" w:sz="4" w:space="0"/>
              <w:right w:val="single" w:color="000000" w:sz="4" w:space="0"/>
            </w:tcBorders>
            <w:tcW w:w="1842" w:type="dxa"/>
            <w:textDirection w:val="lrTb"/>
            <w:noWrap w:val="false"/>
          </w:tcPr>
          <w:p>
            <w:pPr>
              <w:pStyle w:val="1146"/>
              <w:ind w:firstLine="0"/>
              <w:jc w:val="center"/>
              <w:spacing w:line="276" w:lineRule="auto"/>
              <w:widowControl w:val="off"/>
              <w:rPr>
                <w:sz w:val="20"/>
              </w:rPr>
            </w:pPr>
            <w:r>
              <w:rPr>
                <w:rFonts w:ascii="Arial Narrow" w:hAnsi="Arial Narrow" w:cs="Calibri"/>
                <w:sz w:val="20"/>
              </w:rPr>
              <w:t xml:space="preserve">-</w:t>
            </w:r>
            <w:r>
              <w:rPr>
                <w:sz w:val="20"/>
              </w:rPr>
            </w:r>
            <w:r>
              <w:rPr>
                <w:sz w:val="20"/>
              </w:rPr>
            </w:r>
          </w:p>
        </w:tc>
      </w:tr>
    </w:tbl>
    <w:p>
      <w:pPr>
        <w:pStyle w:val="1063"/>
        <w:jc w:val="both"/>
        <w:tabs>
          <w:tab w:val="left" w:pos="566" w:leader="none"/>
          <w:tab w:val="left" w:pos="850" w:leader="none"/>
        </w:tabs>
        <w:rPr>
          <w:rFonts w:ascii="Arial Narrow" w:hAnsi="Arial Narrow" w:cs="Calibri"/>
          <w:color w:val="314e87"/>
        </w:rPr>
      </w:pPr>
      <w:r>
        <w:rPr>
          <w:rFonts w:ascii="Arial Narrow" w:hAnsi="Arial Narrow" w:cs="Calibri"/>
          <w:color w:val="314e87"/>
        </w:rPr>
      </w:r>
      <w:r>
        <w:rPr>
          <w:rFonts w:ascii="Arial Narrow" w:hAnsi="Arial Narrow" w:cs="Calibri"/>
          <w:color w:val="314e87"/>
        </w:rPr>
      </w:r>
      <w:r>
        <w:rPr>
          <w:rFonts w:ascii="Arial Narrow" w:hAnsi="Arial Narrow" w:cs="Calibri"/>
          <w:color w:val="314e87"/>
        </w:rPr>
      </w:r>
    </w:p>
    <w:p>
      <w:pPr>
        <w:rPr>
          <w:rFonts w:ascii="Arial Narrow" w:hAnsi="Arial Narrow" w:eastAsia="Times New Roman" w:cs="Calibri"/>
          <w:color w:val="314e87"/>
          <w:sz w:val="24"/>
          <w:szCs w:val="24"/>
          <w:lang w:eastAsia="zh-CN"/>
        </w:rPr>
      </w:pPr>
      <w:r>
        <w:br w:type="page" w:clear="all"/>
      </w:r>
      <w:r>
        <w:rPr>
          <w:rFonts w:ascii="Arial Narrow" w:hAnsi="Arial Narrow" w:eastAsia="Times New Roman" w:cs="Calibri"/>
          <w:color w:val="314e87"/>
          <w:sz w:val="24"/>
          <w:szCs w:val="24"/>
          <w:lang w:eastAsia="zh-CN"/>
        </w:rPr>
      </w:r>
      <w:r>
        <w:rPr>
          <w:rFonts w:ascii="Arial Narrow" w:hAnsi="Arial Narrow" w:eastAsia="Times New Roman" w:cs="Calibri"/>
          <w:color w:val="314e87"/>
          <w:sz w:val="24"/>
          <w:szCs w:val="24"/>
          <w:lang w:eastAsia="zh-CN"/>
        </w:rPr>
      </w:r>
    </w:p>
    <w:p>
      <w:pPr>
        <w:pStyle w:val="1063"/>
        <w:jc w:val="both"/>
        <w:spacing w:after="120"/>
        <w:tabs>
          <w:tab w:val="left" w:pos="566" w:leader="none"/>
          <w:tab w:val="left" w:pos="850" w:leader="none"/>
        </w:tabs>
        <w:rPr>
          <w:rFonts w:ascii="Arial Narrow" w:hAnsi="Arial Narrow" w:cs="Calibri"/>
          <w:b/>
          <w:color w:val="314e87"/>
        </w:rPr>
      </w:pPr>
      <w:r>
        <w:rPr>
          <w:rFonts w:ascii="Arial Narrow" w:hAnsi="Arial Narrow" w:cs="Calibri"/>
          <w:b/>
          <w:color w:val="314e87"/>
        </w:rPr>
        <w:t xml:space="preserve">Организация противопожарных мероприятий</w:t>
      </w:r>
      <w:r>
        <w:rPr>
          <w:rFonts w:ascii="Arial Narrow" w:hAnsi="Arial Narrow" w:cs="Calibri"/>
          <w:b/>
          <w:color w:val="314e87"/>
        </w:rPr>
      </w:r>
      <w:r>
        <w:rPr>
          <w:rFonts w:ascii="Arial Narrow" w:hAnsi="Arial Narrow" w:cs="Calibri"/>
          <w:b/>
          <w:color w:val="314e87"/>
        </w:rPr>
      </w:r>
    </w:p>
    <w:p>
      <w:pPr>
        <w:pStyle w:val="1063"/>
        <w:ind w:firstLine="567"/>
        <w:jc w:val="both"/>
        <w:tabs>
          <w:tab w:val="left" w:pos="993" w:leader="none"/>
        </w:tabs>
      </w:pPr>
      <w:r>
        <w:rPr>
          <w:rFonts w:ascii="Arial Narrow" w:hAnsi="Arial Narrow" w:cs="Calibri"/>
        </w:rPr>
        <w:t xml:space="preserve">С целью предупреждения возникновения пожаров на объектах ПАО «Камчатскэнерго» в 2024 году реализованы следующие мероприятия:</w:t>
      </w:r>
      <w:r/>
    </w:p>
    <w:p>
      <w:pPr>
        <w:pStyle w:val="1091"/>
        <w:numPr>
          <w:ilvl w:val="0"/>
          <w:numId w:val="8"/>
        </w:numPr>
        <w:ind w:left="0" w:firstLine="567"/>
        <w:jc w:val="both"/>
        <w:spacing w:line="276" w:lineRule="auto"/>
        <w:tabs>
          <w:tab w:val="left" w:pos="993" w:leader="none"/>
        </w:tabs>
        <w:rPr>
          <w:lang w:val="ru-RU"/>
        </w:rPr>
      </w:pPr>
      <w:r>
        <w:rPr>
          <w:rFonts w:ascii="Arial Narrow" w:hAnsi="Arial Narrow" w:cs="Calibri"/>
          <w:sz w:val="24"/>
          <w:szCs w:val="24"/>
          <w:lang w:val="ru-RU"/>
        </w:rPr>
        <w:t xml:space="preserve">Разработка плана мероприятий по обеспечению пожарной безопасности в ПАО</w:t>
      </w:r>
      <w:r>
        <w:rPr>
          <w:rFonts w:ascii="Arial Narrow" w:hAnsi="Arial Narrow" w:cs="Calibri"/>
          <w:sz w:val="24"/>
          <w:szCs w:val="24"/>
        </w:rPr>
        <w:t xml:space="preserve"> </w:t>
      </w:r>
      <w:r>
        <w:rPr>
          <w:rFonts w:ascii="Arial Narrow" w:hAnsi="Arial Narrow" w:cs="Calibri"/>
          <w:sz w:val="24"/>
          <w:szCs w:val="24"/>
          <w:lang w:val="ru-RU"/>
        </w:rPr>
        <w:t xml:space="preserve">«Камчатскэнерго» на 2025 год.</w:t>
      </w:r>
      <w:r>
        <w:rPr>
          <w:lang w:val="ru-RU"/>
        </w:rPr>
      </w:r>
      <w:r>
        <w:rPr>
          <w:lang w:val="ru-RU"/>
        </w:rPr>
      </w:r>
    </w:p>
    <w:p>
      <w:pPr>
        <w:pStyle w:val="1091"/>
        <w:numPr>
          <w:ilvl w:val="0"/>
          <w:numId w:val="8"/>
        </w:numPr>
        <w:ind w:left="0" w:firstLine="567"/>
        <w:jc w:val="both"/>
        <w:spacing w:line="276" w:lineRule="auto"/>
        <w:tabs>
          <w:tab w:val="left" w:pos="993" w:leader="none"/>
        </w:tabs>
        <w:rPr>
          <w:lang w:val="ru-RU"/>
        </w:rPr>
      </w:pPr>
      <w:r>
        <w:rPr>
          <w:rFonts w:ascii="Arial Narrow" w:hAnsi="Arial Narrow" w:cs="Calibri"/>
          <w:sz w:val="24"/>
          <w:szCs w:val="24"/>
          <w:lang w:val="ru-RU"/>
        </w:rPr>
        <w:t xml:space="preserve">Разработка графика проведения проверок объектов и подразделений филиалов ПАО</w:t>
      </w:r>
      <w:r>
        <w:rPr>
          <w:rFonts w:ascii="Arial Narrow" w:hAnsi="Arial Narrow" w:cs="Calibri"/>
          <w:sz w:val="24"/>
          <w:szCs w:val="24"/>
        </w:rPr>
        <w:t xml:space="preserve"> </w:t>
      </w:r>
      <w:r>
        <w:rPr>
          <w:rFonts w:ascii="Arial Narrow" w:hAnsi="Arial Narrow" w:cs="Calibri"/>
          <w:sz w:val="24"/>
          <w:szCs w:val="24"/>
          <w:lang w:val="ru-RU"/>
        </w:rPr>
        <w:t xml:space="preserve">«Камчатскэнерго» по вопросам обеспечения пожарной безопасности на 2025 год.</w:t>
      </w:r>
      <w:r>
        <w:rPr>
          <w:lang w:val="ru-RU"/>
        </w:rPr>
      </w:r>
      <w:r>
        <w:rPr>
          <w:lang w:val="ru-RU"/>
        </w:rPr>
      </w:r>
    </w:p>
    <w:p>
      <w:pPr>
        <w:pStyle w:val="1091"/>
        <w:numPr>
          <w:ilvl w:val="0"/>
          <w:numId w:val="8"/>
        </w:numPr>
        <w:ind w:left="0" w:firstLine="567"/>
        <w:jc w:val="both"/>
        <w:spacing w:line="276" w:lineRule="auto"/>
        <w:tabs>
          <w:tab w:val="left" w:pos="993" w:leader="none"/>
        </w:tabs>
        <w:rPr>
          <w:lang w:val="ru-RU"/>
        </w:rPr>
      </w:pPr>
      <w:r>
        <w:rPr>
          <w:rFonts w:ascii="Arial Narrow" w:hAnsi="Arial Narrow" w:cs="Calibri"/>
          <w:sz w:val="24"/>
          <w:szCs w:val="24"/>
          <w:lang w:val="ru-RU"/>
        </w:rPr>
        <w:t xml:space="preserve">Обучение работников ПАО</w:t>
      </w:r>
      <w:r>
        <w:rPr>
          <w:rFonts w:ascii="Arial Narrow" w:hAnsi="Arial Narrow" w:cs="Calibri"/>
          <w:sz w:val="24"/>
          <w:szCs w:val="24"/>
        </w:rPr>
        <w:t xml:space="preserve"> </w:t>
      </w:r>
      <w:r>
        <w:rPr>
          <w:rFonts w:ascii="Arial Narrow" w:hAnsi="Arial Narrow" w:cs="Calibri"/>
          <w:sz w:val="24"/>
          <w:szCs w:val="24"/>
          <w:lang w:val="ru-RU"/>
        </w:rPr>
        <w:t xml:space="preserve">«Камчатскэнерго» мерам пожарной безопасности путем проведения противопожарного инструктажа и обучения по программам повышения квалификации, проверки знаний по пожарной безопасности, проведения цеховых и общестанционных противопожарных тренировок.</w:t>
      </w:r>
      <w:r>
        <w:rPr>
          <w:lang w:val="ru-RU"/>
        </w:rPr>
      </w:r>
      <w:r>
        <w:rPr>
          <w:lang w:val="ru-RU"/>
        </w:rPr>
      </w:r>
    </w:p>
    <w:p>
      <w:pPr>
        <w:pStyle w:val="1091"/>
        <w:numPr>
          <w:ilvl w:val="0"/>
          <w:numId w:val="8"/>
        </w:numPr>
        <w:ind w:left="0" w:firstLine="567"/>
        <w:jc w:val="both"/>
        <w:spacing w:line="276" w:lineRule="auto"/>
        <w:tabs>
          <w:tab w:val="left" w:pos="993" w:leader="none"/>
        </w:tabs>
        <w:rPr>
          <w:lang w:val="ru-RU"/>
        </w:rPr>
      </w:pPr>
      <w:r>
        <w:rPr>
          <w:rFonts w:ascii="Arial Narrow" w:hAnsi="Arial Narrow" w:cs="Calibri"/>
          <w:sz w:val="24"/>
          <w:szCs w:val="24"/>
          <w:lang w:val="ru-RU"/>
        </w:rPr>
        <w:t xml:space="preserve">Оформление нарядов – допусков при проведении огневых работ, при работах на пожароопасном оборудовании и сооружениях. Контроль проведения и соблюдения требования пожарной безопасности при проведении огневых и других пожароопасных работ.</w:t>
      </w:r>
      <w:r>
        <w:rPr>
          <w:lang w:val="ru-RU"/>
        </w:rPr>
      </w:r>
      <w:r>
        <w:rPr>
          <w:lang w:val="ru-RU"/>
        </w:rPr>
      </w:r>
    </w:p>
    <w:p>
      <w:pPr>
        <w:pStyle w:val="1091"/>
        <w:numPr>
          <w:ilvl w:val="0"/>
          <w:numId w:val="8"/>
        </w:numPr>
        <w:ind w:left="0" w:firstLine="567"/>
        <w:jc w:val="both"/>
        <w:spacing w:line="276" w:lineRule="auto"/>
        <w:tabs>
          <w:tab w:val="left" w:pos="993" w:leader="none"/>
        </w:tabs>
        <w:rPr>
          <w:lang w:val="ru-RU"/>
        </w:rPr>
      </w:pPr>
      <w:r>
        <w:rPr>
          <w:rFonts w:ascii="Arial Narrow" w:hAnsi="Arial Narrow" w:cs="Calibri"/>
          <w:sz w:val="24"/>
          <w:szCs w:val="24"/>
          <w:lang w:val="ru-RU"/>
        </w:rPr>
        <w:t xml:space="preserve">Организация и проведение смотра-конкурса на лучшее противопожарное состояние среди подразделений филиалов ПАО «Камчатскэнерго» в 2025 году.</w:t>
      </w:r>
      <w:r>
        <w:rPr>
          <w:lang w:val="ru-RU"/>
        </w:rPr>
      </w:r>
      <w:r>
        <w:rPr>
          <w:lang w:val="ru-RU"/>
        </w:rPr>
      </w:r>
    </w:p>
    <w:p>
      <w:pPr>
        <w:pStyle w:val="1091"/>
        <w:numPr>
          <w:ilvl w:val="0"/>
          <w:numId w:val="8"/>
        </w:numPr>
        <w:ind w:left="0" w:firstLine="567"/>
        <w:jc w:val="both"/>
        <w:spacing w:line="276" w:lineRule="auto"/>
        <w:tabs>
          <w:tab w:val="left" w:pos="993" w:leader="none"/>
        </w:tabs>
        <w:rPr>
          <w:lang w:val="ru-RU"/>
        </w:rPr>
      </w:pPr>
      <w:r>
        <w:rPr>
          <w:rFonts w:ascii="Arial Narrow" w:hAnsi="Arial Narrow" w:cs="Calibri"/>
          <w:sz w:val="24"/>
          <w:szCs w:val="24"/>
          <w:lang w:val="ru-RU"/>
        </w:rPr>
        <w:t xml:space="preserve">Проведение месяч</w:t>
      </w:r>
      <w:r>
        <w:rPr>
          <w:rFonts w:ascii="Arial Narrow" w:hAnsi="Arial Narrow" w:cs="Calibri"/>
          <w:sz w:val="24"/>
          <w:szCs w:val="24"/>
          <w:lang w:val="ru-RU"/>
        </w:rPr>
        <w:t xml:space="preserve">ника по пожарной безопасности по Плану мероприятий по подготовке и прохождению филиалов ПАО «Камчатскэнерго» пожароопасного сезона 2025 года, составление перечня мероприятий для оперативного устранения выявленных нарушений требований пожарной безопасности.</w:t>
      </w:r>
      <w:r>
        <w:rPr>
          <w:lang w:val="ru-RU"/>
        </w:rPr>
      </w:r>
      <w:r>
        <w:rPr>
          <w:lang w:val="ru-RU"/>
        </w:rPr>
      </w:r>
    </w:p>
    <w:p>
      <w:pPr>
        <w:pStyle w:val="1091"/>
        <w:numPr>
          <w:ilvl w:val="0"/>
          <w:numId w:val="8"/>
        </w:numPr>
        <w:ind w:left="0" w:firstLine="567"/>
        <w:jc w:val="both"/>
        <w:spacing w:line="276" w:lineRule="auto"/>
        <w:tabs>
          <w:tab w:val="left" w:pos="993" w:leader="none"/>
        </w:tabs>
        <w:rPr>
          <w:lang w:val="ru-RU"/>
        </w:rPr>
      </w:pPr>
      <w:r>
        <w:rPr>
          <w:rFonts w:ascii="Arial Narrow" w:hAnsi="Arial Narrow" w:cs="Calibri"/>
          <w:sz w:val="24"/>
          <w:szCs w:val="24"/>
          <w:lang w:val="ru-RU"/>
        </w:rPr>
        <w:t xml:space="preserve">Актуализация, издание организационно-распорядительных документов, локальных актов, инструкций по пожарной безопасности в исполнительном аппарате и филиалах ПАО</w:t>
      </w:r>
      <w:r>
        <w:rPr>
          <w:rFonts w:ascii="Arial Narrow" w:hAnsi="Arial Narrow" w:cs="Calibri"/>
          <w:sz w:val="24"/>
          <w:szCs w:val="24"/>
        </w:rPr>
        <w:t xml:space="preserve"> </w:t>
      </w:r>
      <w:r>
        <w:rPr>
          <w:rFonts w:ascii="Arial Narrow" w:hAnsi="Arial Narrow" w:cs="Calibri"/>
          <w:sz w:val="24"/>
          <w:szCs w:val="24"/>
          <w:lang w:val="ru-RU"/>
        </w:rPr>
        <w:t xml:space="preserve">«Камчатскэнерго»</w:t>
      </w:r>
      <w:r>
        <w:rPr>
          <w:lang w:val="ru-RU"/>
        </w:rPr>
      </w:r>
      <w:r>
        <w:rPr>
          <w:lang w:val="ru-RU"/>
        </w:rPr>
      </w:r>
    </w:p>
    <w:p>
      <w:pPr>
        <w:pStyle w:val="1091"/>
        <w:numPr>
          <w:ilvl w:val="0"/>
          <w:numId w:val="8"/>
        </w:numPr>
        <w:ind w:left="0" w:firstLine="567"/>
        <w:jc w:val="both"/>
        <w:spacing w:line="276" w:lineRule="auto"/>
        <w:tabs>
          <w:tab w:val="left" w:pos="993" w:leader="none"/>
        </w:tabs>
        <w:rPr>
          <w:lang w:val="ru-RU"/>
        </w:rPr>
      </w:pPr>
      <w:r>
        <w:rPr>
          <w:rFonts w:ascii="Arial Narrow" w:hAnsi="Arial Narrow" w:cs="Calibri"/>
          <w:sz w:val="24"/>
          <w:szCs w:val="24"/>
          <w:lang w:val="ru-RU"/>
        </w:rPr>
        <w:t xml:space="preserve">Обеспечение объектов защиты первичными средствами пожаротушения, знаками плакатами, нормативной и технической литературой.</w:t>
      </w:r>
      <w:r>
        <w:rPr>
          <w:lang w:val="ru-RU"/>
        </w:rPr>
      </w:r>
      <w:r>
        <w:rPr>
          <w:lang w:val="ru-RU"/>
        </w:rPr>
      </w:r>
    </w:p>
    <w:p>
      <w:pPr>
        <w:pStyle w:val="1091"/>
        <w:numPr>
          <w:ilvl w:val="0"/>
          <w:numId w:val="8"/>
        </w:numPr>
        <w:ind w:left="0" w:firstLine="567"/>
        <w:jc w:val="both"/>
        <w:spacing w:line="276" w:lineRule="auto"/>
        <w:tabs>
          <w:tab w:val="left" w:pos="993" w:leader="none"/>
        </w:tabs>
        <w:rPr>
          <w:lang w:val="ru-RU"/>
        </w:rPr>
      </w:pPr>
      <w:r>
        <w:rPr>
          <w:rFonts w:ascii="Arial Narrow" w:hAnsi="Arial Narrow" w:cs="Calibri"/>
          <w:sz w:val="24"/>
          <w:szCs w:val="24"/>
          <w:lang w:val="ru-RU"/>
        </w:rPr>
        <w:t xml:space="preserve">Проведение проверок объектов филиалов ПАО «Камчатскэнерго» в соответствии с графиком, по вопросам обеспечения пожарной безопас</w:t>
      </w:r>
      <w:r>
        <w:rPr>
          <w:rFonts w:ascii="Arial Narrow" w:hAnsi="Arial Narrow" w:cs="Calibri"/>
          <w:sz w:val="24"/>
          <w:szCs w:val="24"/>
          <w:lang w:val="ru-RU"/>
        </w:rPr>
        <w:t xml:space="preserve">ности на 2025 год, разработка противопожарных мероприятий по устранению нарушений с составлением Актов - предписаний по устранению нарушений требований пожарной безопасности, а также по соблюдению строгого противопожарного режима в подразделениях филиалов.</w:t>
      </w:r>
      <w:r>
        <w:rPr>
          <w:lang w:val="ru-RU"/>
        </w:rPr>
      </w:r>
      <w:r>
        <w:rPr>
          <w:lang w:val="ru-RU"/>
        </w:rPr>
      </w:r>
    </w:p>
    <w:p>
      <w:pPr>
        <w:pStyle w:val="1091"/>
        <w:numPr>
          <w:ilvl w:val="0"/>
          <w:numId w:val="8"/>
        </w:numPr>
        <w:ind w:left="0" w:firstLine="567"/>
        <w:jc w:val="both"/>
        <w:spacing w:line="276" w:lineRule="auto"/>
        <w:tabs>
          <w:tab w:val="left" w:pos="993" w:leader="none"/>
        </w:tabs>
        <w:rPr>
          <w:lang w:val="ru-RU"/>
        </w:rPr>
      </w:pPr>
      <w:r>
        <w:rPr>
          <w:rFonts w:ascii="Arial Narrow" w:hAnsi="Arial Narrow" w:cs="Calibri"/>
          <w:sz w:val="24"/>
          <w:szCs w:val="24"/>
          <w:lang w:val="ru-RU"/>
        </w:rPr>
        <w:t xml:space="preserve">Проведение торгово-закупочных процедур, заключение договоров на оказание услуг по техническому обслуживанию первичных средств пожаротушения, систем противопожарной защиты зданий и сооружений.</w:t>
      </w:r>
      <w:r>
        <w:rPr>
          <w:lang w:val="ru-RU"/>
        </w:rPr>
      </w:r>
      <w:r>
        <w:rPr>
          <w:lang w:val="ru-RU"/>
        </w:rPr>
      </w:r>
    </w:p>
    <w:p>
      <w:pPr>
        <w:pStyle w:val="1091"/>
        <w:numPr>
          <w:ilvl w:val="0"/>
          <w:numId w:val="8"/>
        </w:numPr>
        <w:ind w:left="0" w:firstLine="567"/>
        <w:jc w:val="both"/>
        <w:spacing w:line="276" w:lineRule="auto"/>
        <w:tabs>
          <w:tab w:val="left" w:pos="993" w:leader="none"/>
        </w:tabs>
        <w:rPr>
          <w:lang w:val="ru-RU"/>
        </w:rPr>
      </w:pPr>
      <w:r>
        <w:rPr>
          <w:rFonts w:ascii="Arial Narrow" w:hAnsi="Arial Narrow" w:cs="Calibri"/>
          <w:sz w:val="24"/>
          <w:szCs w:val="24"/>
          <w:lang w:val="ru-RU"/>
        </w:rPr>
        <w:t xml:space="preserve">Проведение работ по освидетельствованию, техническому обслуживанию и перезарядке первичных средств пожаротушения (огнетушителей) на энергетических объектах.</w:t>
      </w:r>
      <w:r>
        <w:rPr>
          <w:lang w:val="ru-RU"/>
        </w:rPr>
      </w:r>
      <w:r>
        <w:rPr>
          <w:lang w:val="ru-RU"/>
        </w:rPr>
      </w:r>
    </w:p>
    <w:p>
      <w:pPr>
        <w:pStyle w:val="1091"/>
        <w:numPr>
          <w:ilvl w:val="0"/>
          <w:numId w:val="8"/>
        </w:numPr>
        <w:ind w:left="0" w:firstLine="567"/>
        <w:jc w:val="both"/>
        <w:spacing w:line="276" w:lineRule="auto"/>
        <w:tabs>
          <w:tab w:val="left" w:pos="993" w:leader="none"/>
        </w:tabs>
        <w:rPr>
          <w:lang w:val="ru-RU"/>
        </w:rPr>
      </w:pPr>
      <w:r>
        <w:rPr>
          <w:rFonts w:ascii="Arial Narrow" w:hAnsi="Arial Narrow" w:cs="Calibri"/>
          <w:sz w:val="24"/>
          <w:szCs w:val="24"/>
          <w:lang w:val="ru-RU"/>
        </w:rPr>
        <w:t xml:space="preserve">Проведение работ по проверке и техническому обслуживанию автоматических установок пожарной сигнализации и системы оповещения людей о пожаре.</w:t>
      </w:r>
      <w:r>
        <w:rPr>
          <w:lang w:val="ru-RU"/>
        </w:rPr>
      </w:r>
      <w:r>
        <w:rPr>
          <w:lang w:val="ru-RU"/>
        </w:rPr>
      </w:r>
    </w:p>
    <w:p>
      <w:pPr>
        <w:pStyle w:val="1091"/>
        <w:numPr>
          <w:ilvl w:val="0"/>
          <w:numId w:val="8"/>
        </w:numPr>
        <w:ind w:left="0" w:firstLine="567"/>
        <w:jc w:val="both"/>
        <w:spacing w:line="276" w:lineRule="auto"/>
        <w:tabs>
          <w:tab w:val="left" w:pos="993" w:leader="none"/>
        </w:tabs>
        <w:rPr>
          <w:lang w:val="ru-RU"/>
        </w:rPr>
      </w:pPr>
      <w:r>
        <w:rPr>
          <w:rFonts w:ascii="Arial Narrow" w:hAnsi="Arial Narrow" w:cs="Calibri"/>
          <w:sz w:val="24"/>
          <w:szCs w:val="24"/>
          <w:lang w:val="ru-RU"/>
        </w:rPr>
        <w:t xml:space="preserve">Проведение работ по испытанию и техническому обслуживанию сетей внутреннего и наружного противопожарного водопровода.</w:t>
      </w:r>
      <w:r>
        <w:rPr>
          <w:lang w:val="ru-RU"/>
        </w:rPr>
      </w:r>
      <w:r>
        <w:rPr>
          <w:lang w:val="ru-RU"/>
        </w:rPr>
      </w:r>
    </w:p>
    <w:p>
      <w:pPr>
        <w:pStyle w:val="1091"/>
        <w:numPr>
          <w:ilvl w:val="0"/>
          <w:numId w:val="8"/>
        </w:numPr>
        <w:ind w:left="0" w:firstLine="567"/>
        <w:jc w:val="both"/>
        <w:spacing w:line="276" w:lineRule="auto"/>
        <w:tabs>
          <w:tab w:val="left" w:pos="993" w:leader="none"/>
        </w:tabs>
        <w:rPr>
          <w:lang w:val="ru-RU"/>
        </w:rPr>
      </w:pPr>
      <w:r>
        <w:rPr>
          <w:rFonts w:ascii="Arial Narrow" w:hAnsi="Arial Narrow" w:cs="Calibri"/>
          <w:sz w:val="24"/>
          <w:szCs w:val="24"/>
          <w:lang w:val="ru-RU"/>
        </w:rPr>
        <w:t xml:space="preserve">Проведение работ по огнезащитной обработке конструкций зданий сооружений.</w:t>
      </w:r>
      <w:r>
        <w:rPr>
          <w:lang w:val="ru-RU"/>
        </w:rPr>
      </w:r>
      <w:r>
        <w:rPr>
          <w:lang w:val="ru-RU"/>
        </w:rPr>
      </w:r>
    </w:p>
    <w:p>
      <w:pPr>
        <w:pStyle w:val="1091"/>
        <w:numPr>
          <w:ilvl w:val="0"/>
          <w:numId w:val="8"/>
        </w:numPr>
        <w:ind w:left="0" w:firstLine="567"/>
        <w:jc w:val="both"/>
        <w:spacing w:line="276" w:lineRule="auto"/>
        <w:tabs>
          <w:tab w:val="left" w:pos="993" w:leader="none"/>
        </w:tabs>
        <w:rPr>
          <w:lang w:val="ru-RU"/>
        </w:rPr>
      </w:pPr>
      <w:r>
        <w:rPr>
          <w:rFonts w:ascii="Arial Narrow" w:hAnsi="Arial Narrow" w:cs="Calibri"/>
          <w:sz w:val="24"/>
          <w:szCs w:val="24"/>
          <w:lang w:val="ru-RU"/>
        </w:rPr>
        <w:t xml:space="preserve">Ремонт, испытание наружных эвакуационных лестниц на объектах ПАО</w:t>
      </w:r>
      <w:r>
        <w:rPr>
          <w:rFonts w:ascii="Arial Narrow" w:hAnsi="Arial Narrow" w:cs="Calibri"/>
          <w:sz w:val="24"/>
          <w:szCs w:val="24"/>
        </w:rPr>
        <w:t xml:space="preserve"> </w:t>
      </w:r>
      <w:r>
        <w:rPr>
          <w:rFonts w:ascii="Arial Narrow" w:hAnsi="Arial Narrow" w:cs="Calibri"/>
          <w:sz w:val="24"/>
          <w:szCs w:val="24"/>
          <w:lang w:val="ru-RU"/>
        </w:rPr>
        <w:t xml:space="preserve">«Камчатскэнерго».</w:t>
      </w:r>
      <w:r>
        <w:rPr>
          <w:lang w:val="ru-RU"/>
        </w:rPr>
      </w:r>
      <w:r>
        <w:rPr>
          <w:lang w:val="ru-RU"/>
        </w:rPr>
      </w:r>
    </w:p>
    <w:p>
      <w:pPr>
        <w:pStyle w:val="1091"/>
        <w:numPr>
          <w:ilvl w:val="0"/>
          <w:numId w:val="8"/>
        </w:numPr>
        <w:ind w:left="0" w:firstLine="567"/>
        <w:jc w:val="both"/>
        <w:spacing w:line="276" w:lineRule="auto"/>
        <w:tabs>
          <w:tab w:val="left" w:pos="993" w:leader="none"/>
        </w:tabs>
        <w:rPr>
          <w:lang w:val="ru-RU"/>
        </w:rPr>
      </w:pPr>
      <w:r>
        <w:rPr>
          <w:rFonts w:ascii="Arial Narrow" w:hAnsi="Arial Narrow" w:cs="Calibri"/>
          <w:sz w:val="24"/>
          <w:szCs w:val="24"/>
          <w:lang w:val="ru-RU"/>
        </w:rPr>
        <w:t xml:space="preserve">Монтаж автоматической пожарной сигнализации и системы оповещения и управления эвакуацией людей при пожаре котельной котельных № 12 «Сероглазка», 14 «Халактырка», </w:t>
      </w:r>
      <w:r>
        <w:rPr>
          <w:rFonts w:ascii="Arial Narrow" w:hAnsi="Arial Narrow" w:cs="Calibri"/>
          <w:sz w:val="24"/>
          <w:szCs w:val="24"/>
          <w:lang w:val="ru-RU"/>
        </w:rPr>
        <w:br/>
        <w:t xml:space="preserve">16 «Долиновка», 17 «Чапаевка», 18 «Завойко», 42 «Заозёрка», 56 «С/х Петропавловский» Петропавловск-Камчатского городского округа.</w:t>
      </w:r>
      <w:r>
        <w:rPr>
          <w:lang w:val="ru-RU"/>
        </w:rPr>
      </w:r>
      <w:r>
        <w:rPr>
          <w:lang w:val="ru-RU"/>
        </w:rPr>
      </w:r>
    </w:p>
    <w:p>
      <w:pPr>
        <w:pStyle w:val="1091"/>
        <w:numPr>
          <w:ilvl w:val="0"/>
          <w:numId w:val="8"/>
        </w:numPr>
        <w:ind w:left="0" w:firstLine="567"/>
        <w:jc w:val="both"/>
        <w:spacing w:line="276" w:lineRule="auto"/>
        <w:tabs>
          <w:tab w:val="left" w:pos="993" w:leader="none"/>
        </w:tabs>
        <w:rPr>
          <w:lang w:val="ru-RU"/>
        </w:rPr>
      </w:pPr>
      <w:r>
        <w:rPr>
          <w:rFonts w:ascii="Arial Narrow" w:hAnsi="Arial Narrow" w:cs="Calibri"/>
          <w:sz w:val="24"/>
          <w:szCs w:val="24"/>
          <w:lang w:val="ru-RU"/>
        </w:rPr>
        <w:t xml:space="preserve">Проектирование, разработка сметной документации, автоматической пожарной сигнализации и системы управления оповещения и эвакуацией людей при пожаре котельных № 6 «Авача», 40 «КМП», </w:t>
      </w:r>
      <w:r>
        <w:rPr>
          <w:rFonts w:ascii="Arial Narrow" w:hAnsi="Arial Narrow" w:cs="Calibri"/>
          <w:sz w:val="24"/>
          <w:szCs w:val="24"/>
          <w:lang w:val="ru-RU"/>
        </w:rPr>
        <w:br/>
        <w:t xml:space="preserve">45 «Владивостокская», 46 «Школа № 18», 62 «103 квартал», ЦТП-3, ЦТП-21 Петропавловск-Камчатского городского округа.</w:t>
      </w:r>
      <w:r>
        <w:rPr>
          <w:lang w:val="ru-RU"/>
        </w:rPr>
      </w:r>
      <w:r>
        <w:rPr>
          <w:lang w:val="ru-RU"/>
        </w:rPr>
      </w:r>
    </w:p>
    <w:p>
      <w:pPr>
        <w:pStyle w:val="1091"/>
        <w:numPr>
          <w:ilvl w:val="0"/>
          <w:numId w:val="8"/>
        </w:numPr>
        <w:ind w:left="0" w:firstLine="567"/>
        <w:jc w:val="both"/>
        <w:spacing w:line="276" w:lineRule="auto"/>
        <w:tabs>
          <w:tab w:val="left" w:pos="993" w:leader="none"/>
        </w:tabs>
        <w:rPr>
          <w:lang w:val="ru-RU"/>
        </w:rPr>
      </w:pPr>
      <w:r>
        <w:rPr>
          <w:rFonts w:ascii="Arial Narrow" w:hAnsi="Arial Narrow" w:cs="Calibri"/>
          <w:sz w:val="24"/>
          <w:szCs w:val="24"/>
          <w:lang w:val="ru-RU"/>
        </w:rPr>
        <w:t xml:space="preserve">Разработка проектно-см</w:t>
      </w:r>
      <w:r>
        <w:rPr>
          <w:rFonts w:ascii="Arial Narrow" w:hAnsi="Arial Narrow" w:cs="Calibri"/>
          <w:sz w:val="24"/>
          <w:szCs w:val="24"/>
          <w:lang w:val="ru-RU"/>
        </w:rPr>
        <w:t xml:space="preserve">етной документации для реконструкции ЦТП-102, ЦТП-221, ЦТП-312, ЦТП-314, ЦТП-316, ЦТП-318, ЦТП-328, ЦТП-334, ЦТП-344 (автоматизация ЦТП, охрано-пожарная сигнализация, установка видеонаблюдения, замена оборудования на энергоэффективное, подключение к ВОЛС).</w:t>
      </w:r>
      <w:r>
        <w:rPr>
          <w:lang w:val="ru-RU"/>
        </w:rPr>
      </w:r>
      <w:r>
        <w:rPr>
          <w:lang w:val="ru-RU"/>
        </w:rPr>
      </w:r>
    </w:p>
    <w:p>
      <w:pPr>
        <w:pStyle w:val="1091"/>
        <w:numPr>
          <w:ilvl w:val="0"/>
          <w:numId w:val="8"/>
        </w:numPr>
        <w:ind w:left="0" w:firstLine="567"/>
        <w:jc w:val="both"/>
        <w:spacing w:line="276" w:lineRule="auto"/>
        <w:tabs>
          <w:tab w:val="left" w:pos="993" w:leader="none"/>
        </w:tabs>
        <w:rPr>
          <w:lang w:val="ru-RU"/>
        </w:rPr>
      </w:pPr>
      <w:r>
        <w:rPr>
          <w:rFonts w:ascii="Arial Narrow" w:hAnsi="Arial Narrow" w:cs="Calibri"/>
          <w:sz w:val="24"/>
          <w:szCs w:val="24"/>
          <w:lang w:val="ru-RU"/>
        </w:rPr>
        <w:t xml:space="preserve">Разработка проектно-сметной документации для реконструкции ПНС-26 (автоматизация ПНС, охрано-пожарная сигнализация, установка видеонаблюдения, замена оборудования на энергоэффективное, подключение к ВОЛС).</w:t>
      </w:r>
      <w:r>
        <w:rPr>
          <w:lang w:val="ru-RU"/>
        </w:rPr>
      </w:r>
      <w:r>
        <w:rPr>
          <w:lang w:val="ru-RU"/>
        </w:rPr>
      </w:r>
    </w:p>
    <w:p>
      <w:pPr>
        <w:pStyle w:val="1091"/>
        <w:numPr>
          <w:ilvl w:val="0"/>
          <w:numId w:val="8"/>
        </w:numPr>
        <w:ind w:left="0" w:firstLine="567"/>
        <w:jc w:val="both"/>
        <w:spacing w:line="276" w:lineRule="auto"/>
        <w:tabs>
          <w:tab w:val="left" w:pos="993" w:leader="none"/>
        </w:tabs>
      </w:pPr>
      <w:r>
        <w:rPr>
          <w:rFonts w:ascii="Arial Narrow" w:hAnsi="Arial Narrow" w:cs="Calibri"/>
          <w:sz w:val="24"/>
          <w:szCs w:val="24"/>
          <w:lang w:val="ru-RU"/>
        </w:rPr>
        <w:t xml:space="preserve">Оборудование охранно-пожарной сигнализацией помещений зданий ТЭЦ-1 (электролизной, столярной мастерской СОП-1, перекачивающей насосной 0,4 кВ и склада ГСМ ТТЦ), расположенных по адресу г. Петропавловск-Камчатский, ул. </w:t>
      </w:r>
      <w:r>
        <w:rPr>
          <w:rFonts w:ascii="Arial Narrow" w:hAnsi="Arial Narrow" w:cs="Calibri"/>
          <w:sz w:val="24"/>
          <w:szCs w:val="24"/>
        </w:rPr>
        <w:t xml:space="preserve">Сахалинская 28.</w:t>
      </w:r>
      <w:r/>
    </w:p>
    <w:p>
      <w:pPr>
        <w:pStyle w:val="1091"/>
        <w:numPr>
          <w:ilvl w:val="0"/>
          <w:numId w:val="8"/>
        </w:numPr>
        <w:ind w:left="0" w:firstLine="567"/>
        <w:jc w:val="both"/>
        <w:spacing w:line="276" w:lineRule="auto"/>
        <w:tabs>
          <w:tab w:val="left" w:pos="993" w:leader="none"/>
        </w:tabs>
      </w:pPr>
      <w:r>
        <w:rPr>
          <w:rFonts w:ascii="Arial Narrow" w:hAnsi="Arial Narrow" w:cs="Calibri"/>
          <w:sz w:val="24"/>
          <w:szCs w:val="24"/>
          <w:lang w:val="ru-RU"/>
        </w:rPr>
        <w:t xml:space="preserve">Установка системы пожарной сигнализации и оповещения эвакуацией людей при пожаре на объекте: База 1 РТС г. Петропавловск-Камчатский, ул. Корякская, д. 24; База 1 РТС г. Петропавловск-Камчатский, ул. Степная; ПНС-1 г. Петропавловск-Камчатский, ул. </w:t>
      </w:r>
      <w:r>
        <w:rPr>
          <w:rFonts w:ascii="Arial Narrow" w:hAnsi="Arial Narrow" w:cs="Calibri"/>
          <w:sz w:val="24"/>
          <w:szCs w:val="24"/>
        </w:rPr>
        <w:t xml:space="preserve">Береговая, д. 5.</w:t>
      </w:r>
      <w:r/>
    </w:p>
    <w:p>
      <w:pPr>
        <w:pStyle w:val="1091"/>
        <w:numPr>
          <w:ilvl w:val="0"/>
          <w:numId w:val="8"/>
        </w:numPr>
        <w:ind w:left="0" w:firstLine="567"/>
        <w:jc w:val="both"/>
        <w:spacing w:line="276" w:lineRule="auto"/>
        <w:tabs>
          <w:tab w:val="left" w:pos="993" w:leader="none"/>
        </w:tabs>
        <w:rPr>
          <w:lang w:val="ru-RU"/>
        </w:rPr>
      </w:pPr>
      <w:r>
        <w:rPr>
          <w:rFonts w:ascii="Arial Narrow" w:hAnsi="Arial Narrow" w:cs="Calibri"/>
          <w:sz w:val="24"/>
          <w:szCs w:val="24"/>
          <w:lang w:val="ru-RU"/>
        </w:rPr>
        <w:t xml:space="preserve">Замена системы по</w:t>
      </w:r>
      <w:r>
        <w:rPr>
          <w:rFonts w:ascii="Arial Narrow" w:hAnsi="Arial Narrow" w:cs="Calibri"/>
          <w:sz w:val="24"/>
          <w:szCs w:val="24"/>
          <w:lang w:val="ru-RU"/>
        </w:rPr>
        <w:t xml:space="preserve">жарной сигнализации и оповещения эвакуацией людей при пожаре на объекте: ПНС-4 г. Петропавловск-Камчатский, ул. Королева, д. 45/2; АЦТП-346 г. Петропавловск-Камчатский, ул. Ленинградская; АЦТП-308 г. Петропавловск-Камчатский, ул. Кутузова д. 22В; АЦТП-337 </w:t>
      </w:r>
      <w:r>
        <w:rPr>
          <w:rFonts w:ascii="Arial Narrow" w:hAnsi="Arial Narrow" w:cs="Calibri"/>
          <w:sz w:val="24"/>
          <w:szCs w:val="24"/>
          <w:lang w:val="ru-RU"/>
        </w:rPr>
        <w:br/>
        <w:t xml:space="preserve">г. Петропавловск-Камчатский, ул. Карла Маркса, д. 13а.</w:t>
      </w:r>
      <w:r>
        <w:rPr>
          <w:lang w:val="ru-RU"/>
        </w:rPr>
      </w:r>
      <w:r>
        <w:rPr>
          <w:lang w:val="ru-RU"/>
        </w:rPr>
      </w:r>
    </w:p>
    <w:p>
      <w:pPr>
        <w:pStyle w:val="1063"/>
        <w:ind w:firstLine="567"/>
        <w:jc w:val="both"/>
        <w:tabs>
          <w:tab w:val="left" w:pos="993" w:leader="none"/>
        </w:tabs>
      </w:pPr>
      <w:r>
        <w:rPr>
          <w:rFonts w:ascii="Arial Narrow" w:hAnsi="Arial Narrow" w:cs="Calibri"/>
        </w:rPr>
        <w:t xml:space="preserve">За отчетный период в Обществе и на его филиалах актуализирован и издан ряд организационно-распорядительных документов по организации соблюдения требований пожарной безопасности на объектах защиты ПАО «Камчатскэнерго».</w:t>
      </w:r>
      <w:r/>
    </w:p>
    <w:p>
      <w:pPr>
        <w:rPr>
          <w:rFonts w:ascii="Arial Narrow" w:hAnsi="Arial Narrow" w:eastAsia="Arial" w:cs="Calibri"/>
          <w:color w:val="0070c0"/>
          <w:sz w:val="28"/>
          <w:szCs w:val="22"/>
          <w:lang w:eastAsia="en-US"/>
        </w:rPr>
      </w:pPr>
      <w:r>
        <w:br w:type="page" w:clear="all"/>
      </w:r>
      <w:r>
        <w:rPr>
          <w:rFonts w:ascii="Arial Narrow" w:hAnsi="Arial Narrow" w:eastAsia="Arial" w:cs="Calibri"/>
          <w:color w:val="0070c0"/>
          <w:sz w:val="28"/>
          <w:szCs w:val="22"/>
          <w:lang w:eastAsia="en-US"/>
        </w:rPr>
      </w:r>
      <w:r>
        <w:rPr>
          <w:rFonts w:ascii="Arial Narrow" w:hAnsi="Arial Narrow" w:eastAsia="Arial" w:cs="Calibri"/>
          <w:color w:val="0070c0"/>
          <w:sz w:val="28"/>
          <w:szCs w:val="22"/>
          <w:lang w:eastAsia="en-US"/>
        </w:rPr>
      </w:r>
    </w:p>
    <w:p>
      <w:pPr>
        <w:pStyle w:val="762"/>
        <w:jc w:val="center"/>
        <w:keepLines w:val="0"/>
        <w:spacing w:before="0" w:after="0" w:line="276" w:lineRule="auto"/>
        <w:rPr>
          <w:rFonts w:ascii="Arial Narrow" w:hAnsi="Arial Narrow" w:eastAsiaTheme="majorEastAsia" w:cstheme="minorHAnsi"/>
          <w:color w:val="314e87"/>
          <w:lang w:eastAsia="en-US"/>
        </w:rPr>
      </w:pPr>
      <w:r/>
      <w:bookmarkStart w:id="138" w:name="_Toc193883503"/>
      <w:r/>
      <w:bookmarkStart w:id="139" w:name="_Toc196127003"/>
      <w:r>
        <w:rPr>
          <w:rFonts w:ascii="Arial Narrow" w:hAnsi="Arial Narrow" w:eastAsiaTheme="majorEastAsia" w:cstheme="minorHAnsi"/>
          <w:b/>
          <w:color w:val="314e87"/>
          <w:sz w:val="28"/>
          <w:szCs w:val="28"/>
          <w:lang w:eastAsia="en-US"/>
        </w:rPr>
        <w:t xml:space="preserve">Раздел 10. ОХРАНА ОКРУЖАЮЩЕЙ СРЕДЫ</w:t>
      </w:r>
      <w:bookmarkEnd w:id="138"/>
      <w:r/>
      <w:bookmarkEnd w:id="139"/>
      <w:r>
        <w:rPr>
          <w:rFonts w:ascii="Arial Narrow" w:hAnsi="Arial Narrow" w:eastAsiaTheme="majorEastAsia" w:cstheme="minorHAnsi"/>
          <w:color w:val="314e87"/>
          <w:lang w:eastAsia="en-US"/>
        </w:rPr>
      </w:r>
      <w:r>
        <w:rPr>
          <w:rFonts w:ascii="Arial Narrow" w:hAnsi="Arial Narrow" w:eastAsiaTheme="majorEastAsia" w:cstheme="minorHAnsi"/>
          <w:color w:val="314e87"/>
          <w:lang w:eastAsia="en-US"/>
        </w:rPr>
      </w:r>
    </w:p>
    <w:p>
      <w:pPr>
        <w:pStyle w:val="1063"/>
        <w:ind w:firstLine="567"/>
        <w:jc w:val="both"/>
        <w:tabs>
          <w:tab w:val="left" w:pos="993" w:leader="none"/>
        </w:tabs>
      </w:pPr>
      <w:r>
        <w:rPr>
          <w:rFonts w:ascii="Arial Narrow" w:hAnsi="Arial Narrow" w:cs="Calibri"/>
        </w:rPr>
        <w:t xml:space="preserve">В соответствии с Кодексом корпоративного управления, рекомендованного Письм</w:t>
      </w:r>
      <w:r>
        <w:rPr>
          <w:rFonts w:ascii="Arial Narrow" w:hAnsi="Arial Narrow" w:cs="Calibri"/>
        </w:rPr>
        <w:t xml:space="preserve">ом Банка России от 10.04.2014 N 06-52/2463 «О Кодексе корпоративного управления», в годовой отчет публичного акционерного общества рекомендуется включать, в том числе, сведения о политике общества в области охраны окружающей среды и экологической политике.</w:t>
      </w:r>
      <w:r/>
    </w:p>
    <w:p>
      <w:pPr>
        <w:pStyle w:val="1063"/>
        <w:ind w:firstLine="567"/>
        <w:jc w:val="both"/>
        <w:tabs>
          <w:tab w:val="left" w:pos="993" w:leader="none"/>
        </w:tabs>
      </w:pPr>
      <w:r>
        <w:rPr>
          <w:rFonts w:ascii="Arial Narrow" w:hAnsi="Arial Narrow" w:cs="Calibri"/>
        </w:rPr>
        <w:t xml:space="preserve">Деятельность ПАО «Камчатскэнерго» в области охраны окружающей среды и рационального природопользования осуществляется в соответствии с требованиями Э</w:t>
      </w:r>
      <w:r>
        <w:rPr>
          <w:rFonts w:ascii="Arial Narrow" w:hAnsi="Arial Narrow" w:cs="Calibri"/>
        </w:rPr>
        <w:t xml:space="preserve">кологической политики Группы РусГидро, которая основана на положениях государственной политики в области экологически устойчивого развития и экологической безопасности, Конституции Российской Федерации, федеральных законах и иных нормативно-правовых актах.</w:t>
      </w:r>
      <w:r/>
    </w:p>
    <w:p>
      <w:pPr>
        <w:pStyle w:val="1063"/>
        <w:ind w:firstLine="567"/>
        <w:jc w:val="both"/>
        <w:tabs>
          <w:tab w:val="left" w:pos="993" w:leader="none"/>
        </w:tabs>
      </w:pPr>
      <w:r>
        <w:rPr>
          <w:rFonts w:ascii="Arial Narrow" w:hAnsi="Arial Narrow" w:cs="Calibri"/>
        </w:rPr>
        <w:t xml:space="preserve">Экологическая политика является обязательной для применения Обществом.</w:t>
      </w:r>
      <w:r/>
    </w:p>
    <w:p>
      <w:pPr>
        <w:pStyle w:val="1063"/>
        <w:ind w:firstLine="567"/>
        <w:jc w:val="both"/>
        <w:tabs>
          <w:tab w:val="left" w:pos="993" w:leader="none"/>
        </w:tabs>
      </w:pPr>
      <w:r>
        <w:rPr>
          <w:rFonts w:ascii="Arial Narrow" w:hAnsi="Arial Narrow" w:cs="Calibri"/>
        </w:rPr>
        <w:t xml:space="preserve">Ежегодно в ПАО «Камчатскэнерго» разрабатываются Программы мероприятий, обеспечивающих реализацию Экологической политики Группы РусГидро по охране окружающей среды и ведется контроль по их выполнению.</w:t>
      </w:r>
      <w:r/>
    </w:p>
    <w:p>
      <w:pPr>
        <w:pStyle w:val="1063"/>
        <w:ind w:firstLine="567"/>
        <w:jc w:val="both"/>
        <w:tabs>
          <w:tab w:val="left" w:pos="993" w:leader="none"/>
        </w:tabs>
      </w:pPr>
      <w:r>
        <w:rPr>
          <w:rFonts w:ascii="Arial Narrow" w:hAnsi="Arial Narrow" w:cs="Calibri"/>
        </w:rPr>
        <w:t xml:space="preserve">Основополагающими принципами экологической политики Общества являются:</w:t>
      </w:r>
      <w:r/>
    </w:p>
    <w:p>
      <w:pPr>
        <w:pStyle w:val="1091"/>
        <w:numPr>
          <w:ilvl w:val="0"/>
          <w:numId w:val="8"/>
        </w:numPr>
        <w:ind w:left="0" w:firstLine="567"/>
        <w:jc w:val="both"/>
        <w:spacing w:line="276" w:lineRule="auto"/>
        <w:tabs>
          <w:tab w:val="left" w:pos="993" w:leader="none"/>
        </w:tabs>
        <w:rPr>
          <w:lang w:val="ru-RU"/>
        </w:rPr>
      </w:pPr>
      <w:r>
        <w:rPr>
          <w:rFonts w:ascii="Arial Narrow" w:hAnsi="Arial Narrow" w:cs="Calibri"/>
          <w:sz w:val="24"/>
          <w:szCs w:val="24"/>
          <w:lang w:val="ru-RU"/>
        </w:rPr>
        <w:t xml:space="preserve">признание конституционного права человека на благоприятную окружающую среду;</w:t>
      </w:r>
      <w:r>
        <w:rPr>
          <w:lang w:val="ru-RU"/>
        </w:rPr>
      </w:r>
      <w:r>
        <w:rPr>
          <w:lang w:val="ru-RU"/>
        </w:rPr>
      </w:r>
    </w:p>
    <w:p>
      <w:pPr>
        <w:pStyle w:val="1091"/>
        <w:numPr>
          <w:ilvl w:val="0"/>
          <w:numId w:val="8"/>
        </w:numPr>
        <w:ind w:left="0" w:firstLine="567"/>
        <w:jc w:val="both"/>
        <w:spacing w:line="276" w:lineRule="auto"/>
        <w:tabs>
          <w:tab w:val="left" w:pos="993" w:leader="none"/>
        </w:tabs>
        <w:rPr>
          <w:lang w:val="ru-RU"/>
        </w:rPr>
      </w:pPr>
      <w:r>
        <w:rPr>
          <w:rFonts w:ascii="Arial Narrow" w:hAnsi="Arial Narrow" w:cs="Calibri"/>
          <w:sz w:val="24"/>
          <w:szCs w:val="24"/>
          <w:lang w:val="ru-RU"/>
        </w:rPr>
        <w:t xml:space="preserve">учет приоритета экологической безопасности как составной части национальной безопасности;</w:t>
      </w:r>
      <w:r>
        <w:rPr>
          <w:lang w:val="ru-RU"/>
        </w:rPr>
      </w:r>
      <w:r>
        <w:rPr>
          <w:lang w:val="ru-RU"/>
        </w:rPr>
      </w:r>
    </w:p>
    <w:p>
      <w:pPr>
        <w:pStyle w:val="1091"/>
        <w:numPr>
          <w:ilvl w:val="0"/>
          <w:numId w:val="8"/>
        </w:numPr>
        <w:ind w:left="0" w:firstLine="567"/>
        <w:jc w:val="both"/>
        <w:spacing w:line="276" w:lineRule="auto"/>
        <w:tabs>
          <w:tab w:val="left" w:pos="993" w:leader="none"/>
        </w:tabs>
        <w:rPr>
          <w:lang w:val="ru-RU"/>
        </w:rPr>
      </w:pPr>
      <w:r>
        <w:rPr>
          <w:rFonts w:ascii="Arial Narrow" w:hAnsi="Arial Narrow" w:cs="Calibri"/>
          <w:sz w:val="24"/>
          <w:szCs w:val="24"/>
          <w:lang w:val="ru-RU"/>
        </w:rPr>
        <w:t xml:space="preserve">ответственность за нарушение законодательства Российской Федерации об охране окружающей среды при развитии электроэнергетики в регионе; сокращение образования отходов производства и экологически безопасное обращение с ними;</w:t>
      </w:r>
      <w:r>
        <w:rPr>
          <w:lang w:val="ru-RU"/>
        </w:rPr>
      </w:r>
      <w:r>
        <w:rPr>
          <w:lang w:val="ru-RU"/>
        </w:rPr>
      </w:r>
    </w:p>
    <w:p>
      <w:pPr>
        <w:pStyle w:val="1091"/>
        <w:numPr>
          <w:ilvl w:val="0"/>
          <w:numId w:val="8"/>
        </w:numPr>
        <w:ind w:left="0" w:firstLine="567"/>
        <w:jc w:val="both"/>
        <w:spacing w:line="276" w:lineRule="auto"/>
        <w:tabs>
          <w:tab w:val="left" w:pos="993" w:leader="none"/>
        </w:tabs>
        <w:rPr>
          <w:lang w:val="ru-RU"/>
        </w:rPr>
      </w:pPr>
      <w:r>
        <w:rPr>
          <w:rFonts w:ascii="Arial Narrow" w:hAnsi="Arial Narrow" w:cs="Calibri"/>
          <w:sz w:val="24"/>
          <w:szCs w:val="24"/>
          <w:lang w:val="ru-RU"/>
        </w:rPr>
        <w:t xml:space="preserve">полное возмещение вреда, причиненного окружающей среде.</w:t>
      </w:r>
      <w:r>
        <w:rPr>
          <w:lang w:val="ru-RU"/>
        </w:rPr>
      </w:r>
      <w:r>
        <w:rPr>
          <w:lang w:val="ru-RU"/>
        </w:rPr>
      </w:r>
    </w:p>
    <w:p>
      <w:pPr>
        <w:pStyle w:val="1063"/>
        <w:ind w:firstLine="567"/>
        <w:jc w:val="both"/>
        <w:tabs>
          <w:tab w:val="left" w:pos="993" w:leader="none"/>
        </w:tabs>
      </w:pPr>
      <w:r>
        <w:rPr>
          <w:rFonts w:ascii="Arial Narrow" w:hAnsi="Arial Narrow" w:cs="Calibri"/>
        </w:rPr>
        <w:t xml:space="preserve">Основными задачами Общества в сфере природоохранной политики являются:</w:t>
      </w:r>
      <w:r/>
    </w:p>
    <w:p>
      <w:pPr>
        <w:pStyle w:val="1091"/>
        <w:numPr>
          <w:ilvl w:val="0"/>
          <w:numId w:val="8"/>
        </w:numPr>
        <w:ind w:left="0" w:firstLine="567"/>
        <w:jc w:val="both"/>
        <w:spacing w:line="276" w:lineRule="auto"/>
        <w:tabs>
          <w:tab w:val="left" w:pos="993" w:leader="none"/>
        </w:tabs>
      </w:pPr>
      <w:r>
        <w:rPr>
          <w:rFonts w:ascii="Arial Narrow" w:hAnsi="Arial Narrow" w:cs="Calibri"/>
          <w:sz w:val="24"/>
          <w:szCs w:val="24"/>
        </w:rPr>
        <w:t xml:space="preserve">выполнение требований природоохранного законодательства;</w:t>
      </w:r>
      <w:r/>
    </w:p>
    <w:p>
      <w:pPr>
        <w:pStyle w:val="1091"/>
        <w:numPr>
          <w:ilvl w:val="0"/>
          <w:numId w:val="8"/>
        </w:numPr>
        <w:ind w:left="0" w:firstLine="567"/>
        <w:jc w:val="both"/>
        <w:spacing w:line="276" w:lineRule="auto"/>
        <w:tabs>
          <w:tab w:val="left" w:pos="993" w:leader="none"/>
        </w:tabs>
        <w:rPr>
          <w:lang w:val="ru-RU"/>
        </w:rPr>
      </w:pPr>
      <w:r>
        <w:rPr>
          <w:rFonts w:ascii="Arial Narrow" w:hAnsi="Arial Narrow" w:cs="Calibri"/>
          <w:sz w:val="24"/>
          <w:szCs w:val="24"/>
          <w:lang w:val="ru-RU"/>
        </w:rPr>
        <w:t xml:space="preserve">предотвращение и снижение текущего негативного воздействия на окружающую среду;</w:t>
      </w:r>
      <w:r>
        <w:rPr>
          <w:lang w:val="ru-RU"/>
        </w:rPr>
      </w:r>
      <w:r>
        <w:rPr>
          <w:lang w:val="ru-RU"/>
        </w:rPr>
      </w:r>
    </w:p>
    <w:p>
      <w:pPr>
        <w:pStyle w:val="1091"/>
        <w:numPr>
          <w:ilvl w:val="0"/>
          <w:numId w:val="8"/>
        </w:numPr>
        <w:ind w:left="0" w:firstLine="567"/>
        <w:jc w:val="both"/>
        <w:spacing w:line="276" w:lineRule="auto"/>
        <w:tabs>
          <w:tab w:val="left" w:pos="993" w:leader="none"/>
        </w:tabs>
      </w:pPr>
      <w:r>
        <w:rPr>
          <w:rFonts w:ascii="Arial Narrow" w:hAnsi="Arial Narrow" w:cs="Calibri"/>
          <w:sz w:val="24"/>
          <w:szCs w:val="24"/>
        </w:rPr>
        <w:t xml:space="preserve">формирование экологической отчетности;</w:t>
      </w:r>
      <w:r/>
    </w:p>
    <w:p>
      <w:pPr>
        <w:pStyle w:val="1091"/>
        <w:numPr>
          <w:ilvl w:val="0"/>
          <w:numId w:val="8"/>
        </w:numPr>
        <w:ind w:left="0" w:firstLine="567"/>
        <w:jc w:val="both"/>
        <w:spacing w:line="276" w:lineRule="auto"/>
        <w:tabs>
          <w:tab w:val="left" w:pos="993" w:leader="none"/>
        </w:tabs>
        <w:rPr>
          <w:lang w:val="ru-RU"/>
        </w:rPr>
      </w:pPr>
      <w:r>
        <w:rPr>
          <w:rFonts w:ascii="Arial Narrow" w:hAnsi="Arial Narrow" w:cs="Calibri"/>
          <w:sz w:val="24"/>
          <w:szCs w:val="24"/>
          <w:lang w:val="ru-RU"/>
        </w:rPr>
        <w:t xml:space="preserve">информирование и консультирование работников по вопросам экологии.</w:t>
      </w:r>
      <w:r>
        <w:rPr>
          <w:lang w:val="ru-RU"/>
        </w:rPr>
      </w:r>
      <w:r>
        <w:rPr>
          <w:lang w:val="ru-RU"/>
        </w:rPr>
      </w:r>
    </w:p>
    <w:p>
      <w:pPr>
        <w:pStyle w:val="1063"/>
        <w:ind w:firstLine="567"/>
        <w:jc w:val="both"/>
        <w:tabs>
          <w:tab w:val="left" w:pos="993" w:leader="none"/>
        </w:tabs>
      </w:pPr>
      <w:r>
        <w:rPr>
          <w:rFonts w:ascii="Arial Narrow" w:hAnsi="Arial Narrow" w:cs="Calibri"/>
        </w:rPr>
        <w:t xml:space="preserve">В 2024 году в области природоохранной деятельности Общества разработан и реализован комплекс технических и организационных мероприятий по снижению воздействия на окружающую среду и управлению экологическими рисками:</w:t>
      </w:r>
      <w:r/>
    </w:p>
    <w:p>
      <w:pPr>
        <w:pStyle w:val="1091"/>
        <w:numPr>
          <w:ilvl w:val="0"/>
          <w:numId w:val="13"/>
        </w:numPr>
        <w:ind w:left="0" w:firstLine="567"/>
        <w:jc w:val="both"/>
        <w:spacing w:line="276" w:lineRule="auto"/>
        <w:tabs>
          <w:tab w:val="left" w:pos="993" w:leader="none"/>
        </w:tabs>
        <w:rPr>
          <w:lang w:val="ru-RU"/>
        </w:rPr>
      </w:pPr>
      <w:r>
        <w:rPr>
          <w:rFonts w:ascii="Arial Narrow" w:hAnsi="Arial Narrow" w:cs="Calibri"/>
          <w:sz w:val="24"/>
          <w:szCs w:val="24"/>
          <w:lang w:val="ru-RU"/>
        </w:rPr>
        <w:t xml:space="preserve">выполнен </w:t>
      </w:r>
      <w:r>
        <w:rPr>
          <w:rFonts w:ascii="Arial Narrow" w:hAnsi="Arial Narrow"/>
          <w:sz w:val="24"/>
          <w:lang w:val="ru-RU"/>
        </w:rPr>
        <w:t xml:space="preserve">текущий ремонт котлов станции ТЭЦ-1 № 7, 8, 9, 10, 11 и капитальный ремонт котла № 6, станции ТЭЦ-2 текущий ремонт котлов № 1, 2 и капитальный ремонт котла № 3;</w:t>
      </w:r>
      <w:r>
        <w:rPr>
          <w:lang w:val="ru-RU"/>
        </w:rPr>
      </w:r>
      <w:r>
        <w:rPr>
          <w:lang w:val="ru-RU"/>
        </w:rPr>
      </w:r>
    </w:p>
    <w:p>
      <w:pPr>
        <w:pStyle w:val="1091"/>
        <w:numPr>
          <w:ilvl w:val="0"/>
          <w:numId w:val="13"/>
        </w:numPr>
        <w:ind w:left="0" w:firstLine="567"/>
        <w:jc w:val="both"/>
        <w:spacing w:line="276" w:lineRule="auto"/>
        <w:tabs>
          <w:tab w:val="left" w:pos="993" w:leader="none"/>
        </w:tabs>
        <w:rPr>
          <w:lang w:val="ru-RU"/>
        </w:rPr>
      </w:pPr>
      <w:r>
        <w:rPr>
          <w:rFonts w:ascii="Arial Narrow" w:hAnsi="Arial Narrow" w:cs="Calibri"/>
          <w:sz w:val="24"/>
          <w:szCs w:val="24"/>
          <w:lang w:val="ru-RU"/>
        </w:rPr>
        <w:t xml:space="preserve">выполнены </w:t>
      </w:r>
      <w:r>
        <w:rPr>
          <w:rFonts w:ascii="Arial Narrow" w:hAnsi="Arial Narrow"/>
          <w:spacing w:val="5"/>
          <w:sz w:val="24"/>
          <w:szCs w:val="24"/>
          <w:lang w:val="ru-RU"/>
        </w:rPr>
        <w:t xml:space="preserve">текущие ремонты котлов на котельных № 56 «с/х Петропавловский», № 62 «103 квартал», № 40 «КМП», № 45 «Владивостокская», №</w:t>
      </w:r>
      <w:r>
        <w:rPr>
          <w:rFonts w:ascii="Arial Narrow" w:hAnsi="Arial Narrow"/>
          <w:spacing w:val="5"/>
          <w:sz w:val="24"/>
          <w:szCs w:val="24"/>
        </w:rPr>
        <w:t xml:space="preserve"> </w:t>
      </w:r>
      <w:r>
        <w:rPr>
          <w:rFonts w:ascii="Arial Narrow" w:hAnsi="Arial Narrow"/>
          <w:spacing w:val="5"/>
          <w:sz w:val="24"/>
          <w:szCs w:val="24"/>
          <w:lang w:val="ru-RU"/>
        </w:rPr>
        <w:t xml:space="preserve">8, 13, 22 г. Елизово и капитальный ремонт котлов на котельных № 1 п. Лесной и № 27 г. Елизово;</w:t>
      </w:r>
      <w:r>
        <w:rPr>
          <w:lang w:val="ru-RU"/>
        </w:rPr>
      </w:r>
      <w:r>
        <w:rPr>
          <w:lang w:val="ru-RU"/>
        </w:rPr>
      </w:r>
    </w:p>
    <w:p>
      <w:pPr>
        <w:pStyle w:val="1091"/>
        <w:numPr>
          <w:ilvl w:val="0"/>
          <w:numId w:val="13"/>
        </w:numPr>
        <w:ind w:left="0" w:firstLine="567"/>
        <w:jc w:val="both"/>
        <w:spacing w:line="276" w:lineRule="auto"/>
        <w:tabs>
          <w:tab w:val="left" w:pos="993" w:leader="none"/>
        </w:tabs>
        <w:rPr>
          <w:lang w:val="ru-RU"/>
        </w:rPr>
      </w:pPr>
      <w:r>
        <w:rPr>
          <w:rFonts w:ascii="Arial Narrow" w:hAnsi="Arial Narrow" w:cs="Calibri"/>
          <w:sz w:val="24"/>
          <w:szCs w:val="24"/>
          <w:lang w:val="ru-RU"/>
        </w:rPr>
        <w:t xml:space="preserve">выполнен капитальный </w:t>
      </w:r>
      <w:r>
        <w:rPr>
          <w:rFonts w:ascii="Arial Narrow" w:hAnsi="Arial Narrow"/>
          <w:spacing w:val="5"/>
          <w:sz w:val="24"/>
          <w:szCs w:val="24"/>
          <w:lang w:val="ru-RU"/>
        </w:rPr>
        <w:t xml:space="preserve">ремонт дымовой трубы на котельных № 6 «Авача», № 40 «КМП», № 14 «Халактырка», № 21 г. Елизово;</w:t>
      </w:r>
      <w:r>
        <w:rPr>
          <w:lang w:val="ru-RU"/>
        </w:rPr>
      </w:r>
      <w:r>
        <w:rPr>
          <w:lang w:val="ru-RU"/>
        </w:rPr>
      </w:r>
    </w:p>
    <w:p>
      <w:pPr>
        <w:pStyle w:val="1091"/>
        <w:numPr>
          <w:ilvl w:val="0"/>
          <w:numId w:val="13"/>
        </w:numPr>
        <w:ind w:left="0" w:firstLine="567"/>
        <w:jc w:val="both"/>
        <w:spacing w:line="276" w:lineRule="auto"/>
        <w:tabs>
          <w:tab w:val="left" w:pos="993" w:leader="none"/>
        </w:tabs>
        <w:rPr>
          <w:lang w:val="ru-RU"/>
        </w:rPr>
      </w:pPr>
      <w:r>
        <w:rPr>
          <w:rFonts w:ascii="Arial Narrow" w:hAnsi="Arial Narrow" w:cs="Calibri"/>
          <w:sz w:val="24"/>
          <w:szCs w:val="24"/>
          <w:lang w:val="ru-RU"/>
        </w:rPr>
        <w:t xml:space="preserve">выполнен </w:t>
      </w:r>
      <w:r>
        <w:rPr>
          <w:rFonts w:ascii="Arial Narrow" w:hAnsi="Arial Narrow"/>
          <w:spacing w:val="5"/>
          <w:sz w:val="24"/>
          <w:szCs w:val="24"/>
          <w:lang w:val="ru-RU"/>
        </w:rPr>
        <w:t xml:space="preserve">капитальный ремонт емкостей для нефтепродуктов котельных № 2 «КГТУ», № 1 «каркасная 11 км»;</w:t>
      </w:r>
      <w:r>
        <w:rPr>
          <w:lang w:val="ru-RU"/>
        </w:rPr>
      </w:r>
      <w:r>
        <w:rPr>
          <w:lang w:val="ru-RU"/>
        </w:rPr>
      </w:r>
    </w:p>
    <w:p>
      <w:pPr>
        <w:pStyle w:val="1091"/>
        <w:numPr>
          <w:ilvl w:val="0"/>
          <w:numId w:val="13"/>
        </w:numPr>
        <w:ind w:left="0" w:firstLine="567"/>
        <w:jc w:val="both"/>
        <w:spacing w:line="276" w:lineRule="auto"/>
        <w:tabs>
          <w:tab w:val="left" w:pos="993" w:leader="none"/>
        </w:tabs>
        <w:rPr>
          <w:lang w:val="ru-RU"/>
        </w:rPr>
      </w:pPr>
      <w:r>
        <w:rPr>
          <w:rFonts w:ascii="Arial Narrow" w:hAnsi="Arial Narrow" w:cs="Calibri"/>
          <w:sz w:val="24"/>
          <w:szCs w:val="24"/>
          <w:lang w:val="ru-RU"/>
        </w:rPr>
        <w:t xml:space="preserve">завершены работы по </w:t>
      </w:r>
      <w:r>
        <w:rPr>
          <w:rFonts w:ascii="Arial Narrow" w:hAnsi="Arial Narrow"/>
          <w:spacing w:val="5"/>
          <w:sz w:val="24"/>
          <w:szCs w:val="24"/>
          <w:lang w:val="ru-RU"/>
        </w:rPr>
        <w:t xml:space="preserve">первому этапу программы мероприятий по снижению выбросов загрязняющих веществ в атмо</w:t>
      </w:r>
      <w:r>
        <w:rPr>
          <w:rFonts w:ascii="Arial Narrow" w:hAnsi="Arial Narrow"/>
          <w:spacing w:val="5"/>
          <w:sz w:val="24"/>
          <w:szCs w:val="24"/>
          <w:lang w:val="ru-RU"/>
        </w:rPr>
        <w:t xml:space="preserve">сферу за счет реконструкции котельной № 2 в г. Елизово со строительством дополнительного газового энергоблока каркасного типа с блочным расположением оборудования с передачей нагрузок котельных № 1 и № 3. В настоящее время котельная введена в эксплуатацию.</w:t>
      </w:r>
      <w:r>
        <w:rPr>
          <w:lang w:val="ru-RU"/>
        </w:rPr>
      </w:r>
      <w:r>
        <w:rPr>
          <w:lang w:val="ru-RU"/>
        </w:rPr>
      </w:r>
    </w:p>
    <w:p>
      <w:pPr>
        <w:pStyle w:val="1091"/>
        <w:numPr>
          <w:ilvl w:val="0"/>
          <w:numId w:val="13"/>
        </w:numPr>
        <w:ind w:left="0" w:firstLine="567"/>
        <w:jc w:val="both"/>
        <w:spacing w:line="276" w:lineRule="auto"/>
        <w:tabs>
          <w:tab w:val="left" w:pos="993" w:leader="none"/>
        </w:tabs>
        <w:rPr>
          <w:lang w:val="ru-RU"/>
        </w:rPr>
      </w:pPr>
      <w:r>
        <w:rPr>
          <w:rFonts w:ascii="Arial Narrow" w:hAnsi="Arial Narrow" w:cs="Calibri"/>
          <w:sz w:val="24"/>
          <w:szCs w:val="24"/>
          <w:lang w:val="ru-RU"/>
        </w:rPr>
        <w:t xml:space="preserve">в целях обеспечения мероприятий по предупреждению и ликвидации разливов нефти и нефтепродуктов на море ПАО «Камчатскэнерго» заключен дого</w:t>
      </w:r>
      <w:r>
        <w:rPr>
          <w:rFonts w:ascii="Arial Narrow" w:hAnsi="Arial Narrow" w:cs="Calibri"/>
          <w:sz w:val="24"/>
          <w:szCs w:val="24"/>
          <w:lang w:val="ru-RU"/>
        </w:rPr>
        <w:t xml:space="preserve">вор с Камчатским филиалом ФГБУ «Морская спасательная служба» на обеспечение готовности при швартовке танкеров к пирсу ТЭЦ-1 филиала Камчатские ТЭЦ и перекачке топлива с танкера в расходные емкости в зоне ответственности акватории, закрепленной за Станцией;</w:t>
      </w:r>
      <w:r>
        <w:rPr>
          <w:lang w:val="ru-RU"/>
        </w:rPr>
      </w:r>
      <w:r>
        <w:rPr>
          <w:lang w:val="ru-RU"/>
        </w:rPr>
      </w:r>
    </w:p>
    <w:p>
      <w:pPr>
        <w:pStyle w:val="1091"/>
        <w:numPr>
          <w:ilvl w:val="0"/>
          <w:numId w:val="13"/>
        </w:numPr>
        <w:ind w:left="0" w:firstLine="567"/>
        <w:jc w:val="both"/>
        <w:spacing w:line="276" w:lineRule="auto"/>
        <w:tabs>
          <w:tab w:val="left" w:pos="993" w:leader="none"/>
        </w:tabs>
        <w:rPr>
          <w:lang w:val="ru-RU"/>
        </w:rPr>
      </w:pPr>
      <w:r>
        <w:rPr>
          <w:rFonts w:ascii="Arial Narrow" w:hAnsi="Arial Narrow" w:cs="Calibri"/>
          <w:sz w:val="24"/>
          <w:szCs w:val="24"/>
          <w:lang w:val="ru-RU"/>
        </w:rPr>
        <w:t xml:space="preserve">в целях обеспечения мероприятий по предупреждению и ликвидации аварийных разливов нефтепродуктов на территории станции ТЭЦ-1, ТЭЦ-2 и ВСМ заключен договор с Краевым </w:t>
      </w:r>
      <w:r>
        <w:rPr>
          <w:rFonts w:ascii="Arial Narrow" w:hAnsi="Arial Narrow" w:cs="Calibri"/>
          <w:sz w:val="24"/>
          <w:szCs w:val="24"/>
          <w:lang w:val="ru-RU"/>
        </w:rPr>
        <w:t xml:space="preserve">Государственным казенным учреждением (КГКУ) «Центр обеспечения действий по гражданской обороне, чрезвычайным ситуациям и пожарной безопасности в Камчатском крае» при Министерстве специальных программ Камчатского края (КГКУ «ЦОД»).</w:t>
      </w:r>
      <w:r>
        <w:rPr>
          <w:lang w:val="ru-RU"/>
        </w:rPr>
      </w:r>
      <w:r>
        <w:rPr>
          <w:lang w:val="ru-RU"/>
        </w:rPr>
      </w:r>
    </w:p>
    <w:p>
      <w:pPr>
        <w:pStyle w:val="1091"/>
        <w:ind w:left="567"/>
        <w:jc w:val="both"/>
        <w:spacing w:line="276" w:lineRule="auto"/>
        <w:tabs>
          <w:tab w:val="left" w:pos="1560" w:leader="none"/>
        </w:tabs>
        <w:rPr>
          <w:rFonts w:ascii="Arial Narrow" w:hAnsi="Arial Narrow" w:cs="Calibri"/>
          <w:sz w:val="12"/>
          <w:szCs w:val="12"/>
          <w:lang w:val="ru-RU"/>
        </w:rPr>
      </w:pPr>
      <w:r>
        <w:rPr>
          <w:rFonts w:ascii="Arial Narrow" w:hAnsi="Arial Narrow" w:cs="Calibri"/>
          <w:sz w:val="12"/>
          <w:szCs w:val="12"/>
          <w:lang w:val="ru-RU"/>
        </w:rPr>
      </w:r>
      <w:r>
        <w:rPr>
          <w:rFonts w:ascii="Arial Narrow" w:hAnsi="Arial Narrow" w:cs="Calibri"/>
          <w:sz w:val="12"/>
          <w:szCs w:val="12"/>
          <w:lang w:val="ru-RU"/>
        </w:rPr>
      </w:r>
      <w:r>
        <w:rPr>
          <w:rFonts w:ascii="Arial Narrow" w:hAnsi="Arial Narrow" w:cs="Calibri"/>
          <w:sz w:val="12"/>
          <w:szCs w:val="12"/>
          <w:lang w:val="ru-RU"/>
        </w:rPr>
      </w:r>
    </w:p>
    <w:p>
      <w:pPr>
        <w:pStyle w:val="1063"/>
        <w:jc w:val="both"/>
        <w:tabs>
          <w:tab w:val="left" w:pos="566" w:leader="none"/>
          <w:tab w:val="left" w:pos="850" w:leader="none"/>
        </w:tabs>
        <w:rPr>
          <w:rFonts w:ascii="Arial Narrow" w:hAnsi="Arial Narrow" w:cs="Calibri"/>
          <w:b/>
          <w:color w:val="314e87"/>
        </w:rPr>
      </w:pPr>
      <w:r>
        <w:rPr>
          <w:rFonts w:ascii="Arial Narrow" w:hAnsi="Arial Narrow" w:cs="Calibri"/>
          <w:b/>
          <w:color w:val="314e87"/>
        </w:rPr>
        <w:t xml:space="preserve">Затраты на охрану окружающей среды</w:t>
      </w:r>
      <w:r>
        <w:rPr>
          <w:rFonts w:ascii="Arial Narrow" w:hAnsi="Arial Narrow" w:cs="Calibri"/>
          <w:b/>
          <w:color w:val="314e87"/>
        </w:rPr>
      </w:r>
      <w:r>
        <w:rPr>
          <w:rFonts w:ascii="Arial Narrow" w:hAnsi="Arial Narrow" w:cs="Calibri"/>
          <w:b/>
          <w:color w:val="314e87"/>
        </w:rPr>
      </w:r>
    </w:p>
    <w:p>
      <w:pPr>
        <w:pStyle w:val="1063"/>
        <w:jc w:val="right"/>
        <w:tabs>
          <w:tab w:val="left" w:pos="566" w:leader="none"/>
          <w:tab w:val="left" w:pos="850" w:leader="none"/>
        </w:tabs>
      </w:pPr>
      <w:r>
        <w:rPr>
          <w:rFonts w:ascii="Arial Narrow" w:hAnsi="Arial Narrow" w:eastAsia="Calibri" w:cs="Calibri"/>
          <w:i/>
          <w:lang w:eastAsia="ja-JP"/>
        </w:rPr>
        <w:t xml:space="preserve">Таблица № 40</w:t>
      </w:r>
      <w:r/>
    </w:p>
    <w:tbl>
      <w:tblPr>
        <w:tblW w:w="9962" w:type="dxa"/>
        <w:tblInd w:w="211" w:type="dxa"/>
        <w:tblLayout w:type="fixed"/>
        <w:tblLook w:val="04A0" w:firstRow="1" w:lastRow="0" w:firstColumn="1" w:lastColumn="0" w:noHBand="0" w:noVBand="1"/>
      </w:tblPr>
      <w:tblGrid>
        <w:gridCol w:w="7835"/>
        <w:gridCol w:w="2127"/>
      </w:tblGrid>
      <w:tr>
        <w:trPr>
          <w:trHeight w:val="240"/>
        </w:trPr>
        <w:tc>
          <w:tcPr>
            <w:tcBorders>
              <w:top w:val="single" w:color="000000" w:sz="4" w:space="0"/>
              <w:left w:val="single" w:color="000000" w:sz="4" w:space="0"/>
              <w:bottom w:val="single" w:color="000000" w:sz="4" w:space="0"/>
              <w:right w:val="single" w:color="000000" w:sz="4" w:space="0"/>
            </w:tcBorders>
            <w:tcW w:w="7835" w:type="dxa"/>
            <w:vAlign w:val="center"/>
            <w:textDirection w:val="lrTb"/>
            <w:noWrap w:val="false"/>
          </w:tcPr>
          <w:p>
            <w:pPr>
              <w:pStyle w:val="1063"/>
              <w:jc w:val="center"/>
              <w:widowControl w:val="off"/>
              <w:tabs>
                <w:tab w:val="left" w:pos="566" w:leader="none"/>
              </w:tabs>
              <w:rPr>
                <w:sz w:val="20"/>
                <w:szCs w:val="20"/>
              </w:rPr>
            </w:pPr>
            <w:r>
              <w:rPr>
                <w:rFonts w:ascii="Arial Narrow" w:hAnsi="Arial Narrow" w:cs="Calibri"/>
                <w:sz w:val="20"/>
                <w:szCs w:val="20"/>
              </w:rPr>
              <w:t xml:space="preserve">Наименование показателя</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2127" w:type="dxa"/>
            <w:vAlign w:val="center"/>
            <w:textDirection w:val="lrTb"/>
            <w:noWrap w:val="false"/>
          </w:tcPr>
          <w:p>
            <w:pPr>
              <w:pStyle w:val="1063"/>
              <w:jc w:val="center"/>
              <w:widowControl w:val="off"/>
              <w:tabs>
                <w:tab w:val="left" w:pos="566" w:leader="none"/>
              </w:tabs>
              <w:rPr>
                <w:sz w:val="20"/>
                <w:szCs w:val="20"/>
              </w:rPr>
            </w:pPr>
            <w:r>
              <w:rPr>
                <w:rFonts w:ascii="Arial Narrow" w:hAnsi="Arial Narrow" w:cs="Calibri"/>
                <w:sz w:val="20"/>
                <w:szCs w:val="20"/>
              </w:rPr>
              <w:t xml:space="preserve">Фактически за 2024 год, тыс. рублей</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7835" w:type="dxa"/>
            <w:vAlign w:val="center"/>
            <w:textDirection w:val="lrTb"/>
            <w:noWrap w:val="false"/>
          </w:tcPr>
          <w:p>
            <w:pPr>
              <w:pStyle w:val="1063"/>
              <w:jc w:val="both"/>
              <w:widowControl w:val="off"/>
              <w:tabs>
                <w:tab w:val="left" w:pos="566" w:leader="none"/>
              </w:tabs>
              <w:rPr>
                <w:sz w:val="20"/>
                <w:szCs w:val="20"/>
              </w:rPr>
            </w:pPr>
            <w:r>
              <w:rPr>
                <w:rFonts w:ascii="Arial Narrow" w:hAnsi="Arial Narrow" w:cs="Calibri"/>
                <w:sz w:val="20"/>
                <w:szCs w:val="20"/>
              </w:rPr>
              <w:t xml:space="preserve">Текущие затраты на охрану окружающей среды, всего</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2127" w:type="dxa"/>
            <w:vAlign w:val="center"/>
            <w:textDirection w:val="lrTb"/>
            <w:noWrap w:val="false"/>
          </w:tcPr>
          <w:p>
            <w:pPr>
              <w:pStyle w:val="1063"/>
              <w:jc w:val="center"/>
              <w:widowControl w:val="off"/>
              <w:tabs>
                <w:tab w:val="left" w:pos="566" w:leader="none"/>
              </w:tabs>
              <w:rPr>
                <w:sz w:val="20"/>
                <w:szCs w:val="20"/>
              </w:rPr>
            </w:pPr>
            <w:r>
              <w:rPr>
                <w:rFonts w:ascii="Arial Narrow" w:hAnsi="Arial Narrow"/>
                <w:sz w:val="20"/>
                <w:szCs w:val="20"/>
              </w:rPr>
              <w:t xml:space="preserve">116 405,0</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7835" w:type="dxa"/>
            <w:vAlign w:val="center"/>
            <w:textDirection w:val="lrTb"/>
            <w:noWrap w:val="false"/>
          </w:tcPr>
          <w:p>
            <w:pPr>
              <w:pStyle w:val="1063"/>
              <w:jc w:val="both"/>
              <w:widowControl w:val="off"/>
              <w:tabs>
                <w:tab w:val="left" w:pos="566" w:leader="none"/>
              </w:tabs>
              <w:rPr>
                <w:sz w:val="20"/>
                <w:szCs w:val="20"/>
              </w:rPr>
            </w:pPr>
            <w:r>
              <w:rPr>
                <w:rFonts w:ascii="Arial Narrow" w:hAnsi="Arial Narrow" w:cs="Calibri"/>
                <w:sz w:val="20"/>
                <w:szCs w:val="20"/>
              </w:rPr>
              <w:t xml:space="preserve">Текущие затраты на сбор и чистку сточных вод</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2127" w:type="dxa"/>
            <w:vAlign w:val="center"/>
            <w:textDirection w:val="lrTb"/>
            <w:noWrap w:val="false"/>
          </w:tcPr>
          <w:p>
            <w:pPr>
              <w:pStyle w:val="1063"/>
              <w:jc w:val="center"/>
              <w:widowControl w:val="off"/>
              <w:tabs>
                <w:tab w:val="left" w:pos="566" w:leader="none"/>
              </w:tabs>
              <w:rPr>
                <w:sz w:val="20"/>
                <w:szCs w:val="20"/>
              </w:rPr>
            </w:pPr>
            <w:r>
              <w:rPr>
                <w:rFonts w:ascii="Arial Narrow" w:hAnsi="Arial Narrow"/>
                <w:sz w:val="20"/>
                <w:szCs w:val="20"/>
              </w:rPr>
              <w:t xml:space="preserve">48 743,0</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7835" w:type="dxa"/>
            <w:vAlign w:val="center"/>
            <w:textDirection w:val="lrTb"/>
            <w:noWrap w:val="false"/>
          </w:tcPr>
          <w:p>
            <w:pPr>
              <w:pStyle w:val="1063"/>
              <w:jc w:val="both"/>
              <w:widowControl w:val="off"/>
              <w:tabs>
                <w:tab w:val="left" w:pos="566" w:leader="none"/>
              </w:tabs>
              <w:rPr>
                <w:sz w:val="20"/>
                <w:szCs w:val="20"/>
              </w:rPr>
            </w:pPr>
            <w:r>
              <w:rPr>
                <w:rFonts w:ascii="Arial Narrow" w:hAnsi="Arial Narrow" w:cs="Calibri"/>
                <w:sz w:val="20"/>
                <w:szCs w:val="20"/>
              </w:rPr>
              <w:t xml:space="preserve">Текущие затраты по охране атмосферного воздуха и предотвращение изменения климата</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2127" w:type="dxa"/>
            <w:vAlign w:val="center"/>
            <w:textDirection w:val="lrTb"/>
            <w:noWrap w:val="false"/>
          </w:tcPr>
          <w:p>
            <w:pPr>
              <w:pStyle w:val="1063"/>
              <w:jc w:val="center"/>
              <w:widowControl w:val="off"/>
              <w:tabs>
                <w:tab w:val="left" w:pos="566" w:leader="none"/>
              </w:tabs>
              <w:rPr>
                <w:sz w:val="20"/>
                <w:szCs w:val="20"/>
              </w:rPr>
            </w:pPr>
            <w:r>
              <w:rPr>
                <w:rFonts w:ascii="Arial Narrow" w:hAnsi="Arial Narrow"/>
                <w:sz w:val="20"/>
                <w:szCs w:val="20"/>
              </w:rPr>
              <w:t xml:space="preserve">13 917,0</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7835" w:type="dxa"/>
            <w:vAlign w:val="center"/>
            <w:textDirection w:val="lrTb"/>
            <w:noWrap w:val="false"/>
          </w:tcPr>
          <w:p>
            <w:pPr>
              <w:pStyle w:val="1063"/>
              <w:jc w:val="both"/>
              <w:widowControl w:val="off"/>
              <w:tabs>
                <w:tab w:val="left" w:pos="566" w:leader="none"/>
              </w:tabs>
              <w:rPr>
                <w:sz w:val="20"/>
                <w:szCs w:val="20"/>
              </w:rPr>
            </w:pPr>
            <w:r>
              <w:rPr>
                <w:rFonts w:ascii="Arial Narrow" w:hAnsi="Arial Narrow" w:cs="Calibri"/>
                <w:sz w:val="20"/>
                <w:szCs w:val="20"/>
              </w:rPr>
              <w:t xml:space="preserve">Текущие затраты на обращение с отходами</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2127" w:type="dxa"/>
            <w:vAlign w:val="center"/>
            <w:textDirection w:val="lrTb"/>
            <w:noWrap w:val="false"/>
          </w:tcPr>
          <w:p>
            <w:pPr>
              <w:pStyle w:val="1063"/>
              <w:jc w:val="center"/>
              <w:widowControl w:val="off"/>
              <w:tabs>
                <w:tab w:val="left" w:pos="566" w:leader="none"/>
              </w:tabs>
              <w:rPr>
                <w:sz w:val="20"/>
                <w:szCs w:val="20"/>
              </w:rPr>
            </w:pPr>
            <w:r>
              <w:rPr>
                <w:rFonts w:ascii="Arial Narrow" w:hAnsi="Arial Narrow"/>
                <w:sz w:val="20"/>
                <w:szCs w:val="20"/>
              </w:rPr>
              <w:t xml:space="preserve">20 315,0</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7835" w:type="dxa"/>
            <w:vAlign w:val="center"/>
            <w:textDirection w:val="lrTb"/>
            <w:noWrap w:val="false"/>
          </w:tcPr>
          <w:p>
            <w:pPr>
              <w:pStyle w:val="1063"/>
              <w:jc w:val="both"/>
              <w:widowControl w:val="off"/>
              <w:tabs>
                <w:tab w:val="left" w:pos="566" w:leader="none"/>
              </w:tabs>
              <w:rPr>
                <w:sz w:val="20"/>
                <w:szCs w:val="20"/>
              </w:rPr>
            </w:pPr>
            <w:r>
              <w:rPr>
                <w:rFonts w:ascii="Arial Narrow" w:hAnsi="Arial Narrow" w:cs="Calibri"/>
                <w:sz w:val="20"/>
                <w:szCs w:val="20"/>
              </w:rPr>
              <w:t xml:space="preserve">Текущие затраты на защиту и реабилитацию земель, поверхностных и подземных вод</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2127" w:type="dxa"/>
            <w:vAlign w:val="center"/>
            <w:textDirection w:val="lrTb"/>
            <w:noWrap w:val="false"/>
          </w:tcPr>
          <w:p>
            <w:pPr>
              <w:pStyle w:val="1063"/>
              <w:jc w:val="center"/>
              <w:widowControl w:val="off"/>
              <w:tabs>
                <w:tab w:val="left" w:pos="566" w:leader="none"/>
              </w:tabs>
              <w:rPr>
                <w:sz w:val="20"/>
                <w:szCs w:val="20"/>
              </w:rPr>
            </w:pPr>
            <w:r>
              <w:rPr>
                <w:rFonts w:ascii="Arial Narrow" w:hAnsi="Arial Narrow"/>
                <w:sz w:val="20"/>
                <w:szCs w:val="20"/>
              </w:rPr>
              <w:t xml:space="preserve">26 190,0</w:t>
            </w:r>
            <w:r>
              <w:rPr>
                <w:sz w:val="20"/>
                <w:szCs w:val="20"/>
              </w:rPr>
            </w:r>
            <w:r>
              <w:rPr>
                <w:sz w:val="20"/>
                <w:szCs w:val="20"/>
              </w:rPr>
            </w:r>
          </w:p>
        </w:tc>
      </w:tr>
      <w:tr>
        <w:trPr>
          <w:trHeight w:val="335"/>
        </w:trPr>
        <w:tc>
          <w:tcPr>
            <w:tcBorders>
              <w:top w:val="single" w:color="000000" w:sz="4" w:space="0"/>
              <w:left w:val="single" w:color="000000" w:sz="4" w:space="0"/>
              <w:bottom w:val="single" w:color="000000" w:sz="4" w:space="0"/>
              <w:right w:val="single" w:color="000000" w:sz="4" w:space="0"/>
            </w:tcBorders>
            <w:tcW w:w="7835" w:type="dxa"/>
            <w:vAlign w:val="center"/>
            <w:textDirection w:val="lrTb"/>
            <w:noWrap w:val="false"/>
          </w:tcPr>
          <w:p>
            <w:pPr>
              <w:pStyle w:val="1063"/>
              <w:jc w:val="both"/>
              <w:widowControl w:val="off"/>
              <w:tabs>
                <w:tab w:val="left" w:pos="566" w:leader="none"/>
              </w:tabs>
              <w:rPr>
                <w:sz w:val="20"/>
                <w:szCs w:val="20"/>
              </w:rPr>
            </w:pPr>
            <w:r>
              <w:rPr>
                <w:rFonts w:ascii="Arial Narrow" w:hAnsi="Arial Narrow" w:cs="Calibri"/>
                <w:sz w:val="20"/>
                <w:szCs w:val="20"/>
              </w:rPr>
              <w:t xml:space="preserve">Текущие затраты на научно-исследовательскую деятельность и разработки по снижению негативных антропогенных воздействий на окружающую среду</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2127" w:type="dxa"/>
            <w:vAlign w:val="center"/>
            <w:textDirection w:val="lrTb"/>
            <w:noWrap w:val="false"/>
          </w:tcPr>
          <w:p>
            <w:pPr>
              <w:pStyle w:val="1063"/>
              <w:jc w:val="center"/>
              <w:widowControl w:val="off"/>
              <w:tabs>
                <w:tab w:val="left" w:pos="566" w:leader="none"/>
              </w:tabs>
              <w:rPr>
                <w:sz w:val="20"/>
                <w:szCs w:val="20"/>
              </w:rPr>
            </w:pPr>
            <w:r>
              <w:rPr>
                <w:rFonts w:ascii="Arial Narrow" w:hAnsi="Arial Narrow"/>
                <w:sz w:val="20"/>
                <w:szCs w:val="20"/>
              </w:rPr>
              <w:t xml:space="preserve">3 798,0</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7835" w:type="dxa"/>
            <w:vAlign w:val="center"/>
            <w:textDirection w:val="lrTb"/>
            <w:noWrap w:val="false"/>
          </w:tcPr>
          <w:p>
            <w:pPr>
              <w:pStyle w:val="1063"/>
              <w:jc w:val="both"/>
              <w:widowControl w:val="off"/>
              <w:tabs>
                <w:tab w:val="left" w:pos="566" w:leader="none"/>
              </w:tabs>
              <w:rPr>
                <w:sz w:val="20"/>
                <w:szCs w:val="20"/>
              </w:rPr>
            </w:pPr>
            <w:r>
              <w:rPr>
                <w:rFonts w:ascii="Arial Narrow" w:hAnsi="Arial Narrow" w:cs="Calibri"/>
                <w:sz w:val="20"/>
                <w:szCs w:val="20"/>
              </w:rPr>
              <w:t xml:space="preserve">Текущие затраты на другие направления деятельности в сфере охраны окружающей среды</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2127" w:type="dxa"/>
            <w:vAlign w:val="center"/>
            <w:textDirection w:val="lrTb"/>
            <w:noWrap w:val="false"/>
          </w:tcPr>
          <w:p>
            <w:pPr>
              <w:pStyle w:val="1063"/>
              <w:jc w:val="center"/>
              <w:widowControl w:val="off"/>
              <w:tabs>
                <w:tab w:val="left" w:pos="566" w:leader="none"/>
              </w:tabs>
              <w:rPr>
                <w:sz w:val="20"/>
                <w:szCs w:val="20"/>
              </w:rPr>
            </w:pPr>
            <w:r>
              <w:rPr>
                <w:rFonts w:ascii="Arial Narrow" w:hAnsi="Arial Narrow"/>
                <w:sz w:val="20"/>
                <w:szCs w:val="20"/>
              </w:rPr>
              <w:t xml:space="preserve">3 442,0</w:t>
            </w:r>
            <w:r>
              <w:rPr>
                <w:sz w:val="20"/>
                <w:szCs w:val="20"/>
              </w:rPr>
            </w:r>
            <w:r>
              <w:rPr>
                <w:sz w:val="20"/>
                <w:szCs w:val="20"/>
              </w:rPr>
            </w:r>
          </w:p>
        </w:tc>
      </w:tr>
      <w:tr>
        <w:trPr>
          <w:trHeight w:val="177"/>
        </w:trPr>
        <w:tc>
          <w:tcPr>
            <w:tcBorders>
              <w:top w:val="single" w:color="000000" w:sz="4" w:space="0"/>
              <w:left w:val="single" w:color="000000" w:sz="4" w:space="0"/>
              <w:bottom w:val="single" w:color="000000" w:sz="4" w:space="0"/>
              <w:right w:val="single" w:color="000000" w:sz="4" w:space="0"/>
            </w:tcBorders>
            <w:tcW w:w="7835" w:type="dxa"/>
            <w:vAlign w:val="center"/>
            <w:textDirection w:val="lrTb"/>
            <w:noWrap w:val="false"/>
          </w:tcPr>
          <w:p>
            <w:pPr>
              <w:pStyle w:val="1063"/>
              <w:jc w:val="both"/>
              <w:widowControl w:val="off"/>
              <w:tabs>
                <w:tab w:val="left" w:pos="566" w:leader="none"/>
              </w:tabs>
              <w:rPr>
                <w:sz w:val="20"/>
                <w:szCs w:val="20"/>
              </w:rPr>
            </w:pPr>
            <w:r>
              <w:rPr>
                <w:rFonts w:ascii="Arial Narrow" w:hAnsi="Arial Narrow" w:cs="Calibri"/>
                <w:sz w:val="20"/>
                <w:szCs w:val="20"/>
              </w:rPr>
              <w:t xml:space="preserve">Затраты на капитальный ремонт основных производственных фондов по охране окружающей среды, всего</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2127" w:type="dxa"/>
            <w:vAlign w:val="center"/>
            <w:textDirection w:val="lrTb"/>
            <w:noWrap w:val="false"/>
          </w:tcPr>
          <w:p>
            <w:pPr>
              <w:pStyle w:val="1063"/>
              <w:jc w:val="center"/>
              <w:widowControl w:val="off"/>
              <w:tabs>
                <w:tab w:val="left" w:pos="566" w:leader="none"/>
              </w:tabs>
              <w:rPr>
                <w:sz w:val="20"/>
                <w:szCs w:val="20"/>
              </w:rPr>
            </w:pPr>
            <w:r>
              <w:rPr>
                <w:rFonts w:ascii="Arial Narrow" w:hAnsi="Arial Narrow"/>
                <w:sz w:val="20"/>
                <w:szCs w:val="20"/>
              </w:rPr>
              <w:t xml:space="preserve">0,0</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7835" w:type="dxa"/>
            <w:vAlign w:val="center"/>
            <w:textDirection w:val="lrTb"/>
            <w:noWrap w:val="false"/>
          </w:tcPr>
          <w:p>
            <w:pPr>
              <w:pStyle w:val="1063"/>
              <w:jc w:val="both"/>
              <w:widowControl w:val="off"/>
              <w:tabs>
                <w:tab w:val="left" w:pos="566" w:leader="none"/>
              </w:tabs>
              <w:rPr>
                <w:sz w:val="20"/>
                <w:szCs w:val="20"/>
              </w:rPr>
            </w:pPr>
            <w:r>
              <w:rPr>
                <w:rFonts w:ascii="Arial Narrow" w:hAnsi="Arial Narrow" w:cs="Calibri"/>
                <w:sz w:val="20"/>
                <w:szCs w:val="20"/>
              </w:rPr>
              <w:t xml:space="preserve">Затраты на капитальный ремонт основных производственных фондов на сбор и очистку сточных вод</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2127" w:type="dxa"/>
            <w:vAlign w:val="center"/>
            <w:textDirection w:val="lrTb"/>
            <w:noWrap w:val="false"/>
          </w:tcPr>
          <w:p>
            <w:pPr>
              <w:pStyle w:val="1063"/>
              <w:jc w:val="center"/>
              <w:widowControl w:val="off"/>
              <w:tabs>
                <w:tab w:val="left" w:pos="566" w:leader="none"/>
              </w:tabs>
              <w:rPr>
                <w:sz w:val="20"/>
                <w:szCs w:val="20"/>
              </w:rPr>
            </w:pPr>
            <w:r>
              <w:rPr>
                <w:rFonts w:ascii="Arial Narrow" w:hAnsi="Arial Narrow"/>
                <w:sz w:val="20"/>
                <w:szCs w:val="20"/>
              </w:rPr>
              <w:t xml:space="preserve">0,0</w:t>
            </w:r>
            <w:r>
              <w:rPr>
                <w:sz w:val="20"/>
                <w:szCs w:val="20"/>
              </w:rPr>
            </w:r>
            <w:r>
              <w:rPr>
                <w:sz w:val="20"/>
                <w:szCs w:val="20"/>
              </w:rPr>
            </w:r>
          </w:p>
        </w:tc>
      </w:tr>
    </w:tbl>
    <w:p>
      <w:pPr>
        <w:pStyle w:val="1063"/>
        <w:ind w:firstLine="142"/>
        <w:jc w:val="both"/>
        <w:tabs>
          <w:tab w:val="left" w:pos="566" w:leader="none"/>
          <w:tab w:val="left" w:pos="850" w:leader="none"/>
        </w:tabs>
        <w:rPr>
          <w:rFonts w:ascii="Arial Narrow" w:hAnsi="Arial Narrow" w:cs="Calibri"/>
          <w:color w:val="314e87"/>
          <w:sz w:val="12"/>
          <w:szCs w:val="12"/>
        </w:rPr>
      </w:pPr>
      <w:r>
        <w:rPr>
          <w:rFonts w:ascii="Arial Narrow" w:hAnsi="Arial Narrow" w:cs="Calibri"/>
          <w:color w:val="314e87"/>
          <w:sz w:val="12"/>
          <w:szCs w:val="12"/>
        </w:rPr>
      </w:r>
      <w:r>
        <w:rPr>
          <w:rFonts w:ascii="Arial Narrow" w:hAnsi="Arial Narrow" w:cs="Calibri"/>
          <w:color w:val="314e87"/>
          <w:sz w:val="12"/>
          <w:szCs w:val="12"/>
        </w:rPr>
      </w:r>
      <w:r>
        <w:rPr>
          <w:rFonts w:ascii="Arial Narrow" w:hAnsi="Arial Narrow" w:cs="Calibri"/>
          <w:color w:val="314e87"/>
          <w:sz w:val="12"/>
          <w:szCs w:val="12"/>
        </w:rPr>
      </w:r>
    </w:p>
    <w:p>
      <w:pPr>
        <w:pStyle w:val="1063"/>
        <w:ind w:firstLine="142"/>
        <w:jc w:val="both"/>
        <w:spacing w:after="120"/>
        <w:tabs>
          <w:tab w:val="left" w:pos="566" w:leader="none"/>
          <w:tab w:val="left" w:pos="850" w:leader="none"/>
        </w:tabs>
        <w:rPr>
          <w:b/>
        </w:rPr>
      </w:pPr>
      <w:r>
        <w:rPr>
          <w:rFonts w:ascii="Arial Narrow" w:hAnsi="Arial Narrow" w:cs="Calibri"/>
          <w:b/>
          <w:color w:val="314e87"/>
        </w:rPr>
        <w:t xml:space="preserve">Объем собственного потребления энергии</w:t>
      </w:r>
      <w:r>
        <w:rPr>
          <w:b/>
        </w:rPr>
      </w:r>
      <w:r>
        <w:rPr>
          <w:b/>
        </w:rPr>
      </w:r>
    </w:p>
    <w:p>
      <w:pPr>
        <w:pStyle w:val="1063"/>
        <w:ind w:firstLine="567"/>
        <w:jc w:val="both"/>
        <w:rPr>
          <w:rFonts w:ascii="Arial Narrow" w:hAnsi="Arial Narrow" w:cs="Calibri"/>
        </w:rPr>
      </w:pPr>
      <w:r>
        <w:rPr>
          <w:rFonts w:ascii="Arial Narrow" w:hAnsi="Arial Narrow" w:cs="Calibri"/>
        </w:rPr>
        <w:t xml:space="preserve">В целях осуществления основного вида деятельности для выработки электрической и тепловой энергии в 2024 году ПАО «Камчатскэнерго» использовано:</w:t>
      </w:r>
      <w:r>
        <w:rPr>
          <w:rFonts w:ascii="Arial Narrow" w:hAnsi="Arial Narrow" w:cs="Calibri"/>
        </w:rPr>
      </w:r>
      <w:r>
        <w:rPr>
          <w:rFonts w:ascii="Arial Narrow" w:hAnsi="Arial Narrow" w:cs="Calibri"/>
        </w:rPr>
      </w:r>
    </w:p>
    <w:p>
      <w:pPr>
        <w:pStyle w:val="1063"/>
        <w:ind w:firstLine="567"/>
        <w:jc w:val="right"/>
        <w:rPr>
          <w:sz w:val="12"/>
          <w:szCs w:val="12"/>
        </w:rPr>
      </w:pPr>
      <w:r>
        <w:rPr>
          <w:rFonts w:ascii="Arial Narrow" w:hAnsi="Arial Narrow" w:eastAsia="Calibri" w:cs="Calibri"/>
          <w:i/>
          <w:lang w:eastAsia="ja-JP"/>
        </w:rPr>
        <w:t xml:space="preserve">Таблица № 41</w:t>
      </w:r>
      <w:r>
        <w:rPr>
          <w:sz w:val="12"/>
          <w:szCs w:val="12"/>
        </w:rPr>
      </w:r>
      <w:r>
        <w:rPr>
          <w:sz w:val="12"/>
          <w:szCs w:val="12"/>
        </w:rPr>
      </w:r>
    </w:p>
    <w:tbl>
      <w:tblPr>
        <w:tblW w:w="10058" w:type="dxa"/>
        <w:tblInd w:w="259" w:type="dxa"/>
        <w:tblLayout w:type="fixed"/>
        <w:tblLook w:val="04A0" w:firstRow="1" w:lastRow="0" w:firstColumn="1" w:lastColumn="0" w:noHBand="0" w:noVBand="1"/>
      </w:tblPr>
      <w:tblGrid>
        <w:gridCol w:w="4984"/>
        <w:gridCol w:w="5074"/>
      </w:tblGrid>
      <w:tr>
        <w:trPr>
          <w:tblHeader/>
        </w:trPr>
        <w:tc>
          <w:tcPr>
            <w:tcBorders>
              <w:top w:val="single" w:color="000000" w:sz="4" w:space="0"/>
              <w:left w:val="single" w:color="000000" w:sz="4" w:space="0"/>
              <w:bottom w:val="single" w:color="000000" w:sz="4" w:space="0"/>
              <w:right w:val="single" w:color="000000" w:sz="4" w:space="0"/>
            </w:tcBorders>
            <w:tcW w:w="4984" w:type="dxa"/>
            <w:textDirection w:val="lrTb"/>
            <w:noWrap w:val="false"/>
          </w:tcPr>
          <w:p>
            <w:pPr>
              <w:pStyle w:val="1063"/>
              <w:jc w:val="center"/>
              <w:widowControl w:val="off"/>
              <w:rPr>
                <w:sz w:val="20"/>
                <w:szCs w:val="20"/>
              </w:rPr>
            </w:pPr>
            <w:r>
              <w:rPr>
                <w:rFonts w:ascii="Arial Narrow" w:hAnsi="Arial Narrow" w:cs="Calibri"/>
                <w:sz w:val="20"/>
                <w:szCs w:val="20"/>
              </w:rPr>
              <w:t xml:space="preserve">Вид источника (сырья)</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073" w:type="dxa"/>
            <w:textDirection w:val="lrTb"/>
            <w:noWrap w:val="false"/>
          </w:tcPr>
          <w:p>
            <w:pPr>
              <w:pStyle w:val="1063"/>
              <w:jc w:val="center"/>
              <w:widowControl w:val="off"/>
              <w:rPr>
                <w:sz w:val="20"/>
                <w:szCs w:val="20"/>
              </w:rPr>
            </w:pPr>
            <w:r>
              <w:rPr>
                <w:rFonts w:ascii="Arial Narrow" w:hAnsi="Arial Narrow" w:cs="Calibri"/>
                <w:sz w:val="20"/>
                <w:szCs w:val="20"/>
              </w:rPr>
              <w:t xml:space="preserve">В натуральном выражении</w:t>
            </w:r>
            <w:r>
              <w:rPr>
                <w:sz w:val="20"/>
                <w:szCs w:val="20"/>
              </w:rPr>
            </w:r>
            <w:r>
              <w:rPr>
                <w:sz w:val="20"/>
                <w:szCs w:val="20"/>
              </w:rPr>
            </w:r>
          </w:p>
        </w:tc>
      </w:tr>
      <w:tr>
        <w:trPr/>
        <w:tc>
          <w:tcPr>
            <w:tcBorders>
              <w:top w:val="single" w:color="000000" w:sz="4" w:space="0"/>
              <w:left w:val="single" w:color="000000" w:sz="4" w:space="0"/>
              <w:bottom w:val="single" w:color="000000" w:sz="4" w:space="0"/>
              <w:right w:val="single" w:color="000000" w:sz="4" w:space="0"/>
            </w:tcBorders>
            <w:tcW w:w="4984" w:type="dxa"/>
            <w:textDirection w:val="lrTb"/>
            <w:noWrap w:val="false"/>
          </w:tcPr>
          <w:p>
            <w:pPr>
              <w:pStyle w:val="1063"/>
              <w:jc w:val="both"/>
              <w:widowControl w:val="off"/>
              <w:rPr>
                <w:sz w:val="20"/>
                <w:szCs w:val="20"/>
              </w:rPr>
            </w:pPr>
            <w:r>
              <w:rPr>
                <w:rFonts w:ascii="Arial Narrow" w:hAnsi="Arial Narrow" w:cs="Calibri"/>
                <w:sz w:val="20"/>
                <w:szCs w:val="20"/>
              </w:rPr>
              <w:t xml:space="preserve">природного газа</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073" w:type="dxa"/>
            <w:textDirection w:val="lrTb"/>
            <w:noWrap w:val="false"/>
          </w:tcPr>
          <w:p>
            <w:pPr>
              <w:pStyle w:val="1063"/>
              <w:jc w:val="both"/>
              <w:widowControl w:val="off"/>
              <w:rPr>
                <w:sz w:val="20"/>
                <w:szCs w:val="20"/>
              </w:rPr>
            </w:pPr>
            <w:r>
              <w:rPr>
                <w:rFonts w:ascii="Arial Narrow" w:hAnsi="Arial Narrow"/>
                <w:sz w:val="20"/>
                <w:szCs w:val="20"/>
              </w:rPr>
              <w:t xml:space="preserve">169 818,21 тыс. куб. м</w:t>
            </w:r>
            <w:r>
              <w:rPr>
                <w:rFonts w:ascii="Arial Narrow" w:hAnsi="Arial Narrow" w:eastAsia="Calibri"/>
                <w:sz w:val="20"/>
                <w:szCs w:val="20"/>
              </w:rPr>
              <w:t xml:space="preserve">. (206 361,46 т.у.т)</w:t>
            </w:r>
            <w:r>
              <w:rPr>
                <w:sz w:val="20"/>
                <w:szCs w:val="20"/>
              </w:rPr>
            </w:r>
            <w:r>
              <w:rPr>
                <w:sz w:val="20"/>
                <w:szCs w:val="20"/>
              </w:rPr>
            </w:r>
          </w:p>
        </w:tc>
      </w:tr>
      <w:tr>
        <w:trPr/>
        <w:tc>
          <w:tcPr>
            <w:tcBorders>
              <w:top w:val="single" w:color="000000" w:sz="4" w:space="0"/>
              <w:left w:val="single" w:color="000000" w:sz="4" w:space="0"/>
              <w:bottom w:val="single" w:color="000000" w:sz="4" w:space="0"/>
              <w:right w:val="single" w:color="000000" w:sz="4" w:space="0"/>
            </w:tcBorders>
            <w:tcW w:w="4984" w:type="dxa"/>
            <w:textDirection w:val="lrTb"/>
            <w:noWrap w:val="false"/>
          </w:tcPr>
          <w:p>
            <w:pPr>
              <w:pStyle w:val="1063"/>
              <w:jc w:val="both"/>
              <w:widowControl w:val="off"/>
              <w:rPr>
                <w:sz w:val="20"/>
                <w:szCs w:val="20"/>
              </w:rPr>
            </w:pPr>
            <w:r>
              <w:rPr>
                <w:rFonts w:ascii="Arial Narrow" w:hAnsi="Arial Narrow" w:eastAsia="Calibri" w:cs="Calibri"/>
                <w:sz w:val="20"/>
                <w:szCs w:val="20"/>
              </w:rPr>
              <w:t xml:space="preserve">нефтетоплива:</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073" w:type="dxa"/>
            <w:textDirection w:val="lrTb"/>
            <w:noWrap w:val="false"/>
          </w:tcPr>
          <w:p>
            <w:pPr>
              <w:pStyle w:val="1063"/>
              <w:jc w:val="both"/>
              <w:widowControl w:val="off"/>
              <w:rPr>
                <w:sz w:val="20"/>
                <w:szCs w:val="20"/>
              </w:rPr>
            </w:pPr>
            <w:r>
              <w:rPr>
                <w:rFonts w:ascii="Arial Narrow" w:hAnsi="Arial Narrow" w:eastAsia="Calibri"/>
                <w:sz w:val="20"/>
                <w:szCs w:val="20"/>
              </w:rPr>
              <w:t xml:space="preserve">452</w:t>
            </w:r>
            <w:r>
              <w:rPr>
                <w:rFonts w:ascii="Arial Narrow" w:hAnsi="Arial Narrow" w:eastAsia="Calibri"/>
                <w:sz w:val="20"/>
                <w:szCs w:val="20"/>
                <w:lang w:val="en-US"/>
              </w:rPr>
              <w:t xml:space="preserve"> </w:t>
            </w:r>
            <w:r>
              <w:rPr>
                <w:rFonts w:ascii="Arial Narrow" w:hAnsi="Arial Narrow" w:eastAsia="Calibri"/>
                <w:sz w:val="20"/>
                <w:szCs w:val="20"/>
              </w:rPr>
              <w:t xml:space="preserve">060,67 т.у.т.</w:t>
            </w:r>
            <w:r>
              <w:rPr>
                <w:sz w:val="20"/>
                <w:szCs w:val="20"/>
              </w:rPr>
            </w:r>
            <w:r>
              <w:rPr>
                <w:sz w:val="20"/>
                <w:szCs w:val="20"/>
              </w:rPr>
            </w:r>
          </w:p>
        </w:tc>
      </w:tr>
      <w:tr>
        <w:trPr/>
        <w:tc>
          <w:tcPr>
            <w:tcBorders>
              <w:top w:val="single" w:color="000000" w:sz="4" w:space="0"/>
              <w:left w:val="single" w:color="000000" w:sz="4" w:space="0"/>
              <w:bottom w:val="single" w:color="000000" w:sz="4" w:space="0"/>
              <w:right w:val="single" w:color="000000" w:sz="4" w:space="0"/>
            </w:tcBorders>
            <w:tcW w:w="4984" w:type="dxa"/>
            <w:textDirection w:val="lrTb"/>
            <w:noWrap w:val="false"/>
          </w:tcPr>
          <w:p>
            <w:pPr>
              <w:pStyle w:val="1063"/>
              <w:jc w:val="both"/>
              <w:widowControl w:val="off"/>
              <w:rPr>
                <w:sz w:val="20"/>
                <w:szCs w:val="20"/>
              </w:rPr>
            </w:pPr>
            <w:r>
              <w:rPr>
                <w:rFonts w:ascii="Arial Narrow" w:hAnsi="Arial Narrow" w:eastAsia="Calibri" w:cs="Calibri"/>
                <w:sz w:val="20"/>
                <w:szCs w:val="20"/>
              </w:rPr>
              <w:t xml:space="preserve">дизельного топлива</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073" w:type="dxa"/>
            <w:textDirection w:val="lrTb"/>
            <w:noWrap w:val="false"/>
          </w:tcPr>
          <w:p>
            <w:pPr>
              <w:pStyle w:val="1063"/>
              <w:jc w:val="both"/>
              <w:widowControl w:val="off"/>
              <w:rPr>
                <w:sz w:val="20"/>
                <w:szCs w:val="20"/>
              </w:rPr>
            </w:pPr>
            <w:r>
              <w:rPr>
                <w:rFonts w:ascii="Arial Narrow" w:hAnsi="Arial Narrow" w:eastAsia="Calibri"/>
                <w:sz w:val="20"/>
                <w:szCs w:val="20"/>
              </w:rPr>
              <w:t xml:space="preserve">1 229,50 т.н.т. (1 785,53  т.у.т)</w:t>
            </w:r>
            <w:r>
              <w:rPr>
                <w:sz w:val="20"/>
                <w:szCs w:val="20"/>
              </w:rPr>
            </w:r>
            <w:r>
              <w:rPr>
                <w:sz w:val="20"/>
                <w:szCs w:val="20"/>
              </w:rPr>
            </w:r>
          </w:p>
        </w:tc>
      </w:tr>
      <w:tr>
        <w:trPr/>
        <w:tc>
          <w:tcPr>
            <w:tcBorders>
              <w:top w:val="single" w:color="000000" w:sz="4" w:space="0"/>
              <w:left w:val="single" w:color="000000" w:sz="4" w:space="0"/>
              <w:bottom w:val="single" w:color="000000" w:sz="4" w:space="0"/>
              <w:right w:val="single" w:color="000000" w:sz="4" w:space="0"/>
            </w:tcBorders>
            <w:tcW w:w="4984" w:type="dxa"/>
            <w:textDirection w:val="lrTb"/>
            <w:noWrap w:val="false"/>
          </w:tcPr>
          <w:p>
            <w:pPr>
              <w:pStyle w:val="1063"/>
              <w:jc w:val="both"/>
              <w:widowControl w:val="off"/>
              <w:rPr>
                <w:sz w:val="20"/>
                <w:szCs w:val="20"/>
              </w:rPr>
            </w:pPr>
            <w:r>
              <w:rPr>
                <w:rFonts w:ascii="Arial Narrow" w:hAnsi="Arial Narrow" w:eastAsia="Calibri" w:cs="Calibri"/>
                <w:sz w:val="20"/>
                <w:szCs w:val="20"/>
              </w:rPr>
              <w:t xml:space="preserve">мазута топочного</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073" w:type="dxa"/>
            <w:textDirection w:val="lrTb"/>
            <w:noWrap w:val="false"/>
          </w:tcPr>
          <w:p>
            <w:pPr>
              <w:pStyle w:val="1063"/>
              <w:jc w:val="both"/>
              <w:widowControl w:val="off"/>
              <w:rPr>
                <w:sz w:val="20"/>
                <w:szCs w:val="20"/>
              </w:rPr>
            </w:pPr>
            <w:r>
              <w:rPr>
                <w:rFonts w:ascii="Arial Narrow" w:hAnsi="Arial Narrow" w:eastAsia="Calibri"/>
                <w:sz w:val="20"/>
                <w:szCs w:val="20"/>
              </w:rPr>
              <w:t xml:space="preserve">320 401,14 т.н.т.   (450 275,14 т.у.т)</w:t>
            </w:r>
            <w:r>
              <w:rPr>
                <w:sz w:val="20"/>
                <w:szCs w:val="20"/>
              </w:rPr>
            </w:r>
            <w:r>
              <w:rPr>
                <w:sz w:val="20"/>
                <w:szCs w:val="20"/>
              </w:rPr>
            </w:r>
          </w:p>
        </w:tc>
      </w:tr>
      <w:tr>
        <w:trPr/>
        <w:tc>
          <w:tcPr>
            <w:tcBorders>
              <w:top w:val="single" w:color="000000" w:sz="4" w:space="0"/>
              <w:left w:val="single" w:color="000000" w:sz="4" w:space="0"/>
              <w:bottom w:val="single" w:color="000000" w:sz="4" w:space="0"/>
              <w:right w:val="single" w:color="000000" w:sz="4" w:space="0"/>
            </w:tcBorders>
            <w:tcW w:w="4984" w:type="dxa"/>
            <w:textDirection w:val="lrTb"/>
            <w:noWrap w:val="false"/>
          </w:tcPr>
          <w:p>
            <w:pPr>
              <w:pStyle w:val="1063"/>
              <w:jc w:val="both"/>
              <w:widowControl w:val="off"/>
              <w:rPr>
                <w:sz w:val="20"/>
                <w:szCs w:val="20"/>
              </w:rPr>
            </w:pPr>
            <w:r>
              <w:rPr>
                <w:rFonts w:ascii="Arial Narrow" w:hAnsi="Arial Narrow" w:cs="Calibri"/>
                <w:sz w:val="20"/>
                <w:szCs w:val="20"/>
              </w:rPr>
              <w:t xml:space="preserve">твердого топлива</w:t>
            </w:r>
            <w:r>
              <w:rPr>
                <w:rFonts w:ascii="Arial Narrow" w:hAnsi="Arial Narrow" w:cs="Calibri"/>
                <w:sz w:val="20"/>
                <w:szCs w:val="20"/>
                <w:lang w:val="en-US"/>
              </w:rPr>
              <w:t xml:space="preserve">:</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073" w:type="dxa"/>
            <w:textDirection w:val="lrTb"/>
            <w:noWrap w:val="false"/>
          </w:tcPr>
          <w:p>
            <w:pPr>
              <w:pStyle w:val="1063"/>
              <w:jc w:val="both"/>
              <w:widowControl w:val="off"/>
              <w:rPr>
                <w:rFonts w:ascii="Arial Narrow" w:hAnsi="Arial Narrow" w:eastAsia="Calibri" w:cs="Calibri"/>
                <w:sz w:val="20"/>
                <w:szCs w:val="20"/>
              </w:rPr>
            </w:pPr>
            <w:r>
              <w:rPr>
                <w:rFonts w:ascii="Arial Narrow" w:hAnsi="Arial Narrow" w:eastAsia="Calibri" w:cs="Calibri"/>
                <w:sz w:val="20"/>
                <w:szCs w:val="20"/>
              </w:rPr>
            </w:r>
            <w:r>
              <w:rPr>
                <w:rFonts w:ascii="Arial Narrow" w:hAnsi="Arial Narrow" w:eastAsia="Calibri" w:cs="Calibri"/>
                <w:sz w:val="20"/>
                <w:szCs w:val="20"/>
              </w:rPr>
            </w:r>
            <w:r>
              <w:rPr>
                <w:rFonts w:ascii="Arial Narrow" w:hAnsi="Arial Narrow" w:eastAsia="Calibri" w:cs="Calibri"/>
                <w:sz w:val="20"/>
                <w:szCs w:val="20"/>
              </w:rPr>
            </w:r>
          </w:p>
        </w:tc>
      </w:tr>
      <w:tr>
        <w:trPr/>
        <w:tc>
          <w:tcPr>
            <w:tcBorders>
              <w:top w:val="single" w:color="000000" w:sz="4" w:space="0"/>
              <w:left w:val="single" w:color="000000" w:sz="4" w:space="0"/>
              <w:bottom w:val="single" w:color="000000" w:sz="4" w:space="0"/>
              <w:right w:val="single" w:color="000000" w:sz="4" w:space="0"/>
            </w:tcBorders>
            <w:tcW w:w="4984" w:type="dxa"/>
            <w:textDirection w:val="lrTb"/>
            <w:noWrap w:val="false"/>
          </w:tcPr>
          <w:p>
            <w:pPr>
              <w:pStyle w:val="1063"/>
              <w:jc w:val="both"/>
              <w:widowControl w:val="off"/>
              <w:rPr>
                <w:sz w:val="20"/>
                <w:szCs w:val="20"/>
              </w:rPr>
            </w:pPr>
            <w:r>
              <w:rPr>
                <w:rFonts w:ascii="Arial Narrow" w:hAnsi="Arial Narrow" w:eastAsia="Calibri" w:cs="Calibri"/>
                <w:sz w:val="20"/>
                <w:szCs w:val="20"/>
              </w:rPr>
              <w:t xml:space="preserve">угля</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5073" w:type="dxa"/>
            <w:textDirection w:val="lrTb"/>
            <w:noWrap w:val="false"/>
          </w:tcPr>
          <w:p>
            <w:pPr>
              <w:pStyle w:val="1063"/>
              <w:jc w:val="both"/>
              <w:widowControl w:val="off"/>
              <w:rPr>
                <w:sz w:val="20"/>
                <w:szCs w:val="20"/>
              </w:rPr>
            </w:pPr>
            <w:r>
              <w:rPr>
                <w:rFonts w:ascii="Arial Narrow" w:hAnsi="Arial Narrow" w:eastAsia="Calibri"/>
                <w:sz w:val="20"/>
                <w:szCs w:val="20"/>
              </w:rPr>
              <w:t xml:space="preserve">53 418,74 тонн (41 472,91 т.у.т.)</w:t>
            </w:r>
            <w:r>
              <w:rPr>
                <w:sz w:val="20"/>
                <w:szCs w:val="20"/>
              </w:rPr>
            </w:r>
            <w:r>
              <w:rPr>
                <w:sz w:val="20"/>
                <w:szCs w:val="20"/>
              </w:rPr>
            </w:r>
          </w:p>
        </w:tc>
      </w:tr>
    </w:tbl>
    <w:p>
      <w:pPr>
        <w:pStyle w:val="1063"/>
        <w:ind w:firstLine="142"/>
        <w:jc w:val="both"/>
        <w:tabs>
          <w:tab w:val="left" w:pos="566" w:leader="none"/>
          <w:tab w:val="left" w:pos="850" w:leader="none"/>
        </w:tabs>
        <w:rPr>
          <w:rFonts w:ascii="Arial Narrow" w:hAnsi="Arial Narrow" w:cs="Calibri"/>
          <w:color w:val="314e87"/>
          <w:sz w:val="12"/>
          <w:szCs w:val="12"/>
        </w:rPr>
      </w:pPr>
      <w:r>
        <w:rPr>
          <w:rFonts w:ascii="Arial Narrow" w:hAnsi="Arial Narrow" w:cs="Calibri"/>
          <w:color w:val="314e87"/>
          <w:sz w:val="12"/>
          <w:szCs w:val="12"/>
        </w:rPr>
      </w:r>
      <w:r>
        <w:rPr>
          <w:rFonts w:ascii="Arial Narrow" w:hAnsi="Arial Narrow" w:cs="Calibri"/>
          <w:color w:val="314e87"/>
          <w:sz w:val="12"/>
          <w:szCs w:val="12"/>
        </w:rPr>
      </w:r>
      <w:r>
        <w:rPr>
          <w:rFonts w:ascii="Arial Narrow" w:hAnsi="Arial Narrow" w:cs="Calibri"/>
          <w:color w:val="314e87"/>
          <w:sz w:val="12"/>
          <w:szCs w:val="12"/>
        </w:rPr>
      </w:r>
    </w:p>
    <w:p>
      <w:pPr>
        <w:pStyle w:val="1063"/>
        <w:ind w:firstLine="142"/>
        <w:jc w:val="both"/>
        <w:spacing w:after="120"/>
        <w:tabs>
          <w:tab w:val="left" w:pos="566" w:leader="none"/>
          <w:tab w:val="left" w:pos="850" w:leader="none"/>
        </w:tabs>
        <w:rPr>
          <w:rFonts w:ascii="Arial Narrow" w:hAnsi="Arial Narrow" w:cs="Calibri"/>
          <w:b/>
          <w:color w:val="314e87"/>
        </w:rPr>
      </w:pPr>
      <w:r>
        <w:rPr>
          <w:rFonts w:ascii="Arial Narrow" w:hAnsi="Arial Narrow" w:cs="Calibri"/>
          <w:b/>
          <w:color w:val="314e87"/>
        </w:rPr>
        <w:t xml:space="preserve">Выбросы в атмосферу</w:t>
      </w:r>
      <w:r>
        <w:rPr>
          <w:rFonts w:ascii="Arial Narrow" w:hAnsi="Arial Narrow" w:cs="Calibri"/>
          <w:b/>
          <w:color w:val="314e87"/>
        </w:rPr>
      </w:r>
      <w:r>
        <w:rPr>
          <w:rFonts w:ascii="Arial Narrow" w:hAnsi="Arial Narrow" w:cs="Calibri"/>
          <w:b/>
          <w:color w:val="314e87"/>
        </w:rPr>
      </w:r>
    </w:p>
    <w:p>
      <w:pPr>
        <w:pStyle w:val="1063"/>
        <w:ind w:firstLine="567"/>
        <w:jc w:val="both"/>
      </w:pPr>
      <w:r>
        <w:rPr>
          <w:rFonts w:ascii="Arial Narrow" w:hAnsi="Arial Narrow" w:cs="Calibri"/>
        </w:rPr>
        <w:t xml:space="preserve">С целью устранения и уменьшения негативного воздействия на окружающую среду ПАО «Камчатскэнерго» осуществляет природоохранную деятельность, руководствуясь требованиями нормативных правовых актов в области охраны атмосферного воздуха.</w:t>
      </w:r>
      <w:r/>
    </w:p>
    <w:p>
      <w:pPr>
        <w:pStyle w:val="1063"/>
        <w:ind w:firstLine="567"/>
        <w:jc w:val="both"/>
      </w:pPr>
      <w:r>
        <w:rPr>
          <w:rFonts w:ascii="Arial Narrow" w:hAnsi="Arial Narrow" w:cs="Calibri"/>
        </w:rPr>
        <w:t xml:space="preserve">На всех производственных объектах ПАО «Камчатскэнерго» обеспечивается контроль выбросов загрязняющих веществ в атмосферный воздух. Выбросы загрязняющих веществ в атмосферу осуществляются на основании разрешительных документов.</w:t>
      </w:r>
      <w:r/>
    </w:p>
    <w:p>
      <w:pPr>
        <w:pStyle w:val="1063"/>
        <w:ind w:firstLine="567"/>
        <w:jc w:val="both"/>
      </w:pPr>
      <w:r>
        <w:rPr>
          <w:rFonts w:ascii="Arial Narrow" w:hAnsi="Arial Narrow" w:cs="Calibri"/>
        </w:rPr>
        <w:t xml:space="preserve">Фактически Обществом за 2024 год выброшено в атмосферный воздух 16 031,356 тонн вредных (загрязняющих) веществ.</w:t>
      </w:r>
      <w:r/>
    </w:p>
    <w:p>
      <w:pPr>
        <w:pStyle w:val="1063"/>
        <w:ind w:firstLine="567"/>
        <w:jc w:val="both"/>
      </w:pPr>
      <w:r>
        <w:rPr>
          <w:rFonts w:ascii="Arial Narrow" w:hAnsi="Arial Narrow" w:cs="Calibri"/>
        </w:rPr>
        <w:t xml:space="preserve">Удельные выбросы вредных (загрязняющих) веществ за 2024 год составили 4 267,97 г/МВт·ч.</w:t>
      </w:r>
      <w:r/>
    </w:p>
    <w:p>
      <w:pPr>
        <w:pStyle w:val="1063"/>
        <w:ind w:firstLine="567"/>
        <w:jc w:val="both"/>
      </w:pPr>
      <w:r>
        <w:rPr>
          <w:rFonts w:ascii="Arial Narrow" w:hAnsi="Arial Narrow" w:cs="Calibri"/>
        </w:rPr>
        <w:t xml:space="preserve">Фактическая выработка электроэнергии за 2024 год составила 1 692 040 МВт·ч, что на 78 443 МВт·ч больше, чем в 2023 году.</w:t>
      </w:r>
      <w:r/>
    </w:p>
    <w:p>
      <w:pPr>
        <w:pStyle w:val="1063"/>
        <w:ind w:firstLine="567"/>
        <w:jc w:val="both"/>
      </w:pPr>
      <w:r>
        <w:rPr>
          <w:rFonts w:ascii="Arial Narrow" w:hAnsi="Arial Narrow" w:cs="Calibri"/>
        </w:rPr>
        <w:t xml:space="preserve">Отпуск тепла за 2024 год составил 1 774,856 тыс. Гкал, что на 19,615 тыс. Гкал меньше, чем </w:t>
      </w:r>
      <w:r>
        <w:rPr>
          <w:rFonts w:ascii="Arial Narrow" w:hAnsi="Arial Narrow" w:cs="Calibri"/>
        </w:rPr>
        <w:br/>
        <w:t xml:space="preserve">в 2023 году.</w:t>
      </w:r>
      <w:r/>
    </w:p>
    <w:p>
      <w:pPr>
        <w:pStyle w:val="1063"/>
        <w:ind w:firstLine="567"/>
        <w:jc w:val="both"/>
      </w:pPr>
      <w:r>
        <w:rPr>
          <w:rFonts w:ascii="Arial Narrow" w:hAnsi="Arial Narrow" w:cs="Calibri"/>
        </w:rPr>
        <w:t xml:space="preserve">В 2024 </w:t>
      </w:r>
      <w:r>
        <w:rPr>
          <w:rFonts w:ascii="Arial Narrow" w:hAnsi="Arial Narrow" w:cs="Calibri"/>
        </w:rPr>
        <w:t xml:space="preserve">году по сравнению с 2023 годом произошло увеличение валовых выбросов вредных (загрязняющих) веществ в атмосферный воздух на 261,277 тонн (отклонение 1,657 %), в связи с увеличением расхода мазутного топлива на производство электрической и тепловой энергии.</w:t>
      </w:r>
      <w:r/>
    </w:p>
    <w:p>
      <w:pPr>
        <w:pStyle w:val="1063"/>
        <w:ind w:firstLine="567"/>
        <w:jc w:val="both"/>
      </w:pPr>
      <w:r>
        <w:rPr>
          <w:rFonts w:ascii="Arial Narrow" w:hAnsi="Arial Narrow" w:cs="Calibri"/>
        </w:rPr>
        <w:t xml:space="preserve">В 2024 году по сравнению с 2023 годом произошло увеличен</w:t>
      </w:r>
      <w:r>
        <w:rPr>
          <w:rFonts w:ascii="Arial Narrow" w:hAnsi="Arial Narrow" w:cs="Calibri"/>
        </w:rPr>
        <w:t xml:space="preserve">ие удельных выбросов вредных (загрязняющих) веществ в атмосферный воздух на 6,44 г/МВт·ч, в связи с увеличением доли мазута в топливном балансе и увеличением валовых выбросов загрязняющих веществ при сопоставимой выработке электрической и тепловой энергии.</w:t>
      </w:r>
      <w:r/>
    </w:p>
    <w:p>
      <w:pPr>
        <w:pStyle w:val="1063"/>
        <w:ind w:firstLine="142"/>
        <w:jc w:val="both"/>
        <w:tabs>
          <w:tab w:val="left" w:pos="566" w:leader="none"/>
          <w:tab w:val="left" w:pos="850" w:leader="none"/>
        </w:tabs>
        <w:rPr>
          <w:rFonts w:ascii="Arial Narrow" w:hAnsi="Arial Narrow" w:cs="Calibri"/>
          <w:color w:val="314e87"/>
          <w:sz w:val="10"/>
          <w:szCs w:val="10"/>
        </w:rPr>
      </w:pPr>
      <w:r>
        <w:rPr>
          <w:rFonts w:ascii="Arial Narrow" w:hAnsi="Arial Narrow" w:cs="Calibri"/>
          <w:color w:val="314e87"/>
          <w:sz w:val="10"/>
          <w:szCs w:val="10"/>
        </w:rPr>
      </w:r>
      <w:r>
        <w:rPr>
          <w:rFonts w:ascii="Arial Narrow" w:hAnsi="Arial Narrow" w:cs="Calibri"/>
          <w:color w:val="314e87"/>
          <w:sz w:val="10"/>
          <w:szCs w:val="10"/>
        </w:rPr>
      </w:r>
      <w:r>
        <w:rPr>
          <w:rFonts w:ascii="Arial Narrow" w:hAnsi="Arial Narrow" w:cs="Calibri"/>
          <w:color w:val="314e87"/>
          <w:sz w:val="10"/>
          <w:szCs w:val="10"/>
        </w:rPr>
      </w:r>
    </w:p>
    <w:p>
      <w:pPr>
        <w:pStyle w:val="1063"/>
        <w:ind w:firstLine="142"/>
        <w:jc w:val="both"/>
        <w:spacing w:after="120"/>
        <w:tabs>
          <w:tab w:val="left" w:pos="566" w:leader="none"/>
          <w:tab w:val="left" w:pos="850" w:leader="none"/>
        </w:tabs>
        <w:rPr>
          <w:rFonts w:ascii="Arial Narrow" w:hAnsi="Arial Narrow" w:cs="Calibri"/>
          <w:color w:val="314e87"/>
        </w:rPr>
      </w:pPr>
      <w:r>
        <w:rPr>
          <w:rFonts w:ascii="Arial Narrow" w:hAnsi="Arial Narrow" w:cs="Calibri"/>
          <w:color w:val="314e87"/>
        </w:rPr>
      </w:r>
      <w:r>
        <w:rPr>
          <w:rFonts w:ascii="Arial Narrow" w:hAnsi="Arial Narrow" w:cs="Calibri"/>
          <w:color w:val="314e87"/>
        </w:rPr>
      </w:r>
      <w:r>
        <w:rPr>
          <w:rFonts w:ascii="Arial Narrow" w:hAnsi="Arial Narrow" w:cs="Calibri"/>
          <w:color w:val="314e87"/>
        </w:rPr>
      </w:r>
    </w:p>
    <w:p>
      <w:pPr>
        <w:pStyle w:val="1063"/>
        <w:ind w:firstLine="142"/>
        <w:jc w:val="both"/>
        <w:spacing w:after="120"/>
        <w:tabs>
          <w:tab w:val="left" w:pos="566" w:leader="none"/>
          <w:tab w:val="left" w:pos="850" w:leader="none"/>
        </w:tabs>
        <w:rPr>
          <w:rFonts w:ascii="Arial Narrow" w:hAnsi="Arial Narrow" w:cs="Calibri"/>
          <w:color w:val="314e87"/>
        </w:rPr>
      </w:pPr>
      <w:r>
        <w:rPr>
          <w:rFonts w:ascii="Arial Narrow" w:hAnsi="Arial Narrow" w:cs="Calibri"/>
          <w:color w:val="314e87"/>
        </w:rPr>
      </w:r>
      <w:r>
        <w:rPr>
          <w:rFonts w:ascii="Arial Narrow" w:hAnsi="Arial Narrow" w:cs="Calibri"/>
          <w:color w:val="314e87"/>
        </w:rPr>
      </w:r>
      <w:r>
        <w:rPr>
          <w:rFonts w:ascii="Arial Narrow" w:hAnsi="Arial Narrow" w:cs="Calibri"/>
          <w:color w:val="314e87"/>
        </w:rPr>
      </w:r>
    </w:p>
    <w:p>
      <w:pPr>
        <w:pStyle w:val="1063"/>
        <w:ind w:firstLine="142"/>
        <w:jc w:val="both"/>
        <w:spacing w:after="120"/>
        <w:tabs>
          <w:tab w:val="left" w:pos="566" w:leader="none"/>
          <w:tab w:val="left" w:pos="850" w:leader="none"/>
        </w:tabs>
        <w:rPr>
          <w:rFonts w:ascii="Arial Narrow" w:hAnsi="Arial Narrow" w:cs="Calibri"/>
          <w:b/>
          <w:color w:val="314e87"/>
        </w:rPr>
      </w:pPr>
      <w:r>
        <w:rPr>
          <w:rFonts w:ascii="Arial Narrow" w:hAnsi="Arial Narrow" w:cs="Calibri"/>
          <w:b/>
          <w:color w:val="314e87"/>
        </w:rPr>
        <w:t xml:space="preserve">Объемы выбросов загрязняющих веществ в атмосферный воздух</w:t>
      </w:r>
      <w:r>
        <w:rPr>
          <w:rFonts w:ascii="Arial Narrow" w:hAnsi="Arial Narrow" w:cs="Calibri"/>
          <w:b/>
          <w:color w:val="314e87"/>
        </w:rPr>
      </w:r>
      <w:r>
        <w:rPr>
          <w:rFonts w:ascii="Arial Narrow" w:hAnsi="Arial Narrow" w:cs="Calibri"/>
          <w:b/>
          <w:color w:val="314e87"/>
        </w:rPr>
      </w:r>
    </w:p>
    <w:p>
      <w:pPr>
        <w:pStyle w:val="1063"/>
        <w:ind w:firstLine="142"/>
        <w:jc w:val="right"/>
        <w:tabs>
          <w:tab w:val="left" w:pos="566" w:leader="none"/>
          <w:tab w:val="left" w:pos="850" w:leader="none"/>
        </w:tabs>
      </w:pPr>
      <w:r>
        <w:rPr>
          <w:rFonts w:ascii="Arial Narrow" w:hAnsi="Arial Narrow" w:eastAsia="Calibri" w:cs="Calibri"/>
          <w:i/>
          <w:lang w:eastAsia="ja-JP"/>
        </w:rPr>
        <w:t xml:space="preserve">Таблица № </w:t>
      </w:r>
      <w:r>
        <w:rPr>
          <w:rFonts w:ascii="Arial Narrow" w:hAnsi="Arial Narrow" w:eastAsia="Calibri" w:cs="Calibri"/>
          <w:i/>
          <w:lang w:val="en-US" w:eastAsia="ja-JP"/>
        </w:rPr>
        <w:t xml:space="preserve">4</w:t>
      </w:r>
      <w:r>
        <w:rPr>
          <w:rFonts w:ascii="Arial Narrow" w:hAnsi="Arial Narrow" w:eastAsia="Calibri" w:cs="Calibri"/>
          <w:i/>
          <w:lang w:eastAsia="ja-JP"/>
        </w:rPr>
        <w:t xml:space="preserve">2</w:t>
      </w:r>
      <w:r/>
    </w:p>
    <w:tbl>
      <w:tblPr>
        <w:tblW w:w="10200" w:type="dxa"/>
        <w:jc w:val="center"/>
        <w:tblLayout w:type="fixed"/>
        <w:tblCellMar>
          <w:left w:w="20" w:type="dxa"/>
          <w:top w:w="20" w:type="dxa"/>
          <w:right w:w="20" w:type="dxa"/>
        </w:tblCellMar>
        <w:tblLook w:val="04A0" w:firstRow="1" w:lastRow="0" w:firstColumn="1" w:lastColumn="0" w:noHBand="0" w:noVBand="1"/>
      </w:tblPr>
      <w:tblGrid>
        <w:gridCol w:w="566"/>
        <w:gridCol w:w="2691"/>
        <w:gridCol w:w="2833"/>
        <w:gridCol w:w="1840"/>
        <w:gridCol w:w="2270"/>
      </w:tblGrid>
      <w:tr>
        <w:trPr>
          <w:jc w:val="center"/>
          <w:trHeight w:val="25"/>
        </w:trPr>
        <w:tc>
          <w:tcPr>
            <w:tcBorders>
              <w:top w:val="single" w:color="000000" w:sz="4" w:space="0"/>
              <w:left w:val="single" w:color="000000" w:sz="4" w:space="0"/>
              <w:bottom w:val="single" w:color="000000" w:sz="4" w:space="0"/>
              <w:right w:val="single" w:color="000000" w:sz="4" w:space="0"/>
            </w:tcBorders>
            <w:tcW w:w="566" w:type="dxa"/>
            <w:vAlign w:val="center"/>
            <w:vMerge w:val="restart"/>
            <w:textDirection w:val="lrTb"/>
            <w:noWrap w:val="false"/>
          </w:tcPr>
          <w:p>
            <w:pPr>
              <w:pStyle w:val="1063"/>
              <w:jc w:val="center"/>
              <w:widowControl w:val="off"/>
              <w:rPr>
                <w:sz w:val="20"/>
                <w:szCs w:val="20"/>
              </w:rPr>
            </w:pPr>
            <w:r>
              <w:rPr>
                <w:rFonts w:ascii="Arial Narrow" w:hAnsi="Arial Narrow" w:cs="Calibri"/>
                <w:bCs/>
                <w:sz w:val="20"/>
                <w:szCs w:val="20"/>
              </w:rPr>
              <w:t xml:space="preserve">№</w:t>
            </w:r>
            <w:r>
              <w:rPr>
                <w:sz w:val="20"/>
                <w:szCs w:val="20"/>
              </w:rPr>
            </w:r>
            <w:r>
              <w:rPr>
                <w:sz w:val="20"/>
                <w:szCs w:val="20"/>
              </w:rPr>
            </w:r>
          </w:p>
          <w:p>
            <w:pPr>
              <w:pStyle w:val="1063"/>
              <w:jc w:val="center"/>
              <w:widowControl w:val="off"/>
              <w:rPr>
                <w:sz w:val="20"/>
                <w:szCs w:val="20"/>
              </w:rPr>
            </w:pPr>
            <w:r>
              <w:rPr>
                <w:rFonts w:ascii="Arial Narrow" w:hAnsi="Arial Narrow" w:cs="Calibri"/>
                <w:bCs/>
                <w:sz w:val="20"/>
                <w:szCs w:val="20"/>
              </w:rPr>
              <w:t xml:space="preserve">п/п</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2691" w:type="dxa"/>
            <w:vAlign w:val="center"/>
            <w:vMerge w:val="restart"/>
            <w:textDirection w:val="lrTb"/>
            <w:noWrap w:val="false"/>
          </w:tcPr>
          <w:p>
            <w:pPr>
              <w:pStyle w:val="1063"/>
              <w:jc w:val="center"/>
              <w:widowControl w:val="off"/>
              <w:rPr>
                <w:sz w:val="20"/>
                <w:szCs w:val="20"/>
              </w:rPr>
            </w:pPr>
            <w:r>
              <w:rPr>
                <w:rFonts w:ascii="Arial Narrow" w:hAnsi="Arial Narrow" w:cs="Calibri"/>
                <w:bCs/>
                <w:sz w:val="20"/>
                <w:szCs w:val="20"/>
              </w:rPr>
              <w:t xml:space="preserve">Выброс загрязняющих веществ в атмосферу за 2023 г., тонн</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2833" w:type="dxa"/>
            <w:vAlign w:val="center"/>
            <w:vMerge w:val="restart"/>
            <w:textDirection w:val="lrTb"/>
            <w:noWrap w:val="false"/>
          </w:tcPr>
          <w:p>
            <w:pPr>
              <w:pStyle w:val="1063"/>
              <w:jc w:val="center"/>
              <w:widowControl w:val="off"/>
              <w:rPr>
                <w:sz w:val="20"/>
                <w:szCs w:val="20"/>
              </w:rPr>
            </w:pPr>
            <w:r>
              <w:rPr>
                <w:rFonts w:ascii="Arial Narrow" w:hAnsi="Arial Narrow" w:cs="Calibri"/>
                <w:bCs/>
                <w:sz w:val="20"/>
                <w:szCs w:val="20"/>
              </w:rPr>
              <w:t xml:space="preserve">Выброс загрязняющих веществ в атмосферу за 2024 г., тонн</w:t>
            </w:r>
            <w:r>
              <w:rPr>
                <w:sz w:val="20"/>
                <w:szCs w:val="20"/>
              </w:rPr>
            </w:r>
            <w:r>
              <w:rPr>
                <w:sz w:val="20"/>
                <w:szCs w:val="20"/>
              </w:rPr>
            </w:r>
          </w:p>
        </w:tc>
        <w:tc>
          <w:tcPr>
            <w:gridSpan w:val="2"/>
            <w:tcBorders>
              <w:top w:val="single" w:color="000000" w:sz="4" w:space="0"/>
              <w:left w:val="single" w:color="000000" w:sz="4" w:space="0"/>
              <w:bottom w:val="single" w:color="000000" w:sz="4" w:space="0"/>
              <w:right w:val="single" w:color="000000" w:sz="4" w:space="0"/>
            </w:tcBorders>
            <w:tcW w:w="4110"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Объемы отклонений</w:t>
            </w:r>
            <w:r>
              <w:rPr>
                <w:sz w:val="20"/>
                <w:szCs w:val="20"/>
              </w:rPr>
            </w:r>
            <w:r>
              <w:rPr>
                <w:sz w:val="20"/>
                <w:szCs w:val="20"/>
              </w:rPr>
            </w:r>
          </w:p>
        </w:tc>
      </w:tr>
      <w:tr>
        <w:trPr>
          <w:jc w:val="center"/>
          <w:trHeight w:val="25"/>
        </w:trPr>
        <w:tc>
          <w:tcPr>
            <w:tcBorders>
              <w:top w:val="single" w:color="000000" w:sz="4" w:space="0"/>
              <w:left w:val="single" w:color="000000" w:sz="4" w:space="0"/>
              <w:bottom w:val="single" w:color="000000" w:sz="4" w:space="0"/>
              <w:right w:val="single" w:color="000000" w:sz="4" w:space="0"/>
            </w:tcBorders>
            <w:tcW w:w="566"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2691"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2833" w:type="dxa"/>
            <w:vAlign w:val="center"/>
            <w:vMerge w:val="continue"/>
            <w:textDirection w:val="lrTb"/>
            <w:noWrap w:val="false"/>
          </w:tcPr>
          <w:p>
            <w:pPr>
              <w:pStyle w:val="1062"/>
              <w:rPr>
                <w:sz w:val="20"/>
                <w:szCs w:val="20"/>
              </w:rPr>
            </w:pPr>
            <w:r>
              <w:rPr>
                <w:sz w:val="20"/>
                <w:szCs w:val="20"/>
              </w:rPr>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840" w:type="dxa"/>
            <w:vAlign w:val="center"/>
            <w:textDirection w:val="lrTb"/>
            <w:noWrap w:val="false"/>
          </w:tcPr>
          <w:p>
            <w:pPr>
              <w:pStyle w:val="1063"/>
              <w:jc w:val="center"/>
              <w:widowControl w:val="off"/>
              <w:tabs>
                <w:tab w:val="left" w:pos="10259" w:leader="none"/>
              </w:tabs>
              <w:rPr>
                <w:sz w:val="20"/>
                <w:szCs w:val="20"/>
              </w:rPr>
            </w:pPr>
            <w:r>
              <w:rPr>
                <w:rFonts w:ascii="Arial Narrow" w:hAnsi="Arial Narrow" w:cs="Calibri"/>
                <w:bCs/>
                <w:sz w:val="20"/>
                <w:szCs w:val="20"/>
              </w:rPr>
              <w:t xml:space="preserve">+/- (к уровню 2023 г.)</w:t>
            </w:r>
            <w:r>
              <w:rPr>
                <w:sz w:val="20"/>
                <w:szCs w:val="20"/>
              </w:rPr>
            </w:r>
            <w:r>
              <w:rPr>
                <w:sz w:val="20"/>
                <w:szCs w:val="20"/>
              </w:rPr>
            </w:r>
          </w:p>
          <w:p>
            <w:pPr>
              <w:pStyle w:val="1063"/>
              <w:jc w:val="center"/>
              <w:widowControl w:val="off"/>
              <w:tabs>
                <w:tab w:val="left" w:pos="10259" w:leader="none"/>
              </w:tabs>
              <w:rPr>
                <w:sz w:val="20"/>
                <w:szCs w:val="20"/>
              </w:rPr>
            </w:pPr>
            <w:r>
              <w:rPr>
                <w:rFonts w:ascii="Arial Narrow" w:hAnsi="Arial Narrow" w:cs="Calibri"/>
                <w:bCs/>
                <w:sz w:val="20"/>
                <w:szCs w:val="20"/>
              </w:rPr>
              <w:t xml:space="preserve">гр.3-гр.2, тонн</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Mar>
              <w:left w:w="5" w:type="dxa"/>
              <w:top w:w="0" w:type="dxa"/>
              <w:right w:w="5" w:type="dxa"/>
            </w:tcMar>
            <w:tcW w:w="2270" w:type="dxa"/>
            <w:vAlign w:val="center"/>
            <w:textDirection w:val="lrTb"/>
            <w:noWrap w:val="false"/>
          </w:tcPr>
          <w:p>
            <w:pPr>
              <w:pStyle w:val="1063"/>
              <w:jc w:val="center"/>
              <w:widowControl w:val="off"/>
              <w:tabs>
                <w:tab w:val="left" w:pos="10259" w:leader="none"/>
              </w:tabs>
              <w:rPr>
                <w:sz w:val="20"/>
                <w:szCs w:val="20"/>
              </w:rPr>
            </w:pPr>
            <w:r>
              <w:rPr>
                <w:rFonts w:ascii="Arial Narrow" w:hAnsi="Arial Narrow" w:cs="Calibri"/>
                <w:bCs/>
                <w:sz w:val="20"/>
                <w:szCs w:val="20"/>
              </w:rPr>
              <w:t xml:space="preserve">+/- (к уровню 2023 г.)</w:t>
            </w:r>
            <w:r>
              <w:rPr>
                <w:sz w:val="20"/>
                <w:szCs w:val="20"/>
              </w:rPr>
            </w:r>
            <w:r>
              <w:rPr>
                <w:sz w:val="20"/>
                <w:szCs w:val="20"/>
              </w:rPr>
            </w:r>
          </w:p>
          <w:p>
            <w:pPr>
              <w:pStyle w:val="1063"/>
              <w:jc w:val="center"/>
              <w:widowControl w:val="off"/>
              <w:tabs>
                <w:tab w:val="left" w:pos="10259" w:leader="none"/>
              </w:tabs>
              <w:rPr>
                <w:sz w:val="20"/>
                <w:szCs w:val="20"/>
              </w:rPr>
            </w:pPr>
            <w:r>
              <w:rPr>
                <w:rFonts w:ascii="Arial Narrow" w:hAnsi="Arial Narrow" w:cs="Calibri"/>
                <w:bCs/>
                <w:sz w:val="20"/>
                <w:szCs w:val="20"/>
              </w:rPr>
              <w:t xml:space="preserve">гр.3/гр.2, %</w:t>
            </w:r>
            <w:r>
              <w:rPr>
                <w:sz w:val="20"/>
                <w:szCs w:val="20"/>
              </w:rPr>
            </w:r>
            <w:r>
              <w:rPr>
                <w:sz w:val="20"/>
                <w:szCs w:val="20"/>
              </w:rPr>
            </w:r>
          </w:p>
        </w:tc>
      </w:tr>
      <w:tr>
        <w:trPr>
          <w:jc w:val="center"/>
          <w:trHeight w:val="25"/>
        </w:trPr>
        <w:tc>
          <w:tcPr>
            <w:tcBorders>
              <w:top w:val="single" w:color="000000" w:sz="4" w:space="0"/>
              <w:left w:val="single" w:color="000000" w:sz="4" w:space="0"/>
              <w:bottom w:val="single" w:color="000000" w:sz="4" w:space="0"/>
              <w:right w:val="single" w:color="000000" w:sz="4" w:space="0"/>
            </w:tcBorders>
            <w:tcW w:w="566" w:type="dxa"/>
            <w:textDirection w:val="lrTb"/>
            <w:noWrap w:val="false"/>
          </w:tcPr>
          <w:p>
            <w:pPr>
              <w:pStyle w:val="1063"/>
              <w:jc w:val="center"/>
              <w:widowControl w:val="off"/>
              <w:rPr>
                <w:sz w:val="20"/>
                <w:szCs w:val="20"/>
              </w:rPr>
            </w:pPr>
            <w:r>
              <w:rPr>
                <w:rFonts w:ascii="Arial Narrow" w:hAnsi="Arial Narrow" w:cs="Calibri"/>
                <w:bCs/>
                <w:sz w:val="20"/>
                <w:szCs w:val="20"/>
              </w:rPr>
              <w:t xml:space="preserve">1</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2691"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2</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2833"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3</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840"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4</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Mar>
              <w:left w:w="5" w:type="dxa"/>
              <w:top w:w="0" w:type="dxa"/>
              <w:right w:w="5" w:type="dxa"/>
            </w:tcMar>
            <w:tcW w:w="2270" w:type="dxa"/>
            <w:textDirection w:val="lrTb"/>
            <w:noWrap w:val="false"/>
          </w:tcPr>
          <w:p>
            <w:pPr>
              <w:pStyle w:val="1063"/>
              <w:jc w:val="center"/>
              <w:widowControl w:val="off"/>
              <w:rPr>
                <w:sz w:val="20"/>
                <w:szCs w:val="20"/>
              </w:rPr>
            </w:pPr>
            <w:r>
              <w:rPr>
                <w:rFonts w:ascii="Arial Narrow" w:hAnsi="Arial Narrow" w:cs="Calibri"/>
                <w:bCs/>
                <w:sz w:val="20"/>
                <w:szCs w:val="20"/>
              </w:rPr>
              <w:t xml:space="preserve">5</w:t>
            </w:r>
            <w:r>
              <w:rPr>
                <w:sz w:val="20"/>
                <w:szCs w:val="20"/>
              </w:rPr>
            </w:r>
            <w:r>
              <w:rPr>
                <w:sz w:val="20"/>
                <w:szCs w:val="20"/>
              </w:rPr>
            </w:r>
          </w:p>
        </w:tc>
      </w:tr>
      <w:tr>
        <w:trPr>
          <w:jc w:val="center"/>
          <w:trHeight w:val="25"/>
        </w:trPr>
        <w:tc>
          <w:tcPr>
            <w:tcBorders>
              <w:top w:val="single" w:color="000000" w:sz="4" w:space="0"/>
              <w:left w:val="single" w:color="000000" w:sz="4" w:space="0"/>
              <w:bottom w:val="single" w:color="000000" w:sz="4" w:space="0"/>
              <w:right w:val="single" w:color="000000" w:sz="4" w:space="0"/>
            </w:tcBorders>
            <w:tcW w:w="566" w:type="dxa"/>
            <w:textDirection w:val="lrTb"/>
            <w:noWrap w:val="false"/>
          </w:tcPr>
          <w:p>
            <w:pPr>
              <w:pStyle w:val="1063"/>
              <w:jc w:val="center"/>
              <w:widowControl w:val="off"/>
              <w:rPr>
                <w:rFonts w:ascii="Arial Narrow" w:hAnsi="Arial Narrow" w:cs="Calibri"/>
                <w:bCs/>
                <w:sz w:val="20"/>
                <w:szCs w:val="20"/>
              </w:rPr>
            </w:pPr>
            <w:r>
              <w:rPr>
                <w:rFonts w:ascii="Arial Narrow" w:hAnsi="Arial Narrow" w:cs="Calibri"/>
                <w:bCs/>
                <w:sz w:val="20"/>
                <w:szCs w:val="20"/>
              </w:rPr>
            </w:r>
            <w:r>
              <w:rPr>
                <w:rFonts w:ascii="Arial Narrow" w:hAnsi="Arial Narrow" w:cs="Calibri"/>
                <w:bCs/>
                <w:sz w:val="20"/>
                <w:szCs w:val="20"/>
              </w:rPr>
            </w:r>
            <w:r>
              <w:rPr>
                <w:rFonts w:ascii="Arial Narrow" w:hAnsi="Arial Narrow" w:cs="Calibri"/>
                <w:bCs/>
                <w:sz w:val="20"/>
                <w:szCs w:val="20"/>
              </w:rPr>
            </w:r>
          </w:p>
        </w:tc>
        <w:tc>
          <w:tcPr>
            <w:tcBorders>
              <w:top w:val="single" w:color="000000" w:sz="4" w:space="0"/>
              <w:left w:val="single" w:color="000000" w:sz="4" w:space="0"/>
              <w:bottom w:val="single" w:color="000000" w:sz="4" w:space="0"/>
              <w:right w:val="single" w:color="000000" w:sz="4" w:space="0"/>
            </w:tcBorders>
            <w:tcW w:w="2691"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15 770,079</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2833"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16 031,356</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840"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261,277</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Mar>
              <w:left w:w="5" w:type="dxa"/>
              <w:top w:w="0" w:type="dxa"/>
              <w:right w:w="5" w:type="dxa"/>
            </w:tcMar>
            <w:tcW w:w="2270" w:type="dxa"/>
            <w:textDirection w:val="lrTb"/>
            <w:noWrap w:val="false"/>
          </w:tcPr>
          <w:p>
            <w:pPr>
              <w:pStyle w:val="1063"/>
              <w:jc w:val="center"/>
              <w:widowControl w:val="off"/>
              <w:rPr>
                <w:sz w:val="20"/>
                <w:szCs w:val="20"/>
              </w:rPr>
            </w:pPr>
            <w:r>
              <w:rPr>
                <w:rFonts w:ascii="Arial Narrow" w:hAnsi="Arial Narrow" w:cs="Calibri"/>
                <w:bCs/>
                <w:sz w:val="20"/>
                <w:szCs w:val="20"/>
              </w:rPr>
              <w:t xml:space="preserve">1,657</w:t>
            </w:r>
            <w:r>
              <w:rPr>
                <w:sz w:val="20"/>
                <w:szCs w:val="20"/>
              </w:rPr>
            </w:r>
            <w:r>
              <w:rPr>
                <w:sz w:val="20"/>
                <w:szCs w:val="20"/>
              </w:rPr>
            </w:r>
          </w:p>
        </w:tc>
      </w:tr>
    </w:tbl>
    <w:p>
      <w:pPr>
        <w:pStyle w:val="1063"/>
        <w:ind w:firstLine="142"/>
        <w:spacing w:before="120" w:after="120"/>
        <w:tabs>
          <w:tab w:val="left" w:pos="566" w:leader="none"/>
          <w:tab w:val="left" w:pos="850" w:leader="none"/>
        </w:tabs>
        <w:rPr>
          <w:rFonts w:ascii="Arial Narrow" w:hAnsi="Arial Narrow"/>
          <w:i/>
          <w:color w:val="002060"/>
        </w:rPr>
      </w:pPr>
      <w:r>
        <w:rPr>
          <w:rFonts w:ascii="Arial Narrow" w:hAnsi="Arial Narrow"/>
          <w:i/>
          <w:color w:val="002060"/>
        </w:rPr>
      </w:r>
      <w:r>
        <w:rPr>
          <w:rFonts w:ascii="Arial Narrow" w:hAnsi="Arial Narrow"/>
          <w:i/>
          <w:color w:val="002060"/>
        </w:rPr>
      </w:r>
      <w:r>
        <w:rPr>
          <w:rFonts w:ascii="Arial Narrow" w:hAnsi="Arial Narrow"/>
          <w:i/>
          <w:color w:val="002060"/>
        </w:rPr>
      </w:r>
    </w:p>
    <w:p>
      <w:pPr>
        <w:pStyle w:val="1063"/>
        <w:ind w:firstLine="142"/>
        <w:jc w:val="center"/>
        <w:spacing w:before="120" w:after="120"/>
        <w:tabs>
          <w:tab w:val="left" w:pos="566" w:leader="none"/>
          <w:tab w:val="left" w:pos="850" w:leader="none"/>
        </w:tabs>
        <w:rPr>
          <w:rFonts w:ascii="Arial Narrow" w:hAnsi="Arial Narrow"/>
          <w:i/>
          <w:color w:val="002060"/>
        </w:rPr>
      </w:pPr>
      <w:r>
        <w:rPr>
          <w:lang w:eastAsia="ru-RU"/>
        </w:rPr>
        <mc:AlternateContent>
          <mc:Choice Requires="wpg">
            <w:drawing>
              <wp:inline xmlns:wp="http://schemas.openxmlformats.org/drawingml/2006/wordprocessingDrawing" distT="0" distB="0" distL="0" distR="0">
                <wp:extent cx="4554220" cy="3005455"/>
                <wp:effectExtent l="0" t="0" r="0" b="0"/>
                <wp:docPr id="7"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16"/>
                        <pic:cNvPicPr>
                          <a:picLocks noChangeAspect="1"/>
                        </pic:cNvPicPr>
                        <pic:nvPr/>
                      </pic:nvPicPr>
                      <pic:blipFill>
                        <a:blip r:embed="rId17"/>
                        <a:stretch/>
                      </pic:blipFill>
                      <pic:spPr bwMode="auto">
                        <a:xfrm>
                          <a:off x="0" y="0"/>
                          <a:ext cx="4554220" cy="3005455"/>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6" o:spid="_x0000_s6" type="#_x0000_t75" style="width:358.60pt;height:236.65pt;mso-wrap-distance-left:0.00pt;mso-wrap-distance-top:0.00pt;mso-wrap-distance-right:0.00pt;mso-wrap-distance-bottom:0.00pt;" stroked="false">
                <v:path textboxrect="0,0,0,0"/>
                <v:imagedata r:id="rId17" o:title=""/>
              </v:shape>
            </w:pict>
          </mc:Fallback>
        </mc:AlternateContent>
      </w:r>
      <w:r>
        <w:rPr>
          <w:rFonts w:ascii="Arial Narrow" w:hAnsi="Arial Narrow"/>
          <w:i/>
          <w:color w:val="002060"/>
        </w:rPr>
      </w:r>
      <w:r>
        <w:rPr>
          <w:rFonts w:ascii="Arial Narrow" w:hAnsi="Arial Narrow"/>
          <w:i/>
          <w:color w:val="002060"/>
        </w:rPr>
      </w:r>
    </w:p>
    <w:p>
      <w:pPr>
        <w:pStyle w:val="1063"/>
        <w:ind w:firstLine="142"/>
        <w:jc w:val="both"/>
        <w:spacing w:before="120" w:after="120"/>
        <w:tabs>
          <w:tab w:val="left" w:pos="566" w:leader="none"/>
          <w:tab w:val="left" w:pos="850" w:leader="none"/>
        </w:tabs>
        <w:rPr>
          <w:b/>
        </w:rPr>
      </w:pPr>
      <w:r>
        <w:rPr>
          <w:rFonts w:ascii="Arial Narrow" w:hAnsi="Arial Narrow" w:cs="Calibri"/>
          <w:b/>
          <w:color w:val="314e87"/>
        </w:rPr>
        <w:t xml:space="preserve">Выбросы парниковых газов</w:t>
      </w:r>
      <w:r>
        <w:rPr>
          <w:b/>
        </w:rPr>
      </w:r>
      <w:r>
        <w:rPr>
          <w:b/>
        </w:rPr>
      </w:r>
    </w:p>
    <w:p>
      <w:pPr>
        <w:pStyle w:val="1063"/>
        <w:ind w:firstLine="142"/>
        <w:jc w:val="both"/>
        <w:tabs>
          <w:tab w:val="left" w:pos="566" w:leader="none"/>
          <w:tab w:val="left" w:pos="850" w:leader="none"/>
        </w:tabs>
        <w:rPr>
          <w:rFonts w:ascii="Arial Narrow" w:hAnsi="Arial Narrow" w:cs="Calibri"/>
        </w:rPr>
      </w:pPr>
      <w:r>
        <w:rPr>
          <w:rFonts w:ascii="Arial Narrow" w:hAnsi="Arial Narrow" w:cs="Calibri"/>
        </w:rPr>
        <w:tab/>
        <w:t xml:space="preserve">Прямые выбросы парниковых газов (область охвата 1).</w:t>
      </w:r>
      <w:r>
        <w:rPr>
          <w:rFonts w:ascii="Arial Narrow" w:hAnsi="Arial Narrow" w:cs="Calibri"/>
        </w:rPr>
      </w:r>
      <w:r>
        <w:rPr>
          <w:rFonts w:ascii="Arial Narrow" w:hAnsi="Arial Narrow" w:cs="Calibri"/>
        </w:rPr>
      </w:r>
    </w:p>
    <w:p>
      <w:pPr>
        <w:pStyle w:val="1063"/>
        <w:ind w:firstLine="142"/>
        <w:jc w:val="right"/>
        <w:tabs>
          <w:tab w:val="left" w:pos="566" w:leader="none"/>
          <w:tab w:val="left" w:pos="850" w:leader="none"/>
        </w:tabs>
        <w:rPr>
          <w:sz w:val="12"/>
          <w:szCs w:val="12"/>
        </w:rPr>
      </w:pPr>
      <w:r>
        <w:rPr>
          <w:rFonts w:ascii="Arial Narrow" w:hAnsi="Arial Narrow" w:eastAsia="Calibri" w:cs="Calibri"/>
          <w:i/>
          <w:lang w:eastAsia="ja-JP"/>
        </w:rPr>
        <w:t xml:space="preserve">Таблица № 43</w:t>
      </w:r>
      <w:r>
        <w:rPr>
          <w:sz w:val="12"/>
          <w:szCs w:val="12"/>
        </w:rPr>
      </w:r>
      <w:r>
        <w:rPr>
          <w:sz w:val="12"/>
          <w:szCs w:val="12"/>
        </w:rPr>
      </w:r>
    </w:p>
    <w:tbl>
      <w:tblPr>
        <w:tblW w:w="10103" w:type="dxa"/>
        <w:tblInd w:w="211" w:type="dxa"/>
        <w:tblLayout w:type="fixed"/>
        <w:tblLook w:val="04A0" w:firstRow="1" w:lastRow="0" w:firstColumn="1" w:lastColumn="0" w:noHBand="0" w:noVBand="1"/>
      </w:tblPr>
      <w:tblGrid>
        <w:gridCol w:w="1855"/>
        <w:gridCol w:w="1276"/>
        <w:gridCol w:w="1562"/>
        <w:gridCol w:w="1422"/>
        <w:gridCol w:w="1275"/>
        <w:gridCol w:w="1220"/>
        <w:gridCol w:w="1493"/>
      </w:tblGrid>
      <w:tr>
        <w:trPr>
          <w:trHeight w:val="121"/>
        </w:trPr>
        <w:tc>
          <w:tcPr>
            <w:tcBorders>
              <w:top w:val="single" w:color="000000" w:sz="4" w:space="0"/>
              <w:left w:val="single" w:color="000000" w:sz="4" w:space="0"/>
              <w:bottom w:val="single" w:color="000000" w:sz="4" w:space="0"/>
              <w:right w:val="single" w:color="000000" w:sz="4" w:space="0"/>
            </w:tcBorders>
            <w:tcW w:w="1854" w:type="dxa"/>
            <w:vAlign w:val="center"/>
            <w:textDirection w:val="lrTb"/>
            <w:noWrap w:val="false"/>
          </w:tcPr>
          <w:p>
            <w:pPr>
              <w:pStyle w:val="1063"/>
              <w:jc w:val="center"/>
              <w:widowControl w:val="off"/>
            </w:pPr>
            <w:r>
              <w:rPr>
                <w:rFonts w:ascii="Arial Narrow" w:hAnsi="Arial Narrow" w:cs="Calibri"/>
                <w:bCs/>
                <w:sz w:val="20"/>
                <w:szCs w:val="20"/>
              </w:rPr>
              <w:t xml:space="preserve">Вид топлива</w:t>
            </w:r>
            <w:r/>
          </w:p>
        </w:tc>
        <w:tc>
          <w:tcPr>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pStyle w:val="1063"/>
              <w:jc w:val="center"/>
              <w:widowControl w:val="off"/>
            </w:pPr>
            <w:r>
              <w:rPr>
                <w:rFonts w:ascii="Arial Narrow" w:hAnsi="Arial Narrow" w:cs="Calibri"/>
                <w:bCs/>
                <w:sz w:val="20"/>
                <w:szCs w:val="20"/>
              </w:rPr>
              <w:t xml:space="preserve">Расход</w:t>
            </w:r>
            <w:r/>
          </w:p>
          <w:p>
            <w:pPr>
              <w:pStyle w:val="1063"/>
              <w:jc w:val="center"/>
              <w:widowControl w:val="off"/>
            </w:pPr>
            <w:r>
              <w:rPr>
                <w:rFonts w:ascii="Arial Narrow" w:hAnsi="Arial Narrow" w:cs="Calibri"/>
                <w:bCs/>
                <w:sz w:val="20"/>
                <w:szCs w:val="20"/>
              </w:rPr>
              <w:t xml:space="preserve"> т.у.т.</w:t>
            </w:r>
            <w:r/>
          </w:p>
        </w:tc>
        <w:tc>
          <w:tcPr>
            <w:tcBorders>
              <w:top w:val="single" w:color="000000" w:sz="4" w:space="0"/>
              <w:left w:val="single" w:color="000000" w:sz="4" w:space="0"/>
              <w:bottom w:val="single" w:color="000000" w:sz="4" w:space="0"/>
              <w:right w:val="single" w:color="000000" w:sz="4" w:space="0"/>
            </w:tcBorders>
            <w:tcW w:w="1562" w:type="dxa"/>
            <w:vAlign w:val="center"/>
            <w:textDirection w:val="lrTb"/>
            <w:noWrap w:val="false"/>
          </w:tcPr>
          <w:p>
            <w:pPr>
              <w:pStyle w:val="1063"/>
              <w:jc w:val="center"/>
              <w:widowControl w:val="off"/>
            </w:pPr>
            <w:r>
              <w:rPr>
                <w:rFonts w:ascii="Arial Narrow" w:hAnsi="Arial Narrow" w:cs="Calibri"/>
                <w:bCs/>
                <w:sz w:val="20"/>
                <w:szCs w:val="20"/>
              </w:rPr>
              <w:t xml:space="preserve">Выбросы СО2, тонн</w:t>
            </w:r>
            <w:r/>
          </w:p>
        </w:tc>
        <w:tc>
          <w:tcPr>
            <w:tcBorders>
              <w:top w:val="single" w:color="000000" w:sz="4" w:space="0"/>
              <w:left w:val="single" w:color="000000" w:sz="4" w:space="0"/>
              <w:bottom w:val="single" w:color="000000" w:sz="4" w:space="0"/>
              <w:right w:val="single" w:color="000000" w:sz="4" w:space="0"/>
            </w:tcBorders>
            <w:tcW w:w="1422" w:type="dxa"/>
            <w:vAlign w:val="center"/>
            <w:textDirection w:val="lrTb"/>
            <w:noWrap w:val="false"/>
          </w:tcPr>
          <w:p>
            <w:pPr>
              <w:pStyle w:val="1063"/>
              <w:jc w:val="center"/>
              <w:widowControl w:val="off"/>
            </w:pPr>
            <w:r>
              <w:rPr>
                <w:rFonts w:ascii="Arial Narrow" w:hAnsi="Arial Narrow" w:cs="Calibri"/>
                <w:bCs/>
                <w:sz w:val="20"/>
                <w:szCs w:val="20"/>
              </w:rPr>
              <w:t xml:space="preserve">Выбросы N2О, тонн</w:t>
            </w:r>
            <w:r/>
          </w:p>
        </w:tc>
        <w:tc>
          <w:tcPr>
            <w:tcBorders>
              <w:top w:val="single" w:color="000000" w:sz="4" w:space="0"/>
              <w:left w:val="single" w:color="000000" w:sz="4" w:space="0"/>
              <w:bottom w:val="single" w:color="000000" w:sz="4" w:space="0"/>
              <w:right w:val="single" w:color="000000" w:sz="4" w:space="0"/>
            </w:tcBorders>
            <w:tcW w:w="1275" w:type="dxa"/>
            <w:vAlign w:val="center"/>
            <w:textDirection w:val="lrTb"/>
            <w:noWrap w:val="false"/>
          </w:tcPr>
          <w:p>
            <w:pPr>
              <w:pStyle w:val="1063"/>
              <w:jc w:val="center"/>
              <w:widowControl w:val="off"/>
            </w:pPr>
            <w:r>
              <w:rPr>
                <w:rFonts w:ascii="Arial Narrow" w:hAnsi="Arial Narrow" w:cs="Calibri"/>
                <w:bCs/>
                <w:sz w:val="20"/>
                <w:szCs w:val="20"/>
              </w:rPr>
              <w:t xml:space="preserve">Выбросы N2О в СО2 экв., тонн</w:t>
            </w:r>
            <w:r/>
          </w:p>
        </w:tc>
        <w:tc>
          <w:tcPr>
            <w:tcBorders>
              <w:top w:val="single" w:color="000000" w:sz="4" w:space="0"/>
              <w:left w:val="single" w:color="000000" w:sz="4" w:space="0"/>
              <w:bottom w:val="single" w:color="000000" w:sz="4" w:space="0"/>
              <w:right w:val="single" w:color="000000" w:sz="4" w:space="0"/>
            </w:tcBorders>
            <w:tcW w:w="1220" w:type="dxa"/>
            <w:vAlign w:val="center"/>
            <w:textDirection w:val="lrTb"/>
            <w:noWrap w:val="false"/>
          </w:tcPr>
          <w:p>
            <w:pPr>
              <w:pStyle w:val="1063"/>
              <w:jc w:val="center"/>
              <w:widowControl w:val="off"/>
            </w:pPr>
            <w:r>
              <w:rPr>
                <w:rFonts w:ascii="Arial Narrow" w:hAnsi="Arial Narrow" w:cs="Calibri"/>
                <w:bCs/>
                <w:sz w:val="20"/>
                <w:szCs w:val="20"/>
              </w:rPr>
              <w:t xml:space="preserve">Выбросы СH4, тонн</w:t>
            </w:r>
            <w:r/>
          </w:p>
        </w:tc>
        <w:tc>
          <w:tcPr>
            <w:tcBorders>
              <w:top w:val="single" w:color="000000" w:sz="4" w:space="0"/>
              <w:left w:val="single" w:color="000000" w:sz="4" w:space="0"/>
              <w:bottom w:val="single" w:color="000000" w:sz="4" w:space="0"/>
              <w:right w:val="single" w:color="000000" w:sz="4" w:space="0"/>
            </w:tcBorders>
            <w:tcW w:w="1493" w:type="dxa"/>
            <w:vAlign w:val="center"/>
            <w:textDirection w:val="lrTb"/>
            <w:noWrap w:val="false"/>
          </w:tcPr>
          <w:p>
            <w:pPr>
              <w:pStyle w:val="1063"/>
              <w:jc w:val="center"/>
              <w:widowControl w:val="off"/>
            </w:pPr>
            <w:r>
              <w:rPr>
                <w:rFonts w:ascii="Arial Narrow" w:hAnsi="Arial Narrow" w:cs="Calibri"/>
                <w:bCs/>
                <w:sz w:val="20"/>
                <w:szCs w:val="20"/>
              </w:rPr>
              <w:t xml:space="preserve">Выбросы СН4 в СО2 экв., тонн</w:t>
            </w:r>
            <w:r/>
          </w:p>
        </w:tc>
      </w:tr>
      <w:tr>
        <w:trPr>
          <w:trHeight w:val="45"/>
        </w:trPr>
        <w:tc>
          <w:tcPr>
            <w:tcBorders>
              <w:top w:val="single" w:color="000000" w:sz="4" w:space="0"/>
              <w:left w:val="single" w:color="000000" w:sz="4" w:space="0"/>
              <w:bottom w:val="single" w:color="000000" w:sz="4" w:space="0"/>
              <w:right w:val="single" w:color="000000" w:sz="4" w:space="0"/>
            </w:tcBorders>
            <w:tcW w:w="1854" w:type="dxa"/>
            <w:vAlign w:val="center"/>
            <w:textDirection w:val="lrTb"/>
            <w:noWrap w:val="false"/>
          </w:tcPr>
          <w:p>
            <w:pPr>
              <w:pStyle w:val="1063"/>
              <w:widowControl w:val="off"/>
            </w:pPr>
            <w:r>
              <w:rPr>
                <w:rFonts w:ascii="Arial Narrow" w:hAnsi="Arial Narrow" w:cs="Calibri"/>
                <w:sz w:val="20"/>
                <w:szCs w:val="20"/>
              </w:rPr>
              <w:t xml:space="preserve">Газ</w:t>
            </w:r>
            <w:r/>
          </w:p>
        </w:tc>
        <w:tc>
          <w:tcPr>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pStyle w:val="1063"/>
              <w:ind w:right="-107"/>
              <w:jc w:val="center"/>
              <w:widowControl w:val="off"/>
            </w:pPr>
            <w:r>
              <w:rPr>
                <w:rFonts w:ascii="Arial Narrow" w:hAnsi="Arial Narrow"/>
                <w:sz w:val="20"/>
              </w:rPr>
              <w:t xml:space="preserve">206 361,46</w:t>
            </w:r>
            <w:r/>
          </w:p>
        </w:tc>
        <w:tc>
          <w:tcPr>
            <w:tcBorders>
              <w:top w:val="single" w:color="000000" w:sz="4" w:space="0"/>
              <w:left w:val="single" w:color="000000" w:sz="4" w:space="0"/>
              <w:bottom w:val="single" w:color="000000" w:sz="4" w:space="0"/>
              <w:right w:val="single" w:color="000000" w:sz="4" w:space="0"/>
            </w:tcBorders>
            <w:tcW w:w="1562" w:type="dxa"/>
            <w:vAlign w:val="center"/>
            <w:textDirection w:val="lrTb"/>
            <w:noWrap w:val="false"/>
          </w:tcPr>
          <w:p>
            <w:pPr>
              <w:pStyle w:val="1063"/>
              <w:ind w:right="-107"/>
              <w:jc w:val="center"/>
              <w:widowControl w:val="off"/>
            </w:pPr>
            <w:r>
              <w:rPr>
                <w:rFonts w:ascii="Arial Narrow" w:hAnsi="Arial Narrow"/>
                <w:sz w:val="20"/>
              </w:rPr>
              <w:t xml:space="preserve">327 908,36</w:t>
            </w:r>
            <w:r/>
          </w:p>
        </w:tc>
        <w:tc>
          <w:tcPr>
            <w:tcBorders>
              <w:top w:val="single" w:color="000000" w:sz="4" w:space="0"/>
              <w:left w:val="single" w:color="000000" w:sz="4" w:space="0"/>
              <w:bottom w:val="single" w:color="000000" w:sz="4" w:space="0"/>
              <w:right w:val="single" w:color="000000" w:sz="4" w:space="0"/>
            </w:tcBorders>
            <w:tcW w:w="1422" w:type="dxa"/>
            <w:vAlign w:val="center"/>
            <w:textDirection w:val="lrTb"/>
            <w:noWrap w:val="false"/>
          </w:tcPr>
          <w:p>
            <w:pPr>
              <w:pStyle w:val="1063"/>
              <w:ind w:right="-107"/>
              <w:jc w:val="center"/>
              <w:widowControl w:val="off"/>
            </w:pPr>
            <w:r>
              <w:rPr>
                <w:rFonts w:ascii="Arial Narrow" w:hAnsi="Arial Narrow"/>
                <w:sz w:val="20"/>
              </w:rPr>
              <w:t xml:space="preserve">0,605</w:t>
            </w:r>
            <w:r/>
          </w:p>
        </w:tc>
        <w:tc>
          <w:tcPr>
            <w:tcBorders>
              <w:top w:val="single" w:color="000000" w:sz="4" w:space="0"/>
              <w:left w:val="single" w:color="000000" w:sz="4" w:space="0"/>
              <w:bottom w:val="single" w:color="000000" w:sz="4" w:space="0"/>
              <w:right w:val="single" w:color="000000" w:sz="4" w:space="0"/>
            </w:tcBorders>
            <w:tcW w:w="1275" w:type="dxa"/>
            <w:vAlign w:val="center"/>
            <w:textDirection w:val="lrTb"/>
            <w:noWrap w:val="false"/>
          </w:tcPr>
          <w:p>
            <w:pPr>
              <w:pStyle w:val="1063"/>
              <w:ind w:right="-107"/>
              <w:jc w:val="center"/>
              <w:widowControl w:val="off"/>
            </w:pPr>
            <w:r>
              <w:rPr>
                <w:rFonts w:ascii="Arial Narrow" w:hAnsi="Arial Narrow"/>
                <w:sz w:val="20"/>
              </w:rPr>
              <w:t xml:space="preserve">180,238</w:t>
            </w:r>
            <w:r/>
          </w:p>
        </w:tc>
        <w:tc>
          <w:tcPr>
            <w:tcBorders>
              <w:top w:val="single" w:color="000000" w:sz="4" w:space="0"/>
              <w:left w:val="single" w:color="000000" w:sz="4" w:space="0"/>
              <w:bottom w:val="single" w:color="000000" w:sz="4" w:space="0"/>
              <w:right w:val="single" w:color="000000" w:sz="4" w:space="0"/>
            </w:tcBorders>
            <w:tcW w:w="1220" w:type="dxa"/>
            <w:vAlign w:val="center"/>
            <w:textDirection w:val="lrTb"/>
            <w:noWrap w:val="false"/>
          </w:tcPr>
          <w:p>
            <w:pPr>
              <w:pStyle w:val="1063"/>
              <w:ind w:right="-107"/>
              <w:jc w:val="center"/>
              <w:widowControl w:val="off"/>
            </w:pPr>
            <w:r>
              <w:rPr>
                <w:rFonts w:ascii="Arial Narrow" w:hAnsi="Arial Narrow"/>
                <w:sz w:val="20"/>
              </w:rPr>
              <w:t xml:space="preserve">6,048</w:t>
            </w:r>
            <w:r/>
          </w:p>
        </w:tc>
        <w:tc>
          <w:tcPr>
            <w:tcBorders>
              <w:top w:val="single" w:color="000000" w:sz="4" w:space="0"/>
              <w:left w:val="single" w:color="000000" w:sz="4" w:space="0"/>
              <w:bottom w:val="single" w:color="000000" w:sz="4" w:space="0"/>
              <w:right w:val="single" w:color="000000" w:sz="4" w:space="0"/>
            </w:tcBorders>
            <w:tcW w:w="1493" w:type="dxa"/>
            <w:vAlign w:val="center"/>
            <w:textDirection w:val="lrTb"/>
            <w:noWrap w:val="false"/>
          </w:tcPr>
          <w:p>
            <w:pPr>
              <w:pStyle w:val="1063"/>
              <w:ind w:right="-107"/>
              <w:jc w:val="center"/>
              <w:widowControl w:val="off"/>
            </w:pPr>
            <w:r>
              <w:rPr>
                <w:rFonts w:ascii="Arial Narrow" w:hAnsi="Arial Narrow"/>
                <w:sz w:val="20"/>
              </w:rPr>
              <w:t xml:space="preserve">151,206</w:t>
            </w:r>
            <w:r/>
          </w:p>
        </w:tc>
      </w:tr>
      <w:tr>
        <w:trPr>
          <w:trHeight w:val="45"/>
        </w:trPr>
        <w:tc>
          <w:tcPr>
            <w:tcBorders>
              <w:top w:val="single" w:color="000000" w:sz="4" w:space="0"/>
              <w:left w:val="single" w:color="000000" w:sz="4" w:space="0"/>
              <w:bottom w:val="single" w:color="000000" w:sz="4" w:space="0"/>
              <w:right w:val="single" w:color="000000" w:sz="4" w:space="0"/>
            </w:tcBorders>
            <w:tcW w:w="1854" w:type="dxa"/>
            <w:vAlign w:val="center"/>
            <w:textDirection w:val="lrTb"/>
            <w:noWrap w:val="false"/>
          </w:tcPr>
          <w:p>
            <w:pPr>
              <w:pStyle w:val="1063"/>
              <w:widowControl w:val="off"/>
            </w:pPr>
            <w:r>
              <w:rPr>
                <w:rFonts w:ascii="Arial Narrow" w:hAnsi="Arial Narrow" w:cs="Calibri"/>
                <w:sz w:val="20"/>
                <w:szCs w:val="20"/>
              </w:rPr>
              <w:t xml:space="preserve">Нефтетопливо</w:t>
            </w:r>
            <w:r/>
          </w:p>
        </w:tc>
        <w:tc>
          <w:tcPr>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pStyle w:val="1063"/>
              <w:ind w:right="-107"/>
              <w:jc w:val="center"/>
              <w:widowControl w:val="off"/>
            </w:pPr>
            <w:r>
              <w:rPr>
                <w:rFonts w:ascii="Arial Narrow" w:hAnsi="Arial Narrow"/>
                <w:sz w:val="20"/>
              </w:rPr>
              <w:t xml:space="preserve">452 060,67</w:t>
            </w:r>
            <w:r/>
          </w:p>
        </w:tc>
        <w:tc>
          <w:tcPr>
            <w:tcBorders>
              <w:top w:val="single" w:color="000000" w:sz="4" w:space="0"/>
              <w:left w:val="single" w:color="000000" w:sz="4" w:space="0"/>
              <w:bottom w:val="single" w:color="000000" w:sz="4" w:space="0"/>
              <w:right w:val="single" w:color="000000" w:sz="4" w:space="0"/>
            </w:tcBorders>
            <w:tcW w:w="1562" w:type="dxa"/>
            <w:vAlign w:val="center"/>
            <w:textDirection w:val="lrTb"/>
            <w:noWrap w:val="false"/>
          </w:tcPr>
          <w:p>
            <w:pPr>
              <w:pStyle w:val="1063"/>
              <w:ind w:right="-107"/>
              <w:jc w:val="center"/>
              <w:widowControl w:val="off"/>
            </w:pPr>
            <w:r>
              <w:rPr>
                <w:rFonts w:ascii="Arial Narrow" w:hAnsi="Arial Narrow"/>
                <w:sz w:val="20"/>
              </w:rPr>
              <w:t xml:space="preserve">1 025 999,177</w:t>
            </w:r>
            <w:r/>
          </w:p>
        </w:tc>
        <w:tc>
          <w:tcPr>
            <w:tcBorders>
              <w:top w:val="single" w:color="000000" w:sz="4" w:space="0"/>
              <w:left w:val="single" w:color="000000" w:sz="4" w:space="0"/>
              <w:bottom w:val="single" w:color="000000" w:sz="4" w:space="0"/>
              <w:right w:val="single" w:color="000000" w:sz="4" w:space="0"/>
            </w:tcBorders>
            <w:tcW w:w="1422" w:type="dxa"/>
            <w:vAlign w:val="center"/>
            <w:textDirection w:val="lrTb"/>
            <w:noWrap w:val="false"/>
          </w:tcPr>
          <w:p>
            <w:pPr>
              <w:pStyle w:val="1063"/>
              <w:ind w:right="-107"/>
              <w:jc w:val="center"/>
              <w:widowControl w:val="off"/>
            </w:pPr>
            <w:r>
              <w:rPr>
                <w:rFonts w:ascii="Arial Narrow" w:hAnsi="Arial Narrow"/>
                <w:sz w:val="20"/>
              </w:rPr>
              <w:t xml:space="preserve">7,950</w:t>
            </w:r>
            <w:r/>
          </w:p>
        </w:tc>
        <w:tc>
          <w:tcPr>
            <w:tcBorders>
              <w:top w:val="single" w:color="000000" w:sz="4" w:space="0"/>
              <w:left w:val="single" w:color="000000" w:sz="4" w:space="0"/>
              <w:bottom w:val="single" w:color="000000" w:sz="4" w:space="0"/>
              <w:right w:val="single" w:color="000000" w:sz="4" w:space="0"/>
            </w:tcBorders>
            <w:tcW w:w="1275" w:type="dxa"/>
            <w:vAlign w:val="center"/>
            <w:textDirection w:val="lrTb"/>
            <w:noWrap w:val="false"/>
          </w:tcPr>
          <w:p>
            <w:pPr>
              <w:pStyle w:val="1063"/>
              <w:ind w:right="-107"/>
              <w:jc w:val="center"/>
              <w:widowControl w:val="off"/>
            </w:pPr>
            <w:r>
              <w:rPr>
                <w:rFonts w:ascii="Arial Narrow" w:hAnsi="Arial Narrow"/>
                <w:sz w:val="20"/>
              </w:rPr>
              <w:t xml:space="preserve">2 369,001</w:t>
            </w:r>
            <w:r/>
          </w:p>
        </w:tc>
        <w:tc>
          <w:tcPr>
            <w:tcBorders>
              <w:top w:val="single" w:color="000000" w:sz="4" w:space="0"/>
              <w:left w:val="single" w:color="000000" w:sz="4" w:space="0"/>
              <w:bottom w:val="single" w:color="000000" w:sz="4" w:space="0"/>
              <w:right w:val="single" w:color="000000" w:sz="4" w:space="0"/>
            </w:tcBorders>
            <w:tcW w:w="1220" w:type="dxa"/>
            <w:vAlign w:val="center"/>
            <w:textDirection w:val="lrTb"/>
            <w:noWrap w:val="false"/>
          </w:tcPr>
          <w:p>
            <w:pPr>
              <w:pStyle w:val="1063"/>
              <w:ind w:right="-107"/>
              <w:jc w:val="center"/>
              <w:widowControl w:val="off"/>
            </w:pPr>
            <w:r>
              <w:rPr>
                <w:rFonts w:ascii="Arial Narrow" w:hAnsi="Arial Narrow"/>
                <w:sz w:val="20"/>
              </w:rPr>
              <w:t xml:space="preserve">39,748</w:t>
            </w:r>
            <w:r/>
          </w:p>
        </w:tc>
        <w:tc>
          <w:tcPr>
            <w:tcBorders>
              <w:top w:val="single" w:color="000000" w:sz="4" w:space="0"/>
              <w:left w:val="single" w:color="000000" w:sz="4" w:space="0"/>
              <w:bottom w:val="single" w:color="000000" w:sz="4" w:space="0"/>
              <w:right w:val="single" w:color="000000" w:sz="4" w:space="0"/>
            </w:tcBorders>
            <w:tcW w:w="1493" w:type="dxa"/>
            <w:vAlign w:val="center"/>
            <w:textDirection w:val="lrTb"/>
            <w:noWrap w:val="false"/>
          </w:tcPr>
          <w:p>
            <w:pPr>
              <w:pStyle w:val="1063"/>
              <w:ind w:right="-107"/>
              <w:jc w:val="center"/>
              <w:widowControl w:val="off"/>
            </w:pPr>
            <w:r>
              <w:rPr>
                <w:rFonts w:ascii="Arial Narrow" w:hAnsi="Arial Narrow"/>
                <w:sz w:val="20"/>
              </w:rPr>
              <w:t xml:space="preserve">993,708</w:t>
            </w:r>
            <w:r/>
          </w:p>
        </w:tc>
      </w:tr>
      <w:tr>
        <w:trPr>
          <w:trHeight w:val="45"/>
        </w:trPr>
        <w:tc>
          <w:tcPr>
            <w:tcBorders>
              <w:top w:val="single" w:color="000000" w:sz="4" w:space="0"/>
              <w:left w:val="single" w:color="000000" w:sz="4" w:space="0"/>
              <w:bottom w:val="single" w:color="000000" w:sz="4" w:space="0"/>
              <w:right w:val="single" w:color="000000" w:sz="4" w:space="0"/>
            </w:tcBorders>
            <w:tcW w:w="1854" w:type="dxa"/>
            <w:vAlign w:val="center"/>
            <w:textDirection w:val="lrTb"/>
            <w:noWrap w:val="false"/>
          </w:tcPr>
          <w:p>
            <w:pPr>
              <w:pStyle w:val="1063"/>
              <w:widowControl w:val="off"/>
            </w:pPr>
            <w:r>
              <w:rPr>
                <w:rFonts w:ascii="Arial Narrow" w:hAnsi="Arial Narrow" w:cs="Calibri"/>
                <w:sz w:val="20"/>
                <w:szCs w:val="20"/>
              </w:rPr>
              <w:t xml:space="preserve">Твердое топливо</w:t>
            </w:r>
            <w:r/>
          </w:p>
        </w:tc>
        <w:tc>
          <w:tcPr>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pStyle w:val="1063"/>
              <w:ind w:right="-107"/>
              <w:jc w:val="center"/>
              <w:widowControl w:val="off"/>
            </w:pPr>
            <w:r>
              <w:rPr>
                <w:rFonts w:ascii="Arial Narrow" w:hAnsi="Arial Narrow"/>
                <w:sz w:val="20"/>
              </w:rPr>
              <w:t xml:space="preserve">41 472,91</w:t>
            </w:r>
            <w:r/>
          </w:p>
        </w:tc>
        <w:tc>
          <w:tcPr>
            <w:tcBorders>
              <w:top w:val="single" w:color="000000" w:sz="4" w:space="0"/>
              <w:left w:val="single" w:color="000000" w:sz="4" w:space="0"/>
              <w:bottom w:val="single" w:color="000000" w:sz="4" w:space="0"/>
              <w:right w:val="single" w:color="000000" w:sz="4" w:space="0"/>
            </w:tcBorders>
            <w:tcW w:w="1562" w:type="dxa"/>
            <w:vAlign w:val="center"/>
            <w:textDirection w:val="lrTb"/>
            <w:noWrap w:val="false"/>
          </w:tcPr>
          <w:p>
            <w:pPr>
              <w:pStyle w:val="1063"/>
              <w:ind w:right="-107"/>
              <w:jc w:val="center"/>
              <w:widowControl w:val="off"/>
            </w:pPr>
            <w:r>
              <w:rPr>
                <w:rFonts w:ascii="Arial Narrow" w:hAnsi="Arial Narrow"/>
                <w:sz w:val="20"/>
              </w:rPr>
              <w:t xml:space="preserve">108 576,078</w:t>
            </w:r>
            <w:r/>
          </w:p>
        </w:tc>
        <w:tc>
          <w:tcPr>
            <w:tcBorders>
              <w:top w:val="single" w:color="000000" w:sz="4" w:space="0"/>
              <w:left w:val="single" w:color="000000" w:sz="4" w:space="0"/>
              <w:bottom w:val="single" w:color="000000" w:sz="4" w:space="0"/>
              <w:right w:val="single" w:color="000000" w:sz="4" w:space="0"/>
            </w:tcBorders>
            <w:tcW w:w="1422" w:type="dxa"/>
            <w:vAlign w:val="center"/>
            <w:textDirection w:val="lrTb"/>
            <w:noWrap w:val="false"/>
          </w:tcPr>
          <w:p>
            <w:pPr>
              <w:pStyle w:val="1063"/>
              <w:ind w:right="-107"/>
              <w:jc w:val="center"/>
              <w:widowControl w:val="off"/>
            </w:pPr>
            <w:r>
              <w:rPr>
                <w:rFonts w:ascii="Arial Narrow" w:hAnsi="Arial Narrow"/>
                <w:sz w:val="20"/>
              </w:rPr>
              <w:t xml:space="preserve">1,702</w:t>
            </w:r>
            <w:r/>
          </w:p>
        </w:tc>
        <w:tc>
          <w:tcPr>
            <w:tcBorders>
              <w:top w:val="single" w:color="000000" w:sz="4" w:space="0"/>
              <w:left w:val="single" w:color="000000" w:sz="4" w:space="0"/>
              <w:bottom w:val="single" w:color="000000" w:sz="4" w:space="0"/>
              <w:right w:val="single" w:color="000000" w:sz="4" w:space="0"/>
            </w:tcBorders>
            <w:tcW w:w="1275" w:type="dxa"/>
            <w:vAlign w:val="center"/>
            <w:textDirection w:val="lrTb"/>
            <w:noWrap w:val="false"/>
          </w:tcPr>
          <w:p>
            <w:pPr>
              <w:pStyle w:val="1063"/>
              <w:ind w:right="-107"/>
              <w:jc w:val="center"/>
              <w:widowControl w:val="off"/>
            </w:pPr>
            <w:r>
              <w:rPr>
                <w:rFonts w:ascii="Arial Narrow" w:hAnsi="Arial Narrow"/>
                <w:sz w:val="20"/>
              </w:rPr>
              <w:t xml:space="preserve">507,119</w:t>
            </w:r>
            <w:r/>
          </w:p>
        </w:tc>
        <w:tc>
          <w:tcPr>
            <w:tcBorders>
              <w:top w:val="single" w:color="000000" w:sz="4" w:space="0"/>
              <w:left w:val="single" w:color="000000" w:sz="4" w:space="0"/>
              <w:bottom w:val="single" w:color="000000" w:sz="4" w:space="0"/>
              <w:right w:val="single" w:color="000000" w:sz="4" w:space="0"/>
            </w:tcBorders>
            <w:tcW w:w="1220" w:type="dxa"/>
            <w:vAlign w:val="center"/>
            <w:textDirection w:val="lrTb"/>
            <w:noWrap w:val="false"/>
          </w:tcPr>
          <w:p>
            <w:pPr>
              <w:pStyle w:val="1063"/>
              <w:ind w:right="-107"/>
              <w:jc w:val="center"/>
              <w:widowControl w:val="off"/>
            </w:pPr>
            <w:r>
              <w:rPr>
                <w:rFonts w:ascii="Arial Narrow" w:hAnsi="Arial Narrow"/>
                <w:sz w:val="20"/>
              </w:rPr>
              <w:t xml:space="preserve">1,216</w:t>
            </w:r>
            <w:r/>
          </w:p>
        </w:tc>
        <w:tc>
          <w:tcPr>
            <w:tcBorders>
              <w:top w:val="single" w:color="000000" w:sz="4" w:space="0"/>
              <w:left w:val="single" w:color="000000" w:sz="4" w:space="0"/>
              <w:bottom w:val="single" w:color="000000" w:sz="4" w:space="0"/>
              <w:right w:val="single" w:color="000000" w:sz="4" w:space="0"/>
            </w:tcBorders>
            <w:tcW w:w="1493" w:type="dxa"/>
            <w:vAlign w:val="center"/>
            <w:textDirection w:val="lrTb"/>
            <w:noWrap w:val="false"/>
          </w:tcPr>
          <w:p>
            <w:pPr>
              <w:pStyle w:val="1063"/>
              <w:ind w:right="-107"/>
              <w:jc w:val="center"/>
              <w:widowControl w:val="off"/>
            </w:pPr>
            <w:r>
              <w:rPr>
                <w:rFonts w:ascii="Arial Narrow" w:hAnsi="Arial Narrow"/>
                <w:sz w:val="20"/>
              </w:rPr>
              <w:t xml:space="preserve">30,388</w:t>
            </w:r>
            <w:r/>
          </w:p>
        </w:tc>
      </w:tr>
      <w:tr>
        <w:trPr>
          <w:trHeight w:val="45"/>
        </w:trPr>
        <w:tc>
          <w:tcPr>
            <w:tcBorders>
              <w:top w:val="single" w:color="000000" w:sz="4" w:space="0"/>
              <w:left w:val="single" w:color="000000" w:sz="4" w:space="0"/>
              <w:bottom w:val="single" w:color="000000" w:sz="4" w:space="0"/>
              <w:right w:val="single" w:color="000000" w:sz="4" w:space="0"/>
            </w:tcBorders>
            <w:tcW w:w="1854" w:type="dxa"/>
            <w:vAlign w:val="center"/>
            <w:textDirection w:val="lrTb"/>
            <w:noWrap w:val="false"/>
          </w:tcPr>
          <w:p>
            <w:pPr>
              <w:pStyle w:val="1063"/>
              <w:widowControl w:val="off"/>
            </w:pPr>
            <w:r>
              <w:rPr>
                <w:rFonts w:ascii="Arial Narrow" w:hAnsi="Arial Narrow" w:cs="Calibri"/>
                <w:sz w:val="20"/>
                <w:szCs w:val="20"/>
              </w:rPr>
              <w:t xml:space="preserve">Всего:</w:t>
            </w:r>
            <w:r/>
          </w:p>
        </w:tc>
        <w:tc>
          <w:tcPr>
            <w:tcBorders>
              <w:top w:val="single" w:color="000000" w:sz="4" w:space="0"/>
              <w:left w:val="single" w:color="000000" w:sz="4" w:space="0"/>
              <w:bottom w:val="single" w:color="000000" w:sz="4" w:space="0"/>
              <w:right w:val="single" w:color="000000" w:sz="4" w:space="0"/>
            </w:tcBorders>
            <w:tcW w:w="1276" w:type="dxa"/>
            <w:vAlign w:val="center"/>
            <w:textDirection w:val="lrTb"/>
            <w:noWrap w:val="false"/>
          </w:tcPr>
          <w:p>
            <w:pPr>
              <w:pStyle w:val="1063"/>
              <w:ind w:right="-107"/>
              <w:jc w:val="center"/>
              <w:widowControl w:val="off"/>
            </w:pPr>
            <w:r>
              <w:rPr>
                <w:rFonts w:ascii="Arial Narrow" w:hAnsi="Arial Narrow"/>
                <w:sz w:val="20"/>
              </w:rPr>
              <w:t xml:space="preserve">699 895,04</w:t>
            </w:r>
            <w:r/>
          </w:p>
        </w:tc>
        <w:tc>
          <w:tcPr>
            <w:tcBorders>
              <w:top w:val="single" w:color="000000" w:sz="4" w:space="0"/>
              <w:left w:val="single" w:color="000000" w:sz="4" w:space="0"/>
              <w:bottom w:val="single" w:color="000000" w:sz="4" w:space="0"/>
              <w:right w:val="single" w:color="000000" w:sz="4" w:space="0"/>
            </w:tcBorders>
            <w:tcW w:w="1562" w:type="dxa"/>
            <w:vAlign w:val="center"/>
            <w:textDirection w:val="lrTb"/>
            <w:noWrap w:val="false"/>
          </w:tcPr>
          <w:p>
            <w:pPr>
              <w:pStyle w:val="1063"/>
              <w:ind w:right="-107"/>
              <w:jc w:val="center"/>
              <w:widowControl w:val="off"/>
            </w:pPr>
            <w:r>
              <w:rPr>
                <w:rFonts w:ascii="Arial Narrow" w:hAnsi="Arial Narrow"/>
                <w:sz w:val="20"/>
              </w:rPr>
              <w:t xml:space="preserve">1 462 483,615</w:t>
            </w:r>
            <w:r/>
          </w:p>
        </w:tc>
        <w:tc>
          <w:tcPr>
            <w:tcBorders>
              <w:top w:val="single" w:color="000000" w:sz="4" w:space="0"/>
              <w:left w:val="single" w:color="000000" w:sz="4" w:space="0"/>
              <w:bottom w:val="single" w:color="000000" w:sz="4" w:space="0"/>
              <w:right w:val="single" w:color="000000" w:sz="4" w:space="0"/>
            </w:tcBorders>
            <w:tcW w:w="1422" w:type="dxa"/>
            <w:vAlign w:val="center"/>
            <w:textDirection w:val="lrTb"/>
            <w:noWrap w:val="false"/>
          </w:tcPr>
          <w:p>
            <w:pPr>
              <w:pStyle w:val="1063"/>
              <w:ind w:right="-107"/>
              <w:jc w:val="center"/>
              <w:widowControl w:val="off"/>
            </w:pPr>
            <w:r>
              <w:rPr>
                <w:rFonts w:ascii="Arial Narrow" w:hAnsi="Arial Narrow"/>
                <w:sz w:val="20"/>
              </w:rPr>
              <w:t xml:space="preserve">10,257</w:t>
            </w:r>
            <w:r/>
          </w:p>
        </w:tc>
        <w:tc>
          <w:tcPr>
            <w:tcBorders>
              <w:top w:val="single" w:color="000000" w:sz="4" w:space="0"/>
              <w:left w:val="single" w:color="000000" w:sz="4" w:space="0"/>
              <w:bottom w:val="single" w:color="000000" w:sz="4" w:space="0"/>
              <w:right w:val="single" w:color="000000" w:sz="4" w:space="0"/>
            </w:tcBorders>
            <w:tcW w:w="1275" w:type="dxa"/>
            <w:vAlign w:val="center"/>
            <w:textDirection w:val="lrTb"/>
            <w:noWrap w:val="false"/>
          </w:tcPr>
          <w:p>
            <w:pPr>
              <w:pStyle w:val="1063"/>
              <w:ind w:right="-107"/>
              <w:jc w:val="center"/>
              <w:widowControl w:val="off"/>
            </w:pPr>
            <w:r>
              <w:rPr>
                <w:rFonts w:ascii="Arial Narrow" w:hAnsi="Arial Narrow"/>
                <w:sz w:val="20"/>
              </w:rPr>
              <w:t xml:space="preserve">3 056,358</w:t>
            </w:r>
            <w:r/>
          </w:p>
        </w:tc>
        <w:tc>
          <w:tcPr>
            <w:tcBorders>
              <w:top w:val="single" w:color="000000" w:sz="4" w:space="0"/>
              <w:left w:val="single" w:color="000000" w:sz="4" w:space="0"/>
              <w:bottom w:val="single" w:color="000000" w:sz="4" w:space="0"/>
              <w:right w:val="single" w:color="000000" w:sz="4" w:space="0"/>
            </w:tcBorders>
            <w:tcW w:w="1220" w:type="dxa"/>
            <w:vAlign w:val="center"/>
            <w:textDirection w:val="lrTb"/>
            <w:noWrap w:val="false"/>
          </w:tcPr>
          <w:p>
            <w:pPr>
              <w:pStyle w:val="1063"/>
              <w:ind w:right="-107"/>
              <w:jc w:val="center"/>
              <w:widowControl w:val="off"/>
            </w:pPr>
            <w:r>
              <w:rPr>
                <w:rFonts w:ascii="Arial Narrow" w:hAnsi="Arial Narrow"/>
                <w:sz w:val="20"/>
              </w:rPr>
              <w:t xml:space="preserve">47,012</w:t>
            </w:r>
            <w:r/>
          </w:p>
        </w:tc>
        <w:tc>
          <w:tcPr>
            <w:tcBorders>
              <w:top w:val="single" w:color="000000" w:sz="4" w:space="0"/>
              <w:left w:val="single" w:color="000000" w:sz="4" w:space="0"/>
              <w:bottom w:val="single" w:color="000000" w:sz="4" w:space="0"/>
              <w:right w:val="single" w:color="000000" w:sz="4" w:space="0"/>
            </w:tcBorders>
            <w:tcW w:w="1493" w:type="dxa"/>
            <w:vAlign w:val="center"/>
            <w:textDirection w:val="lrTb"/>
            <w:noWrap w:val="false"/>
          </w:tcPr>
          <w:p>
            <w:pPr>
              <w:pStyle w:val="1063"/>
              <w:ind w:right="-107"/>
              <w:jc w:val="center"/>
              <w:widowControl w:val="off"/>
            </w:pPr>
            <w:r>
              <w:rPr>
                <w:rFonts w:ascii="Arial Narrow" w:hAnsi="Arial Narrow"/>
                <w:sz w:val="20"/>
              </w:rPr>
              <w:t xml:space="preserve">1 175,302</w:t>
            </w:r>
            <w:r/>
          </w:p>
        </w:tc>
      </w:tr>
    </w:tbl>
    <w:p>
      <w:pPr>
        <w:rPr>
          <w:rFonts w:ascii="Arial Narrow" w:hAnsi="Arial Narrow" w:eastAsia="Times New Roman" w:cs="Calibri"/>
          <w:sz w:val="24"/>
          <w:szCs w:val="24"/>
          <w:lang w:eastAsia="zh-CN"/>
        </w:rPr>
      </w:pPr>
      <w:r>
        <w:rPr>
          <w:rFonts w:ascii="Arial Narrow" w:hAnsi="Arial Narrow" w:eastAsia="Times New Roman" w:cs="Calibri"/>
          <w:sz w:val="24"/>
          <w:szCs w:val="24"/>
          <w:lang w:eastAsia="zh-CN"/>
        </w:rPr>
      </w:r>
      <w:r>
        <w:rPr>
          <w:rFonts w:ascii="Arial Narrow" w:hAnsi="Arial Narrow" w:eastAsia="Times New Roman" w:cs="Calibri"/>
          <w:sz w:val="24"/>
          <w:szCs w:val="24"/>
          <w:lang w:eastAsia="zh-CN"/>
        </w:rPr>
      </w:r>
      <w:r>
        <w:rPr>
          <w:rFonts w:ascii="Arial Narrow" w:hAnsi="Arial Narrow" w:eastAsia="Times New Roman" w:cs="Calibri"/>
          <w:sz w:val="24"/>
          <w:szCs w:val="24"/>
          <w:lang w:eastAsia="zh-CN"/>
        </w:rPr>
      </w:r>
    </w:p>
    <w:p>
      <w:pPr>
        <w:pStyle w:val="1063"/>
        <w:ind w:firstLine="142"/>
        <w:jc w:val="both"/>
        <w:spacing w:before="120" w:after="120"/>
        <w:tabs>
          <w:tab w:val="left" w:pos="566" w:leader="none"/>
          <w:tab w:val="left" w:pos="850" w:leader="none"/>
        </w:tabs>
        <w:rPr>
          <w:rFonts w:ascii="Arial Narrow" w:hAnsi="Arial Narrow" w:cs="Calibri"/>
          <w:b/>
          <w:color w:val="314e87"/>
        </w:rPr>
      </w:pPr>
      <w:r>
        <w:rPr>
          <w:rFonts w:ascii="Arial Narrow" w:hAnsi="Arial Narrow" w:cs="Calibri"/>
          <w:b/>
          <w:color w:val="314e87"/>
        </w:rPr>
        <w:t xml:space="preserve">Интенсивность выбросов парниковых газов</w:t>
      </w:r>
      <w:r>
        <w:rPr>
          <w:rFonts w:ascii="Arial Narrow" w:hAnsi="Arial Narrow" w:cs="Calibri"/>
          <w:b/>
          <w:color w:val="314e87"/>
        </w:rPr>
      </w:r>
      <w:r>
        <w:rPr>
          <w:rFonts w:ascii="Arial Narrow" w:hAnsi="Arial Narrow" w:cs="Calibri"/>
          <w:b/>
          <w:color w:val="314e87"/>
        </w:rPr>
      </w:r>
    </w:p>
    <w:p>
      <w:pPr>
        <w:pStyle w:val="1063"/>
        <w:ind w:firstLine="142"/>
        <w:jc w:val="right"/>
        <w:tabs>
          <w:tab w:val="left" w:pos="566" w:leader="none"/>
          <w:tab w:val="left" w:pos="850" w:leader="none"/>
        </w:tabs>
        <w:rPr>
          <w:sz w:val="12"/>
          <w:szCs w:val="12"/>
        </w:rPr>
      </w:pPr>
      <w:r>
        <w:rPr>
          <w:rFonts w:ascii="Arial Narrow" w:hAnsi="Arial Narrow" w:eastAsia="Calibri" w:cs="Calibri"/>
          <w:i/>
          <w:lang w:eastAsia="ja-JP"/>
        </w:rPr>
        <w:t xml:space="preserve">     Таблица № 44</w:t>
      </w:r>
      <w:r>
        <w:rPr>
          <w:sz w:val="12"/>
          <w:szCs w:val="12"/>
        </w:rPr>
      </w:r>
      <w:r>
        <w:rPr>
          <w:sz w:val="12"/>
          <w:szCs w:val="12"/>
        </w:rPr>
      </w:r>
    </w:p>
    <w:tbl>
      <w:tblPr>
        <w:tblW w:w="9962" w:type="dxa"/>
        <w:tblInd w:w="211" w:type="dxa"/>
        <w:tblLayout w:type="fixed"/>
        <w:tblLook w:val="04A0" w:firstRow="1" w:lastRow="0" w:firstColumn="1" w:lastColumn="0" w:noHBand="0" w:noVBand="1"/>
      </w:tblPr>
      <w:tblGrid>
        <w:gridCol w:w="1744"/>
        <w:gridCol w:w="1138"/>
        <w:gridCol w:w="965"/>
        <w:gridCol w:w="1450"/>
        <w:gridCol w:w="1131"/>
        <w:gridCol w:w="1411"/>
        <w:gridCol w:w="1290"/>
        <w:gridCol w:w="833"/>
      </w:tblGrid>
      <w:tr>
        <w:trPr>
          <w:trHeight w:val="189"/>
        </w:trPr>
        <w:tc>
          <w:tcPr>
            <w:gridSpan w:val="2"/>
            <w:tcBorders>
              <w:top w:val="single" w:color="0F0D29" w:sz="4" w:space="0"/>
              <w:left w:val="single" w:color="0F0D29" w:sz="4" w:space="0"/>
              <w:bottom w:val="single" w:color="0F0D29" w:sz="4" w:space="0"/>
              <w:right w:val="single" w:color="0F0D29" w:sz="4" w:space="0"/>
            </w:tcBorders>
            <w:tcW w:w="2880" w:type="dxa"/>
            <w:vAlign w:val="center"/>
            <w:textDirection w:val="lrTb"/>
            <w:noWrap w:val="false"/>
          </w:tcPr>
          <w:p>
            <w:pPr>
              <w:pStyle w:val="1063"/>
              <w:jc w:val="center"/>
              <w:widowControl w:val="off"/>
            </w:pPr>
            <w:r>
              <w:rPr>
                <w:rFonts w:ascii="Arial Narrow" w:hAnsi="Arial Narrow" w:cs="Calibri"/>
                <w:bCs/>
                <w:sz w:val="20"/>
                <w:szCs w:val="20"/>
              </w:rPr>
              <w:t xml:space="preserve">Расход т.у.т.</w:t>
            </w:r>
            <w:r/>
          </w:p>
        </w:tc>
        <w:tc>
          <w:tcPr>
            <w:tcBorders>
              <w:top w:val="single" w:color="0F0D29" w:sz="4" w:space="0"/>
              <w:left w:val="single" w:color="0F0D29" w:sz="4" w:space="0"/>
              <w:bottom w:val="single" w:color="0F0D29" w:sz="4" w:space="0"/>
              <w:right w:val="single" w:color="0F0D29" w:sz="4" w:space="0"/>
            </w:tcBorders>
            <w:tcW w:w="965" w:type="dxa"/>
            <w:vAlign w:val="center"/>
            <w:textDirection w:val="lrTb"/>
            <w:noWrap w:val="false"/>
          </w:tcPr>
          <w:p>
            <w:pPr>
              <w:pStyle w:val="1063"/>
              <w:jc w:val="center"/>
              <w:widowControl w:val="off"/>
            </w:pPr>
            <w:r>
              <w:rPr>
                <w:rFonts w:ascii="Arial Narrow" w:hAnsi="Arial Narrow" w:cs="Calibri"/>
                <w:bCs/>
                <w:sz w:val="20"/>
                <w:szCs w:val="20"/>
              </w:rPr>
              <w:t xml:space="preserve">Доля в расходе тут</w:t>
            </w:r>
            <w:r/>
          </w:p>
        </w:tc>
        <w:tc>
          <w:tcPr>
            <w:gridSpan w:val="2"/>
            <w:tcBorders>
              <w:top w:val="single" w:color="0F0D29" w:sz="4" w:space="0"/>
              <w:left w:val="single" w:color="0F0D29" w:sz="4" w:space="0"/>
              <w:bottom w:val="single" w:color="0F0D29" w:sz="4" w:space="0"/>
              <w:right w:val="single" w:color="0F0D29" w:sz="4" w:space="0"/>
            </w:tcBorders>
            <w:tcW w:w="2581" w:type="dxa"/>
            <w:vAlign w:val="center"/>
            <w:textDirection w:val="lrTb"/>
            <w:noWrap w:val="false"/>
          </w:tcPr>
          <w:p>
            <w:pPr>
              <w:pStyle w:val="1063"/>
              <w:ind w:left="-75" w:right="-96"/>
              <w:jc w:val="center"/>
              <w:widowControl w:val="off"/>
            </w:pPr>
            <w:r>
              <w:rPr>
                <w:rFonts w:ascii="Arial Narrow" w:hAnsi="Arial Narrow" w:cs="Calibri"/>
                <w:bCs/>
                <w:sz w:val="20"/>
                <w:szCs w:val="20"/>
              </w:rPr>
              <w:t xml:space="preserve">Выработка э/э, млн. кВт*ч, отпуск тепла, тыс. Гкал</w:t>
            </w:r>
            <w:r/>
          </w:p>
        </w:tc>
        <w:tc>
          <w:tcPr>
            <w:tcBorders>
              <w:top w:val="single" w:color="0F0D29" w:sz="4" w:space="0"/>
              <w:left w:val="single" w:color="0F0D29" w:sz="4" w:space="0"/>
              <w:bottom w:val="single" w:color="0F0D29" w:sz="4" w:space="0"/>
              <w:right w:val="single" w:color="0F0D29" w:sz="4" w:space="0"/>
            </w:tcBorders>
            <w:tcW w:w="1411" w:type="dxa"/>
            <w:vAlign w:val="center"/>
            <w:textDirection w:val="lrTb"/>
            <w:noWrap w:val="false"/>
          </w:tcPr>
          <w:p>
            <w:pPr>
              <w:pStyle w:val="1063"/>
              <w:ind w:left="-112" w:right="-110"/>
              <w:jc w:val="center"/>
              <w:widowControl w:val="off"/>
            </w:pPr>
            <w:r>
              <w:rPr>
                <w:rFonts w:ascii="Arial Narrow" w:hAnsi="Arial Narrow" w:cs="Calibri"/>
                <w:bCs/>
                <w:sz w:val="20"/>
                <w:szCs w:val="20"/>
              </w:rPr>
              <w:t xml:space="preserve">Выбросы CO2 эквивалент, тонн (CO2+N2O экв.+СН4 экв.)</w:t>
            </w:r>
            <w:r/>
          </w:p>
        </w:tc>
        <w:tc>
          <w:tcPr>
            <w:tcBorders>
              <w:top w:val="single" w:color="0F0D29" w:sz="4" w:space="0"/>
              <w:left w:val="single" w:color="0F0D29" w:sz="4" w:space="0"/>
              <w:bottom w:val="single" w:color="0F0D29" w:sz="4" w:space="0"/>
              <w:right w:val="single" w:color="0F0D29" w:sz="4" w:space="0"/>
            </w:tcBorders>
            <w:tcW w:w="1290" w:type="dxa"/>
            <w:vAlign w:val="center"/>
            <w:textDirection w:val="lrTb"/>
            <w:noWrap w:val="false"/>
          </w:tcPr>
          <w:p>
            <w:pPr>
              <w:pStyle w:val="1063"/>
              <w:jc w:val="center"/>
              <w:widowControl w:val="off"/>
            </w:pPr>
            <w:r>
              <w:rPr>
                <w:rFonts w:ascii="Arial Narrow" w:hAnsi="Arial Narrow" w:cs="Calibri"/>
                <w:bCs/>
                <w:sz w:val="20"/>
                <w:szCs w:val="20"/>
              </w:rPr>
              <w:t xml:space="preserve">Доля выбросов CO2 экв.,  тонн</w:t>
            </w:r>
            <w:r/>
          </w:p>
        </w:tc>
        <w:tc>
          <w:tcPr>
            <w:tcBorders>
              <w:top w:val="single" w:color="0F0D29" w:sz="4" w:space="0"/>
              <w:left w:val="single" w:color="0F0D29" w:sz="4" w:space="0"/>
              <w:bottom w:val="single" w:color="0F0D29" w:sz="4" w:space="0"/>
              <w:right w:val="single" w:color="0F0D29" w:sz="4" w:space="0"/>
            </w:tcBorders>
            <w:tcW w:w="833" w:type="dxa"/>
            <w:vAlign w:val="center"/>
            <w:textDirection w:val="lrTb"/>
            <w:noWrap w:val="false"/>
          </w:tcPr>
          <w:p>
            <w:pPr>
              <w:pStyle w:val="1063"/>
              <w:jc w:val="center"/>
              <w:widowControl w:val="off"/>
            </w:pPr>
            <w:r>
              <w:rPr>
                <w:rFonts w:ascii="Arial Narrow" w:hAnsi="Arial Narrow" w:cs="Calibri"/>
                <w:bCs/>
                <w:sz w:val="20"/>
                <w:szCs w:val="20"/>
              </w:rPr>
              <w:t xml:space="preserve">уд. расход СО2 экв., тонн</w:t>
            </w:r>
            <w:r/>
          </w:p>
        </w:tc>
      </w:tr>
      <w:tr>
        <w:trPr>
          <w:trHeight w:val="458"/>
        </w:trPr>
        <w:tc>
          <w:tcPr>
            <w:tcBorders>
              <w:top w:val="single" w:color="0F0D29" w:sz="4" w:space="0"/>
              <w:left w:val="single" w:color="0F0D29" w:sz="4" w:space="0"/>
              <w:bottom w:val="single" w:color="0F0D29" w:sz="4" w:space="0"/>
              <w:right w:val="single" w:color="0F0D29" w:sz="4" w:space="0"/>
            </w:tcBorders>
            <w:tcW w:w="1743" w:type="dxa"/>
            <w:vAlign w:val="center"/>
            <w:textDirection w:val="lrTb"/>
            <w:noWrap w:val="false"/>
          </w:tcPr>
          <w:p>
            <w:pPr>
              <w:pStyle w:val="1063"/>
              <w:jc w:val="center"/>
              <w:widowControl w:val="off"/>
            </w:pPr>
            <w:r>
              <w:rPr>
                <w:rFonts w:ascii="Arial Narrow" w:hAnsi="Arial Narrow" w:cs="Calibri"/>
                <w:bCs/>
                <w:sz w:val="20"/>
                <w:szCs w:val="20"/>
              </w:rPr>
              <w:t xml:space="preserve">на электроэнергию</w:t>
            </w:r>
            <w:r/>
          </w:p>
        </w:tc>
        <w:tc>
          <w:tcPr>
            <w:tcBorders>
              <w:top w:val="single" w:color="0F0D29" w:sz="4" w:space="0"/>
              <w:left w:val="single" w:color="0F0D29" w:sz="4" w:space="0"/>
              <w:bottom w:val="single" w:color="0F0D29" w:sz="4" w:space="0"/>
              <w:right w:val="single" w:color="0F0D29" w:sz="4" w:space="0"/>
            </w:tcBorders>
            <w:tcW w:w="1137" w:type="dxa"/>
            <w:vAlign w:val="center"/>
            <w:textDirection w:val="lrTb"/>
            <w:noWrap w:val="false"/>
          </w:tcPr>
          <w:p>
            <w:pPr>
              <w:pStyle w:val="1063"/>
              <w:ind w:left="-105" w:right="-107"/>
              <w:jc w:val="center"/>
              <w:widowControl w:val="off"/>
            </w:pPr>
            <w:r>
              <w:rPr>
                <w:rFonts w:ascii="Arial Narrow" w:hAnsi="Arial Narrow"/>
                <w:sz w:val="20"/>
              </w:rPr>
              <w:t xml:space="preserve">407 332,44</w:t>
            </w:r>
            <w:r/>
          </w:p>
        </w:tc>
        <w:tc>
          <w:tcPr>
            <w:tcBorders>
              <w:top w:val="single" w:color="0F0D29" w:sz="4" w:space="0"/>
              <w:left w:val="single" w:color="0F0D29" w:sz="4" w:space="0"/>
              <w:bottom w:val="single" w:color="0F0D29" w:sz="4" w:space="0"/>
              <w:right w:val="single" w:color="0F0D29" w:sz="4" w:space="0"/>
            </w:tcBorders>
            <w:tcW w:w="965" w:type="dxa"/>
            <w:vAlign w:val="center"/>
            <w:textDirection w:val="lrTb"/>
            <w:noWrap w:val="false"/>
          </w:tcPr>
          <w:p>
            <w:pPr>
              <w:pStyle w:val="1063"/>
              <w:jc w:val="center"/>
              <w:widowControl w:val="off"/>
            </w:pPr>
            <w:r>
              <w:rPr>
                <w:rFonts w:ascii="Arial Narrow" w:hAnsi="Arial Narrow"/>
                <w:sz w:val="20"/>
              </w:rPr>
              <w:t xml:space="preserve">58,20 %</w:t>
            </w:r>
            <w:r/>
          </w:p>
        </w:tc>
        <w:tc>
          <w:tcPr>
            <w:tcBorders>
              <w:top w:val="single" w:color="0F0D29" w:sz="4" w:space="0"/>
              <w:left w:val="single" w:color="0F0D29" w:sz="4" w:space="0"/>
              <w:bottom w:val="single" w:color="0F0D29" w:sz="4" w:space="0"/>
              <w:right w:val="single" w:color="0F0D29" w:sz="4" w:space="0"/>
            </w:tcBorders>
            <w:tcW w:w="1450" w:type="dxa"/>
            <w:vAlign w:val="center"/>
            <w:textDirection w:val="lrTb"/>
            <w:noWrap w:val="false"/>
          </w:tcPr>
          <w:p>
            <w:pPr>
              <w:pStyle w:val="1063"/>
              <w:jc w:val="center"/>
              <w:widowControl w:val="off"/>
            </w:pPr>
            <w:r>
              <w:rPr>
                <w:rFonts w:ascii="Arial Narrow" w:hAnsi="Arial Narrow"/>
                <w:sz w:val="20"/>
              </w:rPr>
              <w:t xml:space="preserve">Выработка э/э, млн. кВт*ч</w:t>
            </w:r>
            <w:r/>
          </w:p>
        </w:tc>
        <w:tc>
          <w:tcPr>
            <w:tcBorders>
              <w:top w:val="single" w:color="0F0D29" w:sz="4" w:space="0"/>
              <w:left w:val="single" w:color="0F0D29" w:sz="4" w:space="0"/>
              <w:bottom w:val="single" w:color="0F0D29" w:sz="4" w:space="0"/>
              <w:right w:val="single" w:color="0F0D29" w:sz="4" w:space="0"/>
            </w:tcBorders>
            <w:tcW w:w="1131" w:type="dxa"/>
            <w:vAlign w:val="center"/>
            <w:textDirection w:val="lrTb"/>
            <w:noWrap w:val="false"/>
          </w:tcPr>
          <w:p>
            <w:pPr>
              <w:pStyle w:val="1063"/>
              <w:jc w:val="center"/>
              <w:widowControl w:val="off"/>
            </w:pPr>
            <w:r>
              <w:rPr>
                <w:rFonts w:ascii="Arial Narrow" w:hAnsi="Arial Narrow"/>
                <w:sz w:val="20"/>
              </w:rPr>
              <w:t xml:space="preserve">1 265,826</w:t>
            </w:r>
            <w:r/>
          </w:p>
        </w:tc>
        <w:tc>
          <w:tcPr>
            <w:tcBorders>
              <w:top w:val="single" w:color="0F0D29" w:sz="4" w:space="0"/>
              <w:left w:val="single" w:color="0F0D29" w:sz="4" w:space="0"/>
              <w:bottom w:val="single" w:color="0F0D29" w:sz="4" w:space="0"/>
              <w:right w:val="single" w:color="0F0D29" w:sz="4" w:space="0"/>
            </w:tcBorders>
            <w:tcW w:w="1411" w:type="dxa"/>
            <w:vAlign w:val="center"/>
            <w:vMerge w:val="restart"/>
            <w:textDirection w:val="lrTb"/>
            <w:noWrap w:val="false"/>
          </w:tcPr>
          <w:p>
            <w:pPr>
              <w:pStyle w:val="1063"/>
              <w:jc w:val="center"/>
              <w:widowControl w:val="off"/>
            </w:pPr>
            <w:r>
              <w:rPr>
                <w:rFonts w:ascii="Arial Narrow" w:hAnsi="Arial Narrow"/>
                <w:sz w:val="20"/>
              </w:rPr>
              <w:t xml:space="preserve">1 466 715,28</w:t>
            </w:r>
            <w:r/>
          </w:p>
          <w:p>
            <w:pPr>
              <w:pStyle w:val="1063"/>
              <w:jc w:val="center"/>
              <w:widowControl w:val="off"/>
              <w:rPr>
                <w:rFonts w:ascii="Arial Narrow" w:hAnsi="Arial Narrow" w:cs="Calibri"/>
                <w:bCs/>
                <w:sz w:val="20"/>
                <w:szCs w:val="20"/>
              </w:rPr>
            </w:pPr>
            <w:r>
              <w:rPr>
                <w:rFonts w:ascii="Arial Narrow" w:hAnsi="Arial Narrow" w:cs="Calibri"/>
                <w:bCs/>
                <w:sz w:val="20"/>
                <w:szCs w:val="20"/>
              </w:rPr>
            </w:r>
            <w:r>
              <w:rPr>
                <w:rFonts w:ascii="Arial Narrow" w:hAnsi="Arial Narrow" w:cs="Calibri"/>
                <w:bCs/>
                <w:sz w:val="20"/>
                <w:szCs w:val="20"/>
              </w:rPr>
            </w:r>
            <w:r>
              <w:rPr>
                <w:rFonts w:ascii="Arial Narrow" w:hAnsi="Arial Narrow" w:cs="Calibri"/>
                <w:bCs/>
                <w:sz w:val="20"/>
                <w:szCs w:val="20"/>
              </w:rPr>
            </w:r>
          </w:p>
        </w:tc>
        <w:tc>
          <w:tcPr>
            <w:tcBorders>
              <w:top w:val="single" w:color="0F0D29" w:sz="4" w:space="0"/>
              <w:left w:val="single" w:color="0F0D29" w:sz="4" w:space="0"/>
              <w:bottom w:val="single" w:color="0F0D29" w:sz="4" w:space="0"/>
              <w:right w:val="single" w:color="0F0D29" w:sz="4" w:space="0"/>
            </w:tcBorders>
            <w:tcW w:w="1290" w:type="dxa"/>
            <w:vAlign w:val="center"/>
            <w:textDirection w:val="lrTb"/>
            <w:noWrap w:val="false"/>
          </w:tcPr>
          <w:p>
            <w:pPr>
              <w:pStyle w:val="1063"/>
              <w:ind w:left="-107" w:right="-107"/>
              <w:jc w:val="center"/>
              <w:widowControl w:val="off"/>
            </w:pPr>
            <w:r>
              <w:rPr>
                <w:rFonts w:ascii="Arial Narrow" w:hAnsi="Arial Narrow"/>
                <w:sz w:val="20"/>
              </w:rPr>
              <w:t xml:space="preserve">853 614,74</w:t>
            </w:r>
            <w:r/>
          </w:p>
        </w:tc>
        <w:tc>
          <w:tcPr>
            <w:tcBorders>
              <w:top w:val="single" w:color="0F0D29" w:sz="4" w:space="0"/>
              <w:left w:val="single" w:color="0F0D29" w:sz="4" w:space="0"/>
              <w:bottom w:val="single" w:color="0F0D29" w:sz="4" w:space="0"/>
              <w:right w:val="single" w:color="0F0D29" w:sz="4" w:space="0"/>
            </w:tcBorders>
            <w:tcW w:w="833" w:type="dxa"/>
            <w:vAlign w:val="center"/>
            <w:textDirection w:val="lrTb"/>
            <w:noWrap w:val="false"/>
          </w:tcPr>
          <w:p>
            <w:pPr>
              <w:pStyle w:val="1063"/>
              <w:jc w:val="center"/>
              <w:widowControl w:val="off"/>
            </w:pPr>
            <w:r>
              <w:rPr>
                <w:rFonts w:ascii="Arial Narrow" w:hAnsi="Arial Narrow"/>
                <w:sz w:val="20"/>
              </w:rPr>
              <w:t xml:space="preserve">674,35</w:t>
            </w:r>
            <w:r/>
          </w:p>
        </w:tc>
      </w:tr>
      <w:tr>
        <w:trPr>
          <w:trHeight w:val="45"/>
        </w:trPr>
        <w:tc>
          <w:tcPr>
            <w:tcBorders>
              <w:top w:val="single" w:color="0F0D29" w:sz="4" w:space="0"/>
              <w:left w:val="single" w:color="0F0D29" w:sz="4" w:space="0"/>
              <w:bottom w:val="single" w:color="0F0D29" w:sz="4" w:space="0"/>
              <w:right w:val="single" w:color="0F0D29" w:sz="4" w:space="0"/>
            </w:tcBorders>
            <w:tcW w:w="1743" w:type="dxa"/>
            <w:vAlign w:val="center"/>
            <w:textDirection w:val="lrTb"/>
            <w:noWrap w:val="false"/>
          </w:tcPr>
          <w:p>
            <w:pPr>
              <w:pStyle w:val="1063"/>
              <w:jc w:val="center"/>
              <w:widowControl w:val="off"/>
            </w:pPr>
            <w:r>
              <w:rPr>
                <w:rFonts w:ascii="Arial Narrow" w:hAnsi="Arial Narrow" w:cs="Calibri"/>
                <w:bCs/>
                <w:sz w:val="20"/>
                <w:szCs w:val="20"/>
              </w:rPr>
              <w:t xml:space="preserve">на тепло</w:t>
            </w:r>
            <w:r/>
          </w:p>
        </w:tc>
        <w:tc>
          <w:tcPr>
            <w:tcBorders>
              <w:top w:val="single" w:color="0F0D29" w:sz="4" w:space="0"/>
              <w:left w:val="single" w:color="0F0D29" w:sz="4" w:space="0"/>
              <w:bottom w:val="single" w:color="0F0D29" w:sz="4" w:space="0"/>
              <w:right w:val="single" w:color="0F0D29" w:sz="4" w:space="0"/>
            </w:tcBorders>
            <w:tcW w:w="1137" w:type="dxa"/>
            <w:vAlign w:val="center"/>
            <w:textDirection w:val="lrTb"/>
            <w:noWrap w:val="false"/>
          </w:tcPr>
          <w:p>
            <w:pPr>
              <w:pStyle w:val="1063"/>
              <w:ind w:left="-105" w:right="-105"/>
              <w:jc w:val="center"/>
              <w:widowControl w:val="off"/>
            </w:pPr>
            <w:r>
              <w:rPr>
                <w:rFonts w:ascii="Arial Narrow" w:hAnsi="Arial Narrow"/>
                <w:sz w:val="20"/>
              </w:rPr>
              <w:t xml:space="preserve">292 562,59</w:t>
            </w:r>
            <w:r/>
          </w:p>
        </w:tc>
        <w:tc>
          <w:tcPr>
            <w:tcBorders>
              <w:top w:val="single" w:color="0F0D29" w:sz="4" w:space="0"/>
              <w:left w:val="single" w:color="0F0D29" w:sz="4" w:space="0"/>
              <w:bottom w:val="single" w:color="0F0D29" w:sz="4" w:space="0"/>
              <w:right w:val="single" w:color="0F0D29" w:sz="4" w:space="0"/>
            </w:tcBorders>
            <w:tcW w:w="965" w:type="dxa"/>
            <w:vAlign w:val="center"/>
            <w:textDirection w:val="lrTb"/>
            <w:noWrap w:val="false"/>
          </w:tcPr>
          <w:p>
            <w:pPr>
              <w:pStyle w:val="1063"/>
              <w:jc w:val="center"/>
              <w:widowControl w:val="off"/>
            </w:pPr>
            <w:r>
              <w:rPr>
                <w:rFonts w:ascii="Arial Narrow" w:hAnsi="Arial Narrow"/>
                <w:sz w:val="20"/>
              </w:rPr>
              <w:t xml:space="preserve">41,80 %</w:t>
            </w:r>
            <w:r/>
          </w:p>
        </w:tc>
        <w:tc>
          <w:tcPr>
            <w:tcBorders>
              <w:top w:val="single" w:color="0F0D29" w:sz="4" w:space="0"/>
              <w:left w:val="single" w:color="0F0D29" w:sz="4" w:space="0"/>
              <w:bottom w:val="single" w:color="0F0D29" w:sz="4" w:space="0"/>
              <w:right w:val="single" w:color="0F0D29" w:sz="4" w:space="0"/>
            </w:tcBorders>
            <w:tcW w:w="1450" w:type="dxa"/>
            <w:vAlign w:val="center"/>
            <w:textDirection w:val="lrTb"/>
            <w:noWrap w:val="false"/>
          </w:tcPr>
          <w:p>
            <w:pPr>
              <w:pStyle w:val="1063"/>
              <w:jc w:val="center"/>
              <w:widowControl w:val="off"/>
            </w:pPr>
            <w:r>
              <w:rPr>
                <w:rFonts w:ascii="Arial Narrow" w:hAnsi="Arial Narrow"/>
                <w:sz w:val="20"/>
              </w:rPr>
              <w:t xml:space="preserve">отпуск тепла, тыс. Гкал</w:t>
            </w:r>
            <w:r/>
          </w:p>
        </w:tc>
        <w:tc>
          <w:tcPr>
            <w:tcBorders>
              <w:top w:val="single" w:color="0F0D29" w:sz="4" w:space="0"/>
              <w:left w:val="single" w:color="0F0D29" w:sz="4" w:space="0"/>
              <w:bottom w:val="single" w:color="0F0D29" w:sz="4" w:space="0"/>
              <w:right w:val="single" w:color="0F0D29" w:sz="4" w:space="0"/>
            </w:tcBorders>
            <w:tcW w:w="1131" w:type="dxa"/>
            <w:vAlign w:val="center"/>
            <w:textDirection w:val="lrTb"/>
            <w:noWrap w:val="false"/>
          </w:tcPr>
          <w:p>
            <w:pPr>
              <w:pStyle w:val="1063"/>
              <w:jc w:val="center"/>
              <w:widowControl w:val="off"/>
            </w:pPr>
            <w:r>
              <w:rPr>
                <w:rFonts w:ascii="Arial Narrow" w:hAnsi="Arial Narrow"/>
                <w:sz w:val="20"/>
              </w:rPr>
              <w:t xml:space="preserve">1 772,566</w:t>
            </w:r>
            <w:r/>
          </w:p>
        </w:tc>
        <w:tc>
          <w:tcPr>
            <w:tcBorders>
              <w:top w:val="single" w:color="0F0D29" w:sz="4" w:space="0"/>
              <w:left w:val="single" w:color="0F0D29" w:sz="4" w:space="0"/>
              <w:bottom w:val="single" w:color="0F0D29" w:sz="4" w:space="0"/>
              <w:right w:val="single" w:color="0F0D29" w:sz="4" w:space="0"/>
            </w:tcBorders>
            <w:tcW w:w="1411" w:type="dxa"/>
            <w:vAlign w:val="center"/>
            <w:vMerge w:val="continue"/>
            <w:textDirection w:val="lrTb"/>
            <w:noWrap w:val="false"/>
          </w:tcPr>
          <w:p>
            <w:pPr>
              <w:pStyle w:val="1062"/>
            </w:pPr>
            <w:r/>
            <w:r/>
          </w:p>
        </w:tc>
        <w:tc>
          <w:tcPr>
            <w:tcBorders>
              <w:top w:val="single" w:color="0F0D29" w:sz="4" w:space="0"/>
              <w:left w:val="single" w:color="0F0D29" w:sz="4" w:space="0"/>
              <w:bottom w:val="single" w:color="0F0D29" w:sz="4" w:space="0"/>
              <w:right w:val="single" w:color="0F0D29" w:sz="4" w:space="0"/>
            </w:tcBorders>
            <w:tcW w:w="1290" w:type="dxa"/>
            <w:vAlign w:val="center"/>
            <w:textDirection w:val="lrTb"/>
            <w:noWrap w:val="false"/>
          </w:tcPr>
          <w:p>
            <w:pPr>
              <w:pStyle w:val="1063"/>
              <w:ind w:left="-107" w:right="-107"/>
              <w:jc w:val="center"/>
              <w:widowControl w:val="off"/>
            </w:pPr>
            <w:r>
              <w:rPr>
                <w:rFonts w:ascii="Arial Narrow" w:hAnsi="Arial Narrow"/>
                <w:sz w:val="20"/>
              </w:rPr>
              <w:t xml:space="preserve">613 100,54</w:t>
            </w:r>
            <w:r/>
          </w:p>
        </w:tc>
        <w:tc>
          <w:tcPr>
            <w:tcBorders>
              <w:top w:val="single" w:color="0F0D29" w:sz="4" w:space="0"/>
              <w:left w:val="single" w:color="0F0D29" w:sz="4" w:space="0"/>
              <w:bottom w:val="single" w:color="0F0D29" w:sz="4" w:space="0"/>
              <w:right w:val="single" w:color="0F0D29" w:sz="4" w:space="0"/>
            </w:tcBorders>
            <w:tcW w:w="833" w:type="dxa"/>
            <w:vAlign w:val="center"/>
            <w:textDirection w:val="lrTb"/>
            <w:noWrap w:val="false"/>
          </w:tcPr>
          <w:p>
            <w:pPr>
              <w:pStyle w:val="1063"/>
              <w:jc w:val="center"/>
              <w:widowControl w:val="off"/>
            </w:pPr>
            <w:r>
              <w:rPr>
                <w:rFonts w:ascii="Arial Narrow" w:hAnsi="Arial Narrow"/>
                <w:sz w:val="20"/>
              </w:rPr>
              <w:t xml:space="preserve">345,88</w:t>
            </w:r>
            <w:r/>
          </w:p>
        </w:tc>
      </w:tr>
    </w:tbl>
    <w:p>
      <w:pPr>
        <w:pStyle w:val="1063"/>
        <w:ind w:left="142" w:firstLine="567"/>
        <w:jc w:val="both"/>
        <w:rPr>
          <w:rFonts w:ascii="Arial Narrow" w:hAnsi="Arial Narrow" w:cs="Calibri"/>
          <w:szCs w:val="10"/>
        </w:rPr>
      </w:pPr>
      <w:r>
        <w:rPr>
          <w:rFonts w:ascii="Arial Narrow" w:hAnsi="Arial Narrow" w:cs="Calibri"/>
          <w:szCs w:val="10"/>
        </w:rPr>
      </w:r>
      <w:r>
        <w:rPr>
          <w:rFonts w:ascii="Arial Narrow" w:hAnsi="Arial Narrow" w:cs="Calibri"/>
          <w:szCs w:val="10"/>
        </w:rPr>
      </w:r>
      <w:r>
        <w:rPr>
          <w:rFonts w:ascii="Arial Narrow" w:hAnsi="Arial Narrow" w:cs="Calibri"/>
          <w:szCs w:val="10"/>
        </w:rPr>
      </w:r>
    </w:p>
    <w:p>
      <w:pPr>
        <w:pStyle w:val="1063"/>
        <w:ind w:firstLine="567"/>
        <w:jc w:val="both"/>
        <w:rPr>
          <w:rFonts w:ascii="Arial Narrow" w:hAnsi="Arial Narrow" w:cs="Calibri"/>
        </w:rPr>
      </w:pPr>
      <w:r>
        <w:rPr>
          <w:rFonts w:ascii="Arial Narrow" w:hAnsi="Arial Narrow" w:cs="Calibri"/>
        </w:rPr>
        <w:t xml:space="preserve">Снижение выбросов ПАО «Камчатскэнерго» осуществляется за счет перевода тепломеханического оборудования на газ, использования газоочистного оборудования (циклонов) и дополнительных режимных мероприятий.</w:t>
      </w:r>
      <w:r>
        <w:rPr>
          <w:rFonts w:ascii="Arial Narrow" w:hAnsi="Arial Narrow" w:cs="Calibri"/>
        </w:rPr>
      </w:r>
      <w:r>
        <w:rPr>
          <w:rFonts w:ascii="Arial Narrow" w:hAnsi="Arial Narrow" w:cs="Calibri"/>
        </w:rPr>
      </w:r>
    </w:p>
    <w:p>
      <w:pPr>
        <w:pStyle w:val="1063"/>
        <w:ind w:firstLine="567"/>
        <w:jc w:val="both"/>
        <w:rPr>
          <w:rFonts w:ascii="Arial Narrow" w:hAnsi="Arial Narrow" w:cs="Calibri"/>
        </w:rPr>
      </w:pPr>
      <w:r>
        <w:rPr>
          <w:rFonts w:ascii="Arial Narrow" w:hAnsi="Arial Narrow" w:cs="Calibri"/>
        </w:rPr>
      </w:r>
      <w:r>
        <w:rPr>
          <w:rFonts w:ascii="Arial Narrow" w:hAnsi="Arial Narrow" w:cs="Calibri"/>
        </w:rPr>
      </w:r>
      <w:r>
        <w:rPr>
          <w:rFonts w:ascii="Arial Narrow" w:hAnsi="Arial Narrow" w:cs="Calibri"/>
        </w:rPr>
      </w:r>
    </w:p>
    <w:p>
      <w:pPr>
        <w:pStyle w:val="1063"/>
        <w:ind w:firstLine="567"/>
        <w:jc w:val="both"/>
        <w:rPr>
          <w:rFonts w:ascii="Arial Narrow" w:hAnsi="Arial Narrow" w:cs="Calibri"/>
        </w:rPr>
      </w:pPr>
      <w:r>
        <w:rPr>
          <w:rFonts w:ascii="Arial Narrow" w:hAnsi="Arial Narrow" w:cs="Calibri"/>
        </w:rPr>
      </w:r>
      <w:r>
        <w:rPr>
          <w:rFonts w:ascii="Arial Narrow" w:hAnsi="Arial Narrow" w:cs="Calibri"/>
        </w:rPr>
      </w:r>
      <w:r>
        <w:rPr>
          <w:rFonts w:ascii="Arial Narrow" w:hAnsi="Arial Narrow" w:cs="Calibri"/>
        </w:rPr>
      </w:r>
    </w:p>
    <w:p>
      <w:pPr>
        <w:pStyle w:val="1063"/>
        <w:ind w:firstLine="567"/>
        <w:jc w:val="both"/>
      </w:pPr>
      <w:r/>
      <w:r/>
    </w:p>
    <w:p>
      <w:pPr>
        <w:pStyle w:val="1063"/>
        <w:ind w:firstLine="567"/>
        <w:jc w:val="both"/>
      </w:pPr>
      <w:r>
        <w:rPr>
          <w:rFonts w:ascii="Arial Narrow" w:hAnsi="Arial Narrow" w:cs="Calibri"/>
        </w:rPr>
        <w:t xml:space="preserve">В 2024 году в ПАО «Камчатскэнерго» валовые выбросы от организованных источников составили:</w:t>
      </w:r>
      <w:r/>
    </w:p>
    <w:p>
      <w:pPr>
        <w:pStyle w:val="1063"/>
        <w:ind w:firstLine="142"/>
        <w:jc w:val="right"/>
        <w:tabs>
          <w:tab w:val="left" w:pos="566" w:leader="none"/>
          <w:tab w:val="left" w:pos="850" w:leader="none"/>
        </w:tabs>
        <w:rPr>
          <w:sz w:val="12"/>
          <w:szCs w:val="12"/>
        </w:rPr>
      </w:pPr>
      <w:r>
        <w:rPr>
          <w:rFonts w:ascii="Arial Narrow" w:hAnsi="Arial Narrow" w:eastAsia="Calibri" w:cs="Calibri"/>
          <w:i/>
          <w:lang w:eastAsia="ja-JP"/>
        </w:rPr>
        <w:t xml:space="preserve">Таблица № 45</w:t>
      </w:r>
      <w:r>
        <w:rPr>
          <w:sz w:val="12"/>
          <w:szCs w:val="12"/>
        </w:rPr>
      </w:r>
      <w:r>
        <w:rPr>
          <w:sz w:val="12"/>
          <w:szCs w:val="12"/>
        </w:rPr>
      </w:r>
    </w:p>
    <w:tbl>
      <w:tblPr>
        <w:tblW w:w="10060" w:type="dxa"/>
        <w:tblInd w:w="113" w:type="dxa"/>
        <w:tblLayout w:type="fixed"/>
        <w:tblLook w:val="04A0" w:firstRow="1" w:lastRow="0" w:firstColumn="1" w:lastColumn="0" w:noHBand="0" w:noVBand="1"/>
      </w:tblPr>
      <w:tblGrid>
        <w:gridCol w:w="3401"/>
        <w:gridCol w:w="3398"/>
        <w:gridCol w:w="3261"/>
      </w:tblGrid>
      <w:tr>
        <w:trPr>
          <w:trHeight w:val="364"/>
        </w:trPr>
        <w:tc>
          <w:tcPr>
            <w:tcBorders>
              <w:top w:val="single" w:color="0F0D29" w:sz="4" w:space="0"/>
              <w:left w:val="single" w:color="0F0D29" w:sz="4" w:space="0"/>
              <w:bottom w:val="single" w:color="0F0D29" w:sz="4" w:space="0"/>
              <w:right w:val="single" w:color="0F0D29" w:sz="4" w:space="0"/>
            </w:tcBorders>
            <w:tcW w:w="3401" w:type="dxa"/>
            <w:vAlign w:val="center"/>
            <w:vMerge w:val="restart"/>
            <w:textDirection w:val="lrTb"/>
            <w:noWrap w:val="false"/>
          </w:tcPr>
          <w:p>
            <w:pPr>
              <w:pStyle w:val="1063"/>
              <w:jc w:val="center"/>
              <w:widowControl w:val="off"/>
            </w:pPr>
            <w:r>
              <w:rPr>
                <w:rFonts w:ascii="Arial Narrow" w:hAnsi="Arial Narrow" w:cs="Calibri"/>
                <w:bCs/>
                <w:sz w:val="20"/>
                <w:szCs w:val="20"/>
              </w:rPr>
              <w:t xml:space="preserve">Показатель</w:t>
            </w:r>
            <w:r/>
          </w:p>
        </w:tc>
        <w:tc>
          <w:tcPr>
            <w:tcBorders>
              <w:top w:val="single" w:color="0F0D29" w:sz="4" w:space="0"/>
              <w:left w:val="single" w:color="0F0D29" w:sz="4" w:space="0"/>
              <w:bottom w:val="single" w:color="0F0D29" w:sz="4" w:space="0"/>
              <w:right w:val="single" w:color="0F0D29" w:sz="4" w:space="0"/>
            </w:tcBorders>
            <w:tcW w:w="3398" w:type="dxa"/>
            <w:vAlign w:val="center"/>
            <w:textDirection w:val="lrTb"/>
            <w:noWrap w:val="false"/>
          </w:tcPr>
          <w:p>
            <w:pPr>
              <w:pStyle w:val="1063"/>
              <w:jc w:val="center"/>
              <w:widowControl w:val="off"/>
            </w:pPr>
            <w:r>
              <w:rPr>
                <w:rFonts w:ascii="Arial Narrow" w:hAnsi="Arial Narrow" w:cs="Calibri"/>
                <w:bCs/>
                <w:sz w:val="20"/>
                <w:szCs w:val="20"/>
              </w:rPr>
              <w:t xml:space="preserve">Итого (тонн)</w:t>
            </w:r>
            <w:r/>
          </w:p>
        </w:tc>
        <w:tc>
          <w:tcPr>
            <w:tcBorders>
              <w:top w:val="single" w:color="0F0D29" w:sz="4" w:space="0"/>
              <w:left w:val="single" w:color="0F0D29" w:sz="4" w:space="0"/>
              <w:bottom w:val="single" w:color="0F0D29" w:sz="4" w:space="0"/>
              <w:right w:val="single" w:color="0F0D29" w:sz="4" w:space="0"/>
            </w:tcBorders>
            <w:tcW w:w="3261" w:type="dxa"/>
            <w:vAlign w:val="center"/>
            <w:textDirection w:val="lrTb"/>
            <w:noWrap w:val="false"/>
          </w:tcPr>
          <w:p>
            <w:pPr>
              <w:pStyle w:val="1063"/>
              <w:jc w:val="center"/>
              <w:widowControl w:val="off"/>
            </w:pPr>
            <w:r>
              <w:rPr>
                <w:rFonts w:ascii="Arial Narrow" w:hAnsi="Arial Narrow" w:cs="Calibri"/>
                <w:bCs/>
                <w:sz w:val="20"/>
                <w:szCs w:val="20"/>
              </w:rPr>
              <w:t xml:space="preserve">Итого (тонн)</w:t>
            </w:r>
            <w:r/>
          </w:p>
        </w:tc>
      </w:tr>
      <w:tr>
        <w:trPr>
          <w:trHeight w:val="710"/>
        </w:trPr>
        <w:tc>
          <w:tcPr>
            <w:tcBorders>
              <w:top w:val="single" w:color="0F0D29" w:sz="4" w:space="0"/>
              <w:left w:val="single" w:color="0F0D29" w:sz="4" w:space="0"/>
              <w:bottom w:val="single" w:color="0F0D29" w:sz="4" w:space="0"/>
              <w:right w:val="single" w:color="0F0D29" w:sz="4" w:space="0"/>
            </w:tcBorders>
            <w:tcW w:w="3401" w:type="dxa"/>
            <w:vAlign w:val="center"/>
            <w:vMerge w:val="continue"/>
            <w:textDirection w:val="lrTb"/>
            <w:noWrap w:val="false"/>
          </w:tcPr>
          <w:p>
            <w:pPr>
              <w:pStyle w:val="1062"/>
            </w:pPr>
            <w:r/>
            <w:r/>
          </w:p>
        </w:tc>
        <w:tc>
          <w:tcPr>
            <w:tcBorders>
              <w:top w:val="single" w:color="0F0D29" w:sz="4" w:space="0"/>
              <w:left w:val="single" w:color="0F0D29" w:sz="4" w:space="0"/>
              <w:bottom w:val="single" w:color="0F0D29" w:sz="4" w:space="0"/>
              <w:right w:val="single" w:color="0F0D29" w:sz="4" w:space="0"/>
            </w:tcBorders>
            <w:tcW w:w="3398" w:type="dxa"/>
            <w:vAlign w:val="center"/>
            <w:textDirection w:val="lrTb"/>
            <w:noWrap w:val="false"/>
          </w:tcPr>
          <w:p>
            <w:pPr>
              <w:pStyle w:val="1063"/>
              <w:jc w:val="center"/>
              <w:widowControl w:val="off"/>
            </w:pPr>
            <w:r>
              <w:rPr>
                <w:rFonts w:ascii="Arial Narrow" w:hAnsi="Arial Narrow" w:cs="Calibri"/>
                <w:sz w:val="20"/>
                <w:szCs w:val="20"/>
              </w:rPr>
              <w:t xml:space="preserve">по филиалам ПАО «Камчатскэнерго» Камчатские ТЭЦ, ЦЭС, Возобновляемая энергетика</w:t>
            </w:r>
            <w:r/>
          </w:p>
        </w:tc>
        <w:tc>
          <w:tcPr>
            <w:tcBorders>
              <w:top w:val="single" w:color="0F0D29" w:sz="4" w:space="0"/>
              <w:left w:val="single" w:color="0F0D29" w:sz="4" w:space="0"/>
              <w:bottom w:val="single" w:color="0F0D29" w:sz="4" w:space="0"/>
              <w:right w:val="single" w:color="0F0D29" w:sz="4" w:space="0"/>
            </w:tcBorders>
            <w:tcW w:w="3261" w:type="dxa"/>
            <w:vAlign w:val="center"/>
            <w:textDirection w:val="lrTb"/>
            <w:noWrap w:val="false"/>
          </w:tcPr>
          <w:p>
            <w:pPr>
              <w:pStyle w:val="1063"/>
              <w:jc w:val="center"/>
              <w:widowControl w:val="off"/>
            </w:pPr>
            <w:r>
              <w:rPr>
                <w:rFonts w:ascii="Arial Narrow" w:hAnsi="Arial Narrow" w:cs="Calibri"/>
                <w:sz w:val="20"/>
                <w:szCs w:val="20"/>
              </w:rPr>
              <w:t xml:space="preserve">с учетом арендованных объектов (КТЭЦ, ЦЭС, Возобновляемая энергетика + Коммунальная энергетика)</w:t>
            </w:r>
            <w:r/>
          </w:p>
        </w:tc>
      </w:tr>
      <w:tr>
        <w:trPr>
          <w:trHeight w:val="300"/>
        </w:trPr>
        <w:tc>
          <w:tcPr>
            <w:tcBorders>
              <w:top w:val="single" w:color="0F0D29" w:sz="4" w:space="0"/>
              <w:left w:val="single" w:color="0F0D29" w:sz="4" w:space="0"/>
              <w:bottom w:val="single" w:color="0F0D29" w:sz="4" w:space="0"/>
              <w:right w:val="single" w:color="0F0D29" w:sz="4" w:space="0"/>
            </w:tcBorders>
            <w:tcW w:w="3401" w:type="dxa"/>
            <w:textDirection w:val="lrTb"/>
            <w:noWrap w:val="false"/>
          </w:tcPr>
          <w:p>
            <w:pPr>
              <w:pStyle w:val="1063"/>
              <w:jc w:val="center"/>
              <w:widowControl w:val="off"/>
            </w:pPr>
            <w:r>
              <w:rPr>
                <w:rFonts w:ascii="Arial Narrow" w:hAnsi="Arial Narrow" w:cs="Calibri"/>
                <w:bCs/>
                <w:sz w:val="20"/>
                <w:szCs w:val="20"/>
              </w:rPr>
              <w:t xml:space="preserve">Оксид углерода, СО</w:t>
            </w:r>
            <w:r/>
          </w:p>
        </w:tc>
        <w:tc>
          <w:tcPr>
            <w:tcBorders>
              <w:top w:val="single" w:color="0F0D29" w:sz="4" w:space="0"/>
              <w:left w:val="single" w:color="0F0D29" w:sz="4" w:space="0"/>
              <w:bottom w:val="single" w:color="0F0D29" w:sz="4" w:space="0"/>
              <w:right w:val="single" w:color="0F0D29" w:sz="4" w:space="0"/>
            </w:tcBorders>
            <w:tcW w:w="3398" w:type="dxa"/>
            <w:vAlign w:val="center"/>
            <w:textDirection w:val="lrTb"/>
            <w:noWrap w:val="false"/>
          </w:tcPr>
          <w:p>
            <w:pPr>
              <w:pStyle w:val="1063"/>
              <w:jc w:val="center"/>
              <w:widowControl w:val="off"/>
            </w:pPr>
            <w:r>
              <w:rPr>
                <w:rFonts w:ascii="Arial Narrow" w:hAnsi="Arial Narrow"/>
                <w:sz w:val="20"/>
              </w:rPr>
              <w:t xml:space="preserve">128,052</w:t>
            </w:r>
            <w:r/>
          </w:p>
        </w:tc>
        <w:tc>
          <w:tcPr>
            <w:tcBorders>
              <w:top w:val="single" w:color="0F0D29" w:sz="4" w:space="0"/>
              <w:left w:val="single" w:color="0F0D29" w:sz="4" w:space="0"/>
              <w:bottom w:val="single" w:color="0F0D29" w:sz="4" w:space="0"/>
              <w:right w:val="single" w:color="0F0D29" w:sz="4" w:space="0"/>
            </w:tcBorders>
            <w:tcW w:w="3261" w:type="dxa"/>
            <w:vAlign w:val="center"/>
            <w:textDirection w:val="lrTb"/>
            <w:noWrap w:val="false"/>
          </w:tcPr>
          <w:p>
            <w:pPr>
              <w:pStyle w:val="1063"/>
              <w:jc w:val="center"/>
              <w:widowControl w:val="off"/>
            </w:pPr>
            <w:r>
              <w:rPr>
                <w:rFonts w:ascii="Arial Narrow" w:hAnsi="Arial Narrow"/>
                <w:sz w:val="20"/>
              </w:rPr>
              <w:t xml:space="preserve">1 943,057</w:t>
            </w:r>
            <w:r/>
          </w:p>
        </w:tc>
      </w:tr>
      <w:tr>
        <w:trPr>
          <w:trHeight w:val="275"/>
        </w:trPr>
        <w:tc>
          <w:tcPr>
            <w:tcBorders>
              <w:top w:val="single" w:color="0F0D29" w:sz="4" w:space="0"/>
              <w:left w:val="single" w:color="0F0D29" w:sz="4" w:space="0"/>
              <w:bottom w:val="single" w:color="0F0D29" w:sz="4" w:space="0"/>
              <w:right w:val="single" w:color="0F0D29" w:sz="4" w:space="0"/>
            </w:tcBorders>
            <w:tcW w:w="3401" w:type="dxa"/>
            <w:vAlign w:val="center"/>
            <w:textDirection w:val="lrTb"/>
            <w:noWrap w:val="false"/>
          </w:tcPr>
          <w:p>
            <w:pPr>
              <w:pStyle w:val="1063"/>
              <w:jc w:val="center"/>
              <w:widowControl w:val="off"/>
            </w:pPr>
            <w:r>
              <w:rPr>
                <w:rFonts w:ascii="Arial Narrow" w:hAnsi="Arial Narrow" w:cs="Calibri"/>
                <w:bCs/>
                <w:sz w:val="20"/>
                <w:szCs w:val="20"/>
              </w:rPr>
              <w:t xml:space="preserve">Диоксид серы, SO2</w:t>
            </w:r>
            <w:r/>
          </w:p>
        </w:tc>
        <w:tc>
          <w:tcPr>
            <w:tcBorders>
              <w:top w:val="single" w:color="0F0D29" w:sz="4" w:space="0"/>
              <w:left w:val="single" w:color="0F0D29" w:sz="4" w:space="0"/>
              <w:bottom w:val="single" w:color="0F0D29" w:sz="4" w:space="0"/>
              <w:right w:val="single" w:color="0F0D29" w:sz="4" w:space="0"/>
            </w:tcBorders>
            <w:tcW w:w="3398" w:type="dxa"/>
            <w:vAlign w:val="center"/>
            <w:textDirection w:val="lrTb"/>
            <w:noWrap w:val="false"/>
          </w:tcPr>
          <w:p>
            <w:pPr>
              <w:pStyle w:val="1063"/>
              <w:jc w:val="center"/>
              <w:widowControl w:val="off"/>
            </w:pPr>
            <w:r>
              <w:rPr>
                <w:rFonts w:ascii="Arial Narrow" w:hAnsi="Arial Narrow"/>
                <w:sz w:val="20"/>
              </w:rPr>
              <w:t xml:space="preserve">6 712,019</w:t>
            </w:r>
            <w:r/>
          </w:p>
        </w:tc>
        <w:tc>
          <w:tcPr>
            <w:tcBorders>
              <w:top w:val="single" w:color="0F0D29" w:sz="4" w:space="0"/>
              <w:left w:val="single" w:color="0F0D29" w:sz="4" w:space="0"/>
              <w:bottom w:val="single" w:color="0F0D29" w:sz="4" w:space="0"/>
              <w:right w:val="single" w:color="0F0D29" w:sz="4" w:space="0"/>
            </w:tcBorders>
            <w:tcW w:w="3261" w:type="dxa"/>
            <w:vAlign w:val="center"/>
            <w:textDirection w:val="lrTb"/>
            <w:noWrap w:val="false"/>
          </w:tcPr>
          <w:p>
            <w:pPr>
              <w:pStyle w:val="1063"/>
              <w:jc w:val="center"/>
              <w:widowControl w:val="off"/>
            </w:pPr>
            <w:r>
              <w:rPr>
                <w:rFonts w:ascii="Arial Narrow" w:hAnsi="Arial Narrow"/>
                <w:sz w:val="20"/>
              </w:rPr>
              <w:t xml:space="preserve">8 533,11</w:t>
            </w:r>
            <w:r/>
          </w:p>
        </w:tc>
      </w:tr>
      <w:tr>
        <w:trPr>
          <w:trHeight w:val="309"/>
        </w:trPr>
        <w:tc>
          <w:tcPr>
            <w:tcBorders>
              <w:top w:val="single" w:color="0F0D29" w:sz="4" w:space="0"/>
              <w:left w:val="single" w:color="0F0D29" w:sz="4" w:space="0"/>
              <w:bottom w:val="single" w:color="0F0D29" w:sz="4" w:space="0"/>
              <w:right w:val="single" w:color="0F0D29" w:sz="4" w:space="0"/>
            </w:tcBorders>
            <w:tcW w:w="3401" w:type="dxa"/>
            <w:textDirection w:val="lrTb"/>
            <w:noWrap w:val="false"/>
          </w:tcPr>
          <w:p>
            <w:pPr>
              <w:pStyle w:val="1063"/>
              <w:jc w:val="center"/>
              <w:widowControl w:val="off"/>
            </w:pPr>
            <w:r>
              <w:rPr>
                <w:rFonts w:ascii="Arial Narrow" w:hAnsi="Arial Narrow" w:cs="Calibri"/>
                <w:bCs/>
                <w:sz w:val="20"/>
                <w:szCs w:val="20"/>
              </w:rPr>
              <w:t xml:space="preserve">Оксиды азота (NOх), в пересчёте на NO2</w:t>
            </w:r>
            <w:r/>
          </w:p>
        </w:tc>
        <w:tc>
          <w:tcPr>
            <w:tcBorders>
              <w:top w:val="single" w:color="0F0D29" w:sz="4" w:space="0"/>
              <w:left w:val="single" w:color="0F0D29" w:sz="4" w:space="0"/>
              <w:bottom w:val="single" w:color="0F0D29" w:sz="4" w:space="0"/>
              <w:right w:val="single" w:color="0F0D29" w:sz="4" w:space="0"/>
            </w:tcBorders>
            <w:tcW w:w="3398" w:type="dxa"/>
            <w:vAlign w:val="center"/>
            <w:textDirection w:val="lrTb"/>
            <w:noWrap w:val="false"/>
          </w:tcPr>
          <w:p>
            <w:pPr>
              <w:pStyle w:val="1063"/>
              <w:jc w:val="center"/>
              <w:widowControl w:val="off"/>
            </w:pPr>
            <w:r>
              <w:rPr>
                <w:rFonts w:ascii="Arial Narrow" w:hAnsi="Arial Narrow"/>
                <w:sz w:val="20"/>
              </w:rPr>
              <w:t xml:space="preserve">2 944,464</w:t>
            </w:r>
            <w:r/>
          </w:p>
        </w:tc>
        <w:tc>
          <w:tcPr>
            <w:tcBorders>
              <w:top w:val="single" w:color="0F0D29" w:sz="4" w:space="0"/>
              <w:left w:val="single" w:color="0F0D29" w:sz="4" w:space="0"/>
              <w:bottom w:val="single" w:color="0F0D29" w:sz="4" w:space="0"/>
              <w:right w:val="single" w:color="0F0D29" w:sz="4" w:space="0"/>
            </w:tcBorders>
            <w:tcW w:w="3261" w:type="dxa"/>
            <w:vAlign w:val="center"/>
            <w:textDirection w:val="lrTb"/>
            <w:noWrap w:val="false"/>
          </w:tcPr>
          <w:p>
            <w:pPr>
              <w:pStyle w:val="1063"/>
              <w:jc w:val="center"/>
              <w:widowControl w:val="off"/>
            </w:pPr>
            <w:r>
              <w:rPr>
                <w:rFonts w:ascii="Arial Narrow" w:hAnsi="Arial Narrow"/>
                <w:sz w:val="20"/>
              </w:rPr>
              <w:t xml:space="preserve">3 516,97</w:t>
            </w:r>
            <w:r/>
          </w:p>
        </w:tc>
      </w:tr>
      <w:tr>
        <w:trPr>
          <w:trHeight w:val="515"/>
        </w:trPr>
        <w:tc>
          <w:tcPr>
            <w:tcBorders>
              <w:top w:val="single" w:color="0F0D29" w:sz="4" w:space="0"/>
              <w:left w:val="single" w:color="0F0D29" w:sz="4" w:space="0"/>
              <w:bottom w:val="single" w:color="0F0D29" w:sz="4" w:space="0"/>
              <w:right w:val="single" w:color="0F0D29" w:sz="4" w:space="0"/>
            </w:tcBorders>
            <w:tcW w:w="3401" w:type="dxa"/>
            <w:textDirection w:val="lrTb"/>
            <w:noWrap w:val="false"/>
          </w:tcPr>
          <w:p>
            <w:pPr>
              <w:pStyle w:val="1063"/>
              <w:jc w:val="center"/>
              <w:widowControl w:val="off"/>
            </w:pPr>
            <w:r>
              <w:rPr>
                <w:rFonts w:ascii="Arial Narrow" w:hAnsi="Arial Narrow" w:cs="Calibri"/>
                <w:bCs/>
                <w:sz w:val="20"/>
                <w:szCs w:val="20"/>
              </w:rPr>
              <w:t xml:space="preserve">Всего твёрдых, газообразных загрязняющих веществ, в том числе:</w:t>
            </w:r>
            <w:r/>
          </w:p>
        </w:tc>
        <w:tc>
          <w:tcPr>
            <w:tcBorders>
              <w:top w:val="single" w:color="0F0D29" w:sz="4" w:space="0"/>
              <w:left w:val="single" w:color="0F0D29" w:sz="4" w:space="0"/>
              <w:bottom w:val="single" w:color="0F0D29" w:sz="4" w:space="0"/>
              <w:right w:val="single" w:color="0F0D29" w:sz="4" w:space="0"/>
            </w:tcBorders>
            <w:tcW w:w="3398" w:type="dxa"/>
            <w:vAlign w:val="center"/>
            <w:textDirection w:val="lrTb"/>
            <w:noWrap w:val="false"/>
          </w:tcPr>
          <w:p>
            <w:pPr>
              <w:pStyle w:val="1063"/>
              <w:jc w:val="center"/>
              <w:widowControl w:val="off"/>
            </w:pPr>
            <w:r>
              <w:rPr>
                <w:rFonts w:ascii="Arial Narrow" w:hAnsi="Arial Narrow"/>
                <w:sz w:val="20"/>
              </w:rPr>
              <w:t xml:space="preserve">10 702,538</w:t>
            </w:r>
            <w:r/>
          </w:p>
        </w:tc>
        <w:tc>
          <w:tcPr>
            <w:tcBorders>
              <w:top w:val="single" w:color="0F0D29" w:sz="4" w:space="0"/>
              <w:left w:val="single" w:color="0F0D29" w:sz="4" w:space="0"/>
              <w:bottom w:val="single" w:color="0F0D29" w:sz="4" w:space="0"/>
              <w:right w:val="single" w:color="0F0D29" w:sz="4" w:space="0"/>
            </w:tcBorders>
            <w:tcW w:w="3261" w:type="dxa"/>
            <w:vAlign w:val="center"/>
            <w:textDirection w:val="lrTb"/>
            <w:noWrap w:val="false"/>
          </w:tcPr>
          <w:p>
            <w:pPr>
              <w:pStyle w:val="1063"/>
              <w:jc w:val="center"/>
              <w:widowControl w:val="off"/>
            </w:pPr>
            <w:r>
              <w:rPr>
                <w:rFonts w:ascii="Arial Narrow" w:hAnsi="Arial Narrow"/>
                <w:sz w:val="20"/>
              </w:rPr>
              <w:t xml:space="preserve">15 986,365</w:t>
            </w:r>
            <w:r/>
          </w:p>
        </w:tc>
      </w:tr>
      <w:tr>
        <w:trPr>
          <w:trHeight w:val="277"/>
        </w:trPr>
        <w:tc>
          <w:tcPr>
            <w:tcBorders>
              <w:top w:val="single" w:color="0F0D29" w:sz="4" w:space="0"/>
              <w:left w:val="single" w:color="0F0D29" w:sz="4" w:space="0"/>
              <w:bottom w:val="single" w:color="0F0D29" w:sz="4" w:space="0"/>
              <w:right w:val="single" w:color="0F0D29" w:sz="4" w:space="0"/>
            </w:tcBorders>
            <w:tcW w:w="3401" w:type="dxa"/>
            <w:textDirection w:val="lrTb"/>
            <w:noWrap w:val="false"/>
          </w:tcPr>
          <w:p>
            <w:pPr>
              <w:pStyle w:val="1063"/>
              <w:jc w:val="center"/>
              <w:widowControl w:val="off"/>
            </w:pPr>
            <w:r>
              <w:rPr>
                <w:rFonts w:ascii="Arial Narrow" w:hAnsi="Arial Narrow" w:cs="Calibri"/>
                <w:bCs/>
                <w:sz w:val="20"/>
                <w:szCs w:val="20"/>
              </w:rPr>
              <w:t xml:space="preserve">твёрдые вещества (пыль)</w:t>
            </w:r>
            <w:r/>
          </w:p>
        </w:tc>
        <w:tc>
          <w:tcPr>
            <w:tcBorders>
              <w:top w:val="single" w:color="0F0D29" w:sz="4" w:space="0"/>
              <w:left w:val="single" w:color="0F0D29" w:sz="4" w:space="0"/>
              <w:bottom w:val="single" w:color="0F0D29" w:sz="4" w:space="0"/>
              <w:right w:val="single" w:color="0F0D29" w:sz="4" w:space="0"/>
            </w:tcBorders>
            <w:tcW w:w="3398" w:type="dxa"/>
            <w:vAlign w:val="center"/>
            <w:textDirection w:val="lrTb"/>
            <w:noWrap w:val="false"/>
          </w:tcPr>
          <w:p>
            <w:pPr>
              <w:pStyle w:val="1063"/>
              <w:jc w:val="center"/>
              <w:widowControl w:val="off"/>
            </w:pPr>
            <w:r>
              <w:rPr>
                <w:rFonts w:ascii="Arial Narrow" w:hAnsi="Arial Narrow"/>
                <w:sz w:val="20"/>
              </w:rPr>
              <w:t xml:space="preserve">96,418</w:t>
            </w:r>
            <w:r/>
          </w:p>
        </w:tc>
        <w:tc>
          <w:tcPr>
            <w:tcBorders>
              <w:top w:val="single" w:color="0F0D29" w:sz="4" w:space="0"/>
              <w:left w:val="single" w:color="0F0D29" w:sz="4" w:space="0"/>
              <w:bottom w:val="single" w:color="0F0D29" w:sz="4" w:space="0"/>
              <w:right w:val="single" w:color="0F0D29" w:sz="4" w:space="0"/>
            </w:tcBorders>
            <w:tcW w:w="3261" w:type="dxa"/>
            <w:vAlign w:val="center"/>
            <w:textDirection w:val="lrTb"/>
            <w:noWrap w:val="false"/>
          </w:tcPr>
          <w:p>
            <w:pPr>
              <w:pStyle w:val="1063"/>
              <w:jc w:val="center"/>
              <w:widowControl w:val="off"/>
            </w:pPr>
            <w:r>
              <w:rPr>
                <w:rFonts w:ascii="Arial Narrow" w:hAnsi="Arial Narrow"/>
                <w:sz w:val="20"/>
              </w:rPr>
              <w:t xml:space="preserve">1 114,925</w:t>
            </w:r>
            <w:r/>
          </w:p>
        </w:tc>
      </w:tr>
      <w:tr>
        <w:trPr>
          <w:trHeight w:val="283"/>
        </w:trPr>
        <w:tc>
          <w:tcPr>
            <w:tcBorders>
              <w:top w:val="single" w:color="0F0D29" w:sz="4" w:space="0"/>
              <w:left w:val="single" w:color="0F0D29" w:sz="4" w:space="0"/>
              <w:bottom w:val="single" w:color="0F0D29" w:sz="4" w:space="0"/>
              <w:right w:val="single" w:color="0F0D29" w:sz="4" w:space="0"/>
            </w:tcBorders>
            <w:tcW w:w="3401" w:type="dxa"/>
            <w:textDirection w:val="lrTb"/>
            <w:noWrap w:val="false"/>
          </w:tcPr>
          <w:p>
            <w:pPr>
              <w:pStyle w:val="1063"/>
              <w:jc w:val="center"/>
              <w:widowControl w:val="off"/>
            </w:pPr>
            <w:r>
              <w:rPr>
                <w:rFonts w:ascii="Arial Narrow" w:hAnsi="Arial Narrow" w:cs="Calibri"/>
                <w:bCs/>
                <w:sz w:val="20"/>
                <w:szCs w:val="20"/>
              </w:rPr>
              <w:t xml:space="preserve">газообразные (общий объем)</w:t>
            </w:r>
            <w:r/>
          </w:p>
        </w:tc>
        <w:tc>
          <w:tcPr>
            <w:tcBorders>
              <w:top w:val="single" w:color="0F0D29" w:sz="4" w:space="0"/>
              <w:left w:val="single" w:color="0F0D29" w:sz="4" w:space="0"/>
              <w:bottom w:val="single" w:color="0F0D29" w:sz="4" w:space="0"/>
              <w:right w:val="single" w:color="0F0D29" w:sz="4" w:space="0"/>
            </w:tcBorders>
            <w:tcW w:w="3398" w:type="dxa"/>
            <w:vAlign w:val="center"/>
            <w:textDirection w:val="lrTb"/>
            <w:noWrap w:val="false"/>
          </w:tcPr>
          <w:p>
            <w:pPr>
              <w:pStyle w:val="1063"/>
              <w:jc w:val="center"/>
              <w:widowControl w:val="off"/>
            </w:pPr>
            <w:r>
              <w:rPr>
                <w:rFonts w:ascii="Arial Narrow" w:hAnsi="Arial Narrow"/>
                <w:sz w:val="20"/>
              </w:rPr>
              <w:t xml:space="preserve">10 606,120</w:t>
            </w:r>
            <w:r/>
          </w:p>
        </w:tc>
        <w:tc>
          <w:tcPr>
            <w:tcBorders>
              <w:top w:val="single" w:color="0F0D29" w:sz="4" w:space="0"/>
              <w:left w:val="single" w:color="0F0D29" w:sz="4" w:space="0"/>
              <w:bottom w:val="single" w:color="0F0D29" w:sz="4" w:space="0"/>
              <w:right w:val="single" w:color="0F0D29" w:sz="4" w:space="0"/>
            </w:tcBorders>
            <w:tcW w:w="3261" w:type="dxa"/>
            <w:vAlign w:val="center"/>
            <w:textDirection w:val="lrTb"/>
            <w:noWrap w:val="false"/>
          </w:tcPr>
          <w:p>
            <w:pPr>
              <w:pStyle w:val="1063"/>
              <w:jc w:val="center"/>
              <w:widowControl w:val="off"/>
            </w:pPr>
            <w:r>
              <w:rPr>
                <w:rFonts w:ascii="Arial Narrow" w:hAnsi="Arial Narrow"/>
                <w:sz w:val="20"/>
              </w:rPr>
              <w:t xml:space="preserve">14 871,440</w:t>
            </w:r>
            <w:r/>
          </w:p>
        </w:tc>
      </w:tr>
    </w:tbl>
    <w:p>
      <w:pPr>
        <w:pStyle w:val="1063"/>
        <w:ind w:firstLine="142"/>
        <w:jc w:val="both"/>
        <w:tabs>
          <w:tab w:val="left" w:pos="566" w:leader="none"/>
          <w:tab w:val="left" w:pos="850" w:leader="none"/>
        </w:tabs>
        <w:rPr>
          <w:rFonts w:ascii="Arial Narrow" w:hAnsi="Arial Narrow" w:cs="Calibri"/>
          <w:color w:val="314e87"/>
        </w:rPr>
      </w:pPr>
      <w:r>
        <w:rPr>
          <w:rFonts w:ascii="Arial Narrow" w:hAnsi="Arial Narrow" w:cs="Calibri"/>
          <w:color w:val="314e87"/>
        </w:rPr>
      </w:r>
      <w:r>
        <w:rPr>
          <w:rFonts w:ascii="Arial Narrow" w:hAnsi="Arial Narrow" w:cs="Calibri"/>
          <w:color w:val="314e87"/>
        </w:rPr>
      </w:r>
      <w:r>
        <w:rPr>
          <w:rFonts w:ascii="Arial Narrow" w:hAnsi="Arial Narrow" w:cs="Calibri"/>
          <w:color w:val="314e87"/>
        </w:rPr>
      </w:r>
    </w:p>
    <w:p>
      <w:pPr>
        <w:pStyle w:val="1063"/>
        <w:jc w:val="both"/>
        <w:tabs>
          <w:tab w:val="left" w:pos="566" w:leader="none"/>
          <w:tab w:val="left" w:pos="850" w:leader="none"/>
        </w:tabs>
        <w:rPr>
          <w:b/>
        </w:rPr>
      </w:pPr>
      <w:r>
        <w:rPr>
          <w:rFonts w:ascii="Arial Narrow" w:hAnsi="Arial Narrow" w:cs="Calibri"/>
          <w:b/>
          <w:color w:val="314e87"/>
        </w:rPr>
        <w:t xml:space="preserve">Водопользование и водосброс</w:t>
      </w:r>
      <w:r>
        <w:rPr>
          <w:b/>
        </w:rPr>
      </w:r>
      <w:r>
        <w:rPr>
          <w:b/>
        </w:rPr>
      </w:r>
    </w:p>
    <w:p>
      <w:pPr>
        <w:pStyle w:val="1063"/>
        <w:ind w:firstLine="567"/>
        <w:jc w:val="both"/>
        <w:rPr>
          <w:rFonts w:ascii="Arial Narrow" w:hAnsi="Arial Narrow" w:cs="Calibri"/>
          <w:sz w:val="12"/>
          <w:szCs w:val="12"/>
        </w:rPr>
      </w:pPr>
      <w:r>
        <w:rPr>
          <w:rFonts w:ascii="Arial Narrow" w:hAnsi="Arial Narrow" w:cs="Calibri"/>
          <w:sz w:val="12"/>
          <w:szCs w:val="12"/>
        </w:rPr>
      </w:r>
      <w:r>
        <w:rPr>
          <w:rFonts w:ascii="Arial Narrow" w:hAnsi="Arial Narrow" w:cs="Calibri"/>
          <w:sz w:val="12"/>
          <w:szCs w:val="12"/>
        </w:rPr>
      </w:r>
      <w:r>
        <w:rPr>
          <w:rFonts w:ascii="Arial Narrow" w:hAnsi="Arial Narrow" w:cs="Calibri"/>
          <w:sz w:val="12"/>
          <w:szCs w:val="12"/>
        </w:rPr>
      </w:r>
    </w:p>
    <w:p>
      <w:pPr>
        <w:pStyle w:val="1063"/>
        <w:ind w:firstLine="567"/>
        <w:jc w:val="both"/>
      </w:pPr>
      <w:r>
        <w:rPr>
          <w:rFonts w:ascii="Arial Narrow" w:hAnsi="Arial Narrow" w:cs="Calibri"/>
        </w:rPr>
        <w:t xml:space="preserve">Общество использует в</w:t>
      </w:r>
      <w:r>
        <w:rPr>
          <w:rFonts w:ascii="Arial Narrow" w:hAnsi="Arial Narrow" w:cs="Calibri"/>
        </w:rPr>
        <w:t xml:space="preserve">одные объекты в строгом соответствии с требованиями законодательства Российской Федерации. Компания своевременно получает разрешительную документацию для осуществления водопользования и охраны водных объектов в соответствующих органах исполнительно власти.</w:t>
      </w:r>
      <w:r/>
    </w:p>
    <w:p>
      <w:pPr>
        <w:pStyle w:val="1063"/>
        <w:ind w:firstLine="567"/>
        <w:jc w:val="both"/>
      </w:pPr>
      <w:r>
        <w:rPr>
          <w:rFonts w:ascii="Arial Narrow" w:hAnsi="Arial Narrow" w:cs="Calibri"/>
        </w:rPr>
        <w:t xml:space="preserve">П</w:t>
      </w:r>
      <w:r>
        <w:rPr>
          <w:rFonts w:ascii="Arial Narrow" w:hAnsi="Arial Narrow" w:cs="Calibri"/>
        </w:rPr>
        <w:t xml:space="preserve">АО «Камчатскэнерго» осуществляет забор воды из поверхностных источников: реки Мильковка, Авачинской губы, озера Халактырское, ручей Дорожный, реки Паужетка, реки Толмачева, из подземных источников и получает воду через системы муниципального водоснабжения.</w:t>
      </w:r>
      <w:r/>
    </w:p>
    <w:p>
      <w:pPr>
        <w:pStyle w:val="1063"/>
        <w:ind w:firstLine="567"/>
        <w:jc w:val="both"/>
      </w:pPr>
      <w:r>
        <w:rPr>
          <w:rFonts w:ascii="Arial Narrow" w:hAnsi="Arial Narrow" w:cs="Calibri"/>
        </w:rPr>
        <w:t xml:space="preserve">Объем использования (с изъятием) водных ресурсов из поверхностных (подземных) источников и водоканалов в 2024 году уменьшился относительно 2023 года на 2 001,61 тыс. м 3.  </w:t>
      </w:r>
      <w:r/>
    </w:p>
    <w:p>
      <w:pPr>
        <w:pStyle w:val="1063"/>
        <w:rPr>
          <w:rFonts w:ascii="Arial Narrow" w:hAnsi="Arial Narrow"/>
          <w:i/>
          <w:color w:val="002060"/>
        </w:rPr>
      </w:pPr>
      <w:r>
        <w:rPr>
          <w:rFonts w:ascii="Arial Narrow" w:hAnsi="Arial Narrow"/>
          <w:i/>
          <w:color w:val="002060"/>
        </w:rPr>
      </w:r>
      <w:r>
        <w:rPr>
          <w:rFonts w:ascii="Arial Narrow" w:hAnsi="Arial Narrow"/>
          <w:i/>
          <w:color w:val="002060"/>
        </w:rPr>
      </w:r>
      <w:r>
        <w:rPr>
          <w:rFonts w:ascii="Arial Narrow" w:hAnsi="Arial Narrow"/>
          <w:i/>
          <w:color w:val="002060"/>
        </w:rPr>
      </w:r>
    </w:p>
    <w:p>
      <w:pPr>
        <w:pStyle w:val="1063"/>
        <w:jc w:val="center"/>
      </w:pPr>
      <w:r>
        <w:rPr>
          <w:lang w:eastAsia="ru-RU"/>
        </w:rPr>
        <mc:AlternateContent>
          <mc:Choice Requires="wpg">
            <w:drawing>
              <wp:anchor xmlns:wp="http://schemas.openxmlformats.org/drawingml/2006/wordprocessingDrawing" xmlns:wp14="http://schemas.microsoft.com/office/word/2010/wordprocessingDrawing" distT="0" distB="0" distL="114300" distR="114300" simplePos="0" relativeHeight="251676672" behindDoc="0" locked="0" layoutInCell="0" allowOverlap="1">
                <wp:simplePos x="0" y="0"/>
                <wp:positionH relativeFrom="margin">
                  <wp:posOffset>2760345</wp:posOffset>
                </wp:positionH>
                <wp:positionV relativeFrom="paragraph">
                  <wp:posOffset>7620</wp:posOffset>
                </wp:positionV>
                <wp:extent cx="2782570" cy="1783080"/>
                <wp:effectExtent l="0" t="0" r="0" b="0"/>
                <wp:wrapSquare wrapText="bothSides"/>
                <wp:docPr id="8" name="Изображение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Изображение6"/>
                        <pic:cNvPicPr>
                          <a:picLocks noChangeAspect="1"/>
                        </pic:cNvPicPr>
                        <pic:nvPr/>
                      </pic:nvPicPr>
                      <pic:blipFill>
                        <a:blip r:embed="rId18"/>
                        <a:stretch/>
                      </pic:blipFill>
                      <pic:spPr bwMode="auto">
                        <a:xfrm>
                          <a:off x="0" y="0"/>
                          <a:ext cx="2782569" cy="1783080"/>
                        </a:xfrm>
                        <a:prstGeom prst="rect">
                          <a:avLst/>
                        </a:prstGeom>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7" o:spid="_x0000_s7" type="#_x0000_t75" style="position:absolute;z-index:251676672;o:allowoverlap:true;o:allowincell:false;mso-position-horizontal-relative:margin;margin-left:217.35pt;mso-position-horizontal:absolute;mso-position-vertical-relative:text;margin-top:0.60pt;mso-position-vertical:absolute;width:219.10pt;height:140.40pt;mso-wrap-distance-left:9.00pt;mso-wrap-distance-top:0.00pt;mso-wrap-distance-right:9.00pt;mso-wrap-distance-bottom:0.00pt;" stroked="false">
                <v:path textboxrect="0,0,0,0"/>
                <w10:wrap type="square"/>
                <v:imagedata r:id="rId18" o:title=""/>
              </v:shape>
            </w:pict>
          </mc:Fallback>
        </mc:AlternateContent>
      </w:r>
      <w:r>
        <w:rPr>
          <w:rFonts w:ascii="Arial Narrow" w:hAnsi="Arial Narrow"/>
          <w:i/>
          <w:color w:val="002060"/>
        </w:rPr>
        <w:t xml:space="preserve">Динамика сбросов загрязненных вод</w:t>
      </w:r>
      <w:r/>
    </w:p>
    <w:p>
      <w:pPr>
        <w:pStyle w:val="1063"/>
        <w:jc w:val="center"/>
        <w:rPr>
          <w:rFonts w:ascii="Arial Narrow" w:hAnsi="Arial Narrow"/>
          <w:i/>
          <w:color w:val="000000"/>
        </w:rPr>
      </w:pPr>
      <w:r>
        <w:rPr>
          <w:rFonts w:ascii="Arial Narrow" w:hAnsi="Arial Narrow"/>
          <w:i/>
          <w:color w:val="000000"/>
        </w:rPr>
      </w:r>
      <w:r>
        <w:rPr>
          <w:rFonts w:ascii="Arial Narrow" w:hAnsi="Arial Narrow"/>
          <w:i/>
          <w:color w:val="000000"/>
        </w:rPr>
      </w:r>
      <w:r>
        <w:rPr>
          <w:rFonts w:ascii="Arial Narrow" w:hAnsi="Arial Narrow"/>
          <w:i/>
          <w:color w:val="000000"/>
        </w:rPr>
      </w:r>
    </w:p>
    <w:p>
      <w:pPr>
        <w:rPr>
          <w:rFonts w:ascii="Arial Narrow" w:hAnsi="Arial Narrow" w:cs="Calibri"/>
          <w:color w:val="314e87"/>
          <w:sz w:val="24"/>
          <w:szCs w:val="24"/>
        </w:rPr>
      </w:pPr>
      <w:r>
        <w:rPr>
          <w:rFonts w:ascii="Arial Narrow" w:hAnsi="Arial Narrow" w:cs="Calibri"/>
          <w:color w:val="314e87"/>
          <w:sz w:val="24"/>
          <w:szCs w:val="24"/>
        </w:rPr>
      </w:r>
      <w:r>
        <w:rPr>
          <w:rFonts w:ascii="Arial Narrow" w:hAnsi="Arial Narrow" w:cs="Calibri"/>
          <w:color w:val="314e87"/>
          <w:sz w:val="24"/>
          <w:szCs w:val="24"/>
        </w:rPr>
      </w:r>
      <w:r>
        <w:rPr>
          <w:rFonts w:ascii="Arial Narrow" w:hAnsi="Arial Narrow" w:cs="Calibri"/>
          <w:color w:val="314e87"/>
          <w:sz w:val="24"/>
          <w:szCs w:val="24"/>
        </w:rPr>
      </w:r>
    </w:p>
    <w:p>
      <w:pPr>
        <w:rPr>
          <w:rFonts w:ascii="Arial Narrow" w:hAnsi="Arial Narrow" w:cs="Calibri"/>
          <w:color w:val="314e87"/>
          <w:sz w:val="24"/>
          <w:szCs w:val="24"/>
        </w:rPr>
      </w:pPr>
      <w:r>
        <w:rPr>
          <w:rFonts w:ascii="Arial Narrow" w:hAnsi="Arial Narrow" w:cs="Calibri"/>
          <w:color w:val="314e87"/>
          <w:sz w:val="24"/>
          <w:szCs w:val="24"/>
        </w:rPr>
      </w:r>
      <w:r>
        <w:rPr>
          <w:rFonts w:ascii="Arial Narrow" w:hAnsi="Arial Narrow" w:cs="Calibri"/>
          <w:color w:val="314e87"/>
          <w:sz w:val="24"/>
          <w:szCs w:val="24"/>
        </w:rPr>
      </w:r>
      <w:r>
        <w:rPr>
          <w:rFonts w:ascii="Arial Narrow" w:hAnsi="Arial Narrow" w:cs="Calibri"/>
          <w:color w:val="314e87"/>
          <w:sz w:val="24"/>
          <w:szCs w:val="24"/>
        </w:rPr>
      </w:r>
    </w:p>
    <w:p>
      <w:pPr>
        <w:rPr>
          <w:rFonts w:ascii="Arial Narrow" w:hAnsi="Arial Narrow" w:cs="Calibri"/>
          <w:color w:val="314e87"/>
          <w:sz w:val="24"/>
          <w:szCs w:val="24"/>
        </w:rPr>
      </w:pPr>
      <w:r>
        <w:rPr>
          <w:rFonts w:ascii="Arial Narrow" w:hAnsi="Arial Narrow" w:cs="Calibri"/>
          <w:color w:val="314e87"/>
          <w:sz w:val="24"/>
          <w:szCs w:val="24"/>
        </w:rPr>
      </w:r>
      <w:r>
        <w:rPr>
          <w:rFonts w:ascii="Arial Narrow" w:hAnsi="Arial Narrow" w:cs="Calibri"/>
          <w:color w:val="314e87"/>
          <w:sz w:val="24"/>
          <w:szCs w:val="24"/>
        </w:rPr>
      </w:r>
      <w:r>
        <w:rPr>
          <w:rFonts w:ascii="Arial Narrow" w:hAnsi="Arial Narrow" w:cs="Calibri"/>
          <w:color w:val="314e87"/>
          <w:sz w:val="24"/>
          <w:szCs w:val="24"/>
        </w:rPr>
      </w:r>
    </w:p>
    <w:p>
      <w:pPr>
        <w:rPr>
          <w:rFonts w:ascii="Arial Narrow" w:hAnsi="Arial Narrow" w:cs="Calibri"/>
          <w:color w:val="314e87"/>
          <w:sz w:val="24"/>
          <w:szCs w:val="24"/>
        </w:rPr>
      </w:pPr>
      <w:r>
        <w:rPr>
          <w:rFonts w:ascii="Arial Narrow" w:hAnsi="Arial Narrow" w:cs="Calibri"/>
          <w:color w:val="314e87"/>
          <w:sz w:val="24"/>
          <w:szCs w:val="24"/>
        </w:rPr>
      </w:r>
      <w:r>
        <w:rPr>
          <w:rFonts w:ascii="Arial Narrow" w:hAnsi="Arial Narrow" w:cs="Calibri"/>
          <w:color w:val="314e87"/>
          <w:sz w:val="24"/>
          <w:szCs w:val="24"/>
        </w:rPr>
      </w:r>
      <w:r>
        <w:rPr>
          <w:rFonts w:ascii="Arial Narrow" w:hAnsi="Arial Narrow" w:cs="Calibri"/>
          <w:color w:val="314e87"/>
          <w:sz w:val="24"/>
          <w:szCs w:val="24"/>
        </w:rPr>
      </w:r>
    </w:p>
    <w:p>
      <w:pPr>
        <w:rPr>
          <w:rFonts w:ascii="Arial Narrow" w:hAnsi="Arial Narrow" w:cs="Calibri"/>
          <w:color w:val="314e87"/>
          <w:sz w:val="24"/>
          <w:szCs w:val="24"/>
        </w:rPr>
      </w:pPr>
      <w:r>
        <w:rPr>
          <w:rFonts w:ascii="Arial Narrow" w:hAnsi="Arial Narrow" w:cs="Calibri"/>
          <w:color w:val="314e87"/>
          <w:sz w:val="24"/>
          <w:szCs w:val="24"/>
        </w:rPr>
      </w:r>
      <w:r>
        <w:rPr>
          <w:rFonts w:ascii="Arial Narrow" w:hAnsi="Arial Narrow" w:cs="Calibri"/>
          <w:color w:val="314e87"/>
          <w:sz w:val="24"/>
          <w:szCs w:val="24"/>
        </w:rPr>
      </w:r>
      <w:r>
        <w:rPr>
          <w:rFonts w:ascii="Arial Narrow" w:hAnsi="Arial Narrow" w:cs="Calibri"/>
          <w:color w:val="314e87"/>
          <w:sz w:val="24"/>
          <w:szCs w:val="24"/>
        </w:rPr>
      </w:r>
    </w:p>
    <w:p>
      <w:pPr>
        <w:rPr>
          <w:rFonts w:ascii="Arial Narrow" w:hAnsi="Arial Narrow" w:cs="Calibri"/>
          <w:color w:val="314e87"/>
          <w:sz w:val="24"/>
          <w:szCs w:val="24"/>
        </w:rPr>
      </w:pPr>
      <w:r>
        <w:rPr>
          <w:rFonts w:ascii="Arial Narrow" w:hAnsi="Arial Narrow" w:cs="Calibri"/>
          <w:color w:val="314e87"/>
          <w:sz w:val="24"/>
          <w:szCs w:val="24"/>
        </w:rPr>
      </w:r>
      <w:r>
        <w:rPr>
          <w:rFonts w:ascii="Arial Narrow" w:hAnsi="Arial Narrow" w:cs="Calibri"/>
          <w:color w:val="314e87"/>
          <w:sz w:val="24"/>
          <w:szCs w:val="24"/>
        </w:rPr>
      </w:r>
      <w:r>
        <w:rPr>
          <w:rFonts w:ascii="Arial Narrow" w:hAnsi="Arial Narrow" w:cs="Calibri"/>
          <w:color w:val="314e87"/>
          <w:sz w:val="24"/>
          <w:szCs w:val="24"/>
        </w:rPr>
      </w:r>
    </w:p>
    <w:p>
      <w:pPr>
        <w:rPr>
          <w:rFonts w:ascii="Arial Narrow" w:hAnsi="Arial Narrow" w:eastAsia="Arial" w:cs="Calibri"/>
          <w:b/>
          <w:color w:val="314e87"/>
          <w:sz w:val="24"/>
          <w:szCs w:val="24"/>
          <w:lang w:eastAsia="en-US"/>
        </w:rPr>
      </w:pPr>
      <w:r>
        <w:br w:type="page" w:clear="all"/>
      </w:r>
      <w:r>
        <w:rPr>
          <w:rFonts w:ascii="Arial Narrow" w:hAnsi="Arial Narrow" w:eastAsia="Arial" w:cs="Calibri"/>
          <w:b/>
          <w:color w:val="314e87"/>
          <w:sz w:val="24"/>
          <w:szCs w:val="24"/>
          <w:lang w:eastAsia="en-US"/>
        </w:rPr>
      </w:r>
      <w:r>
        <w:rPr>
          <w:rFonts w:ascii="Arial Narrow" w:hAnsi="Arial Narrow" w:eastAsia="Arial" w:cs="Calibri"/>
          <w:b/>
          <w:color w:val="314e87"/>
          <w:sz w:val="24"/>
          <w:szCs w:val="24"/>
          <w:lang w:eastAsia="en-US"/>
        </w:rPr>
      </w:r>
    </w:p>
    <w:p>
      <w:pPr>
        <w:pStyle w:val="1063"/>
        <w:jc w:val="both"/>
        <w:tabs>
          <w:tab w:val="left" w:pos="566" w:leader="none"/>
          <w:tab w:val="left" w:pos="850" w:leader="none"/>
        </w:tabs>
        <w:rPr>
          <w:b/>
        </w:rPr>
      </w:pPr>
      <w:r>
        <w:rPr>
          <w:rFonts w:ascii="Arial Narrow" w:hAnsi="Arial Narrow" w:cs="Calibri"/>
          <w:b/>
          <w:color w:val="314e87"/>
        </w:rPr>
        <w:t xml:space="preserve">Сведения о водопотреблении</w:t>
      </w:r>
      <w:r>
        <w:rPr>
          <w:b/>
        </w:rPr>
      </w:r>
      <w:r>
        <w:rPr>
          <w:b/>
        </w:rPr>
      </w:r>
    </w:p>
    <w:p>
      <w:pPr>
        <w:pStyle w:val="1063"/>
        <w:ind w:firstLine="142"/>
        <w:jc w:val="right"/>
        <w:tabs>
          <w:tab w:val="left" w:pos="566" w:leader="none"/>
          <w:tab w:val="left" w:pos="850" w:leader="none"/>
        </w:tabs>
        <w:rPr>
          <w:sz w:val="12"/>
          <w:szCs w:val="12"/>
          <w:lang w:val="en-US"/>
        </w:rPr>
      </w:pPr>
      <w:r>
        <w:rPr>
          <w:rFonts w:ascii="Arial Narrow" w:hAnsi="Arial Narrow" w:eastAsia="Calibri" w:cs="Calibri"/>
          <w:i/>
          <w:lang w:eastAsia="ja-JP"/>
        </w:rPr>
        <w:t xml:space="preserve">Таблица № 46</w:t>
      </w:r>
      <w:r>
        <w:rPr>
          <w:sz w:val="12"/>
          <w:szCs w:val="12"/>
          <w:lang w:val="en-US"/>
        </w:rPr>
      </w:r>
      <w:r>
        <w:rPr>
          <w:sz w:val="12"/>
          <w:szCs w:val="12"/>
          <w:lang w:val="en-US"/>
        </w:rPr>
      </w:r>
    </w:p>
    <w:tbl>
      <w:tblPr>
        <w:tblW w:w="9962" w:type="dxa"/>
        <w:tblInd w:w="211" w:type="dxa"/>
        <w:tblLayout w:type="fixed"/>
        <w:tblLook w:val="04A0" w:firstRow="1" w:lastRow="0" w:firstColumn="1" w:lastColumn="0" w:noHBand="0" w:noVBand="1"/>
      </w:tblPr>
      <w:tblGrid>
        <w:gridCol w:w="6061"/>
        <w:gridCol w:w="3901"/>
      </w:tblGrid>
      <w:tr>
        <w:trPr>
          <w:trHeight w:val="45"/>
          <w:tblHeader/>
        </w:trPr>
        <w:tc>
          <w:tcPr>
            <w:tcBorders>
              <w:top w:val="single" w:color="000000" w:sz="4" w:space="0"/>
              <w:left w:val="single" w:color="000000" w:sz="4" w:space="0"/>
              <w:bottom w:val="single" w:color="000000" w:sz="4" w:space="0"/>
              <w:right w:val="single" w:color="000000" w:sz="4" w:space="0"/>
            </w:tcBorders>
            <w:tcW w:w="6061" w:type="dxa"/>
            <w:vAlign w:val="bottom"/>
            <w:textDirection w:val="lrTb"/>
            <w:noWrap w:val="false"/>
          </w:tcPr>
          <w:p>
            <w:pPr>
              <w:pStyle w:val="1063"/>
              <w:jc w:val="center"/>
              <w:widowControl w:val="off"/>
              <w:rPr>
                <w:sz w:val="20"/>
                <w:szCs w:val="20"/>
              </w:rPr>
            </w:pPr>
            <w:r>
              <w:rPr>
                <w:rFonts w:ascii="Arial Narrow" w:hAnsi="Arial Narrow" w:cs="Calibri"/>
                <w:sz w:val="20"/>
                <w:szCs w:val="20"/>
              </w:rPr>
              <w:t xml:space="preserve">Наименование источника водопотребления</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901" w:type="dxa"/>
            <w:vAlign w:val="bottom"/>
            <w:textDirection w:val="lrTb"/>
            <w:noWrap w:val="false"/>
          </w:tcPr>
          <w:p>
            <w:pPr>
              <w:pStyle w:val="1063"/>
              <w:jc w:val="center"/>
              <w:widowControl w:val="off"/>
              <w:rPr>
                <w:sz w:val="20"/>
                <w:szCs w:val="20"/>
              </w:rPr>
            </w:pPr>
            <w:r>
              <w:rPr>
                <w:rFonts w:ascii="Arial Narrow" w:hAnsi="Arial Narrow" w:cs="Calibri"/>
                <w:sz w:val="20"/>
                <w:szCs w:val="20"/>
              </w:rPr>
              <w:t xml:space="preserve">Забрано, всего (тыс. м3/год)</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6061"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Забрано, получено всего</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901" w:type="dxa"/>
            <w:vAlign w:val="center"/>
            <w:textDirection w:val="lrTb"/>
            <w:noWrap w:val="false"/>
          </w:tcPr>
          <w:p>
            <w:pPr>
              <w:pStyle w:val="1063"/>
              <w:jc w:val="right"/>
              <w:widowControl w:val="off"/>
              <w:rPr>
                <w:sz w:val="20"/>
                <w:szCs w:val="20"/>
              </w:rPr>
            </w:pPr>
            <w:r>
              <w:rPr>
                <w:rFonts w:ascii="Arial Narrow" w:hAnsi="Arial Narrow"/>
                <w:bCs/>
                <w:sz w:val="20"/>
                <w:szCs w:val="20"/>
              </w:rPr>
              <w:t xml:space="preserve">93 417,91</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6061"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ТЭЦ-1</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901" w:type="dxa"/>
            <w:vAlign w:val="center"/>
            <w:textDirection w:val="lrTb"/>
            <w:noWrap w:val="false"/>
          </w:tcPr>
          <w:p>
            <w:pPr>
              <w:pStyle w:val="1063"/>
              <w:jc w:val="right"/>
              <w:widowControl w:val="off"/>
              <w:rPr>
                <w:sz w:val="20"/>
                <w:szCs w:val="20"/>
              </w:rPr>
            </w:pPr>
            <w:r>
              <w:rPr>
                <w:rFonts w:ascii="Arial Narrow" w:hAnsi="Arial Narrow"/>
                <w:sz w:val="20"/>
                <w:szCs w:val="20"/>
              </w:rPr>
              <w:t xml:space="preserve">31 644,40</w:t>
            </w:r>
            <w:r>
              <w:rPr>
                <w:sz w:val="20"/>
                <w:szCs w:val="20"/>
              </w:rPr>
            </w:r>
            <w:r>
              <w:rPr>
                <w:sz w:val="20"/>
                <w:szCs w:val="20"/>
              </w:rPr>
            </w:r>
          </w:p>
        </w:tc>
      </w:tr>
      <w:tr>
        <w:trPr>
          <w:trHeight w:val="300"/>
        </w:trPr>
        <w:tc>
          <w:tcPr>
            <w:tcBorders>
              <w:top w:val="single" w:color="000000" w:sz="4" w:space="0"/>
              <w:left w:val="single" w:color="000000" w:sz="4" w:space="0"/>
              <w:bottom w:val="single" w:color="000000" w:sz="4" w:space="0"/>
              <w:right w:val="single" w:color="000000" w:sz="4" w:space="0"/>
            </w:tcBorders>
            <w:tcW w:w="6061"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ТЭЦ-2</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901" w:type="dxa"/>
            <w:vAlign w:val="center"/>
            <w:textDirection w:val="lrTb"/>
            <w:noWrap w:val="false"/>
          </w:tcPr>
          <w:p>
            <w:pPr>
              <w:pStyle w:val="1063"/>
              <w:jc w:val="right"/>
              <w:widowControl w:val="off"/>
              <w:rPr>
                <w:sz w:val="20"/>
                <w:szCs w:val="20"/>
              </w:rPr>
            </w:pPr>
            <w:r>
              <w:rPr>
                <w:rFonts w:ascii="Arial Narrow" w:hAnsi="Arial Narrow"/>
                <w:sz w:val="20"/>
                <w:szCs w:val="20"/>
              </w:rPr>
              <w:t xml:space="preserve">47 739,03</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6061"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ЦЭС</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901" w:type="dxa"/>
            <w:vAlign w:val="center"/>
            <w:textDirection w:val="lrTb"/>
            <w:noWrap w:val="false"/>
          </w:tcPr>
          <w:p>
            <w:pPr>
              <w:pStyle w:val="1063"/>
              <w:jc w:val="right"/>
              <w:widowControl w:val="off"/>
              <w:rPr>
                <w:sz w:val="20"/>
                <w:szCs w:val="20"/>
              </w:rPr>
            </w:pPr>
            <w:r>
              <w:rPr>
                <w:rFonts w:ascii="Arial Narrow" w:hAnsi="Arial Narrow"/>
                <w:sz w:val="20"/>
                <w:szCs w:val="20"/>
              </w:rPr>
              <w:t xml:space="preserve">141,40</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6061"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Коммунальная энергетика</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901" w:type="dxa"/>
            <w:vAlign w:val="center"/>
            <w:textDirection w:val="lrTb"/>
            <w:noWrap w:val="false"/>
          </w:tcPr>
          <w:p>
            <w:pPr>
              <w:pStyle w:val="1063"/>
              <w:jc w:val="right"/>
              <w:widowControl w:val="off"/>
              <w:rPr>
                <w:sz w:val="20"/>
                <w:szCs w:val="20"/>
              </w:rPr>
            </w:pPr>
            <w:r>
              <w:rPr>
                <w:rFonts w:ascii="Arial Narrow" w:hAnsi="Arial Narrow"/>
                <w:sz w:val="20"/>
                <w:szCs w:val="20"/>
              </w:rPr>
              <w:t xml:space="preserve">2 078,85</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6061"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Возобновляемая энергетика</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901" w:type="dxa"/>
            <w:vAlign w:val="center"/>
            <w:textDirection w:val="lrTb"/>
            <w:noWrap w:val="false"/>
          </w:tcPr>
          <w:p>
            <w:pPr>
              <w:pStyle w:val="1063"/>
              <w:jc w:val="right"/>
              <w:widowControl w:val="off"/>
              <w:rPr>
                <w:sz w:val="20"/>
                <w:szCs w:val="20"/>
              </w:rPr>
            </w:pPr>
            <w:r>
              <w:rPr>
                <w:rFonts w:ascii="Arial Narrow" w:hAnsi="Arial Narrow"/>
                <w:sz w:val="20"/>
                <w:szCs w:val="20"/>
              </w:rPr>
              <w:t xml:space="preserve">11 814,23</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6061"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Из поверхностных источников</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901" w:type="dxa"/>
            <w:vAlign w:val="center"/>
            <w:textDirection w:val="lrTb"/>
            <w:noWrap w:val="false"/>
          </w:tcPr>
          <w:p>
            <w:pPr>
              <w:pStyle w:val="1063"/>
              <w:jc w:val="right"/>
              <w:widowControl w:val="off"/>
              <w:rPr>
                <w:sz w:val="20"/>
                <w:szCs w:val="20"/>
              </w:rPr>
            </w:pPr>
            <w:r>
              <w:rPr>
                <w:rFonts w:ascii="Arial Narrow" w:hAnsi="Arial Narrow"/>
                <w:bCs/>
                <w:sz w:val="20"/>
                <w:szCs w:val="20"/>
              </w:rPr>
              <w:t xml:space="preserve">86 667,78</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6061"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ТЭЦ-1  (Авачинская губа)</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901" w:type="dxa"/>
            <w:vAlign w:val="center"/>
            <w:textDirection w:val="lrTb"/>
            <w:noWrap w:val="false"/>
          </w:tcPr>
          <w:p>
            <w:pPr>
              <w:pStyle w:val="1063"/>
              <w:jc w:val="right"/>
              <w:widowControl w:val="off"/>
              <w:rPr>
                <w:sz w:val="20"/>
                <w:szCs w:val="20"/>
              </w:rPr>
            </w:pPr>
            <w:r>
              <w:rPr>
                <w:rFonts w:ascii="Arial Narrow" w:hAnsi="Arial Narrow"/>
                <w:sz w:val="20"/>
                <w:szCs w:val="20"/>
              </w:rPr>
              <w:t xml:space="preserve">28 190,00</w:t>
            </w:r>
            <w:r>
              <w:rPr>
                <w:sz w:val="20"/>
                <w:szCs w:val="20"/>
              </w:rPr>
            </w:r>
            <w:r>
              <w:rPr>
                <w:sz w:val="20"/>
                <w:szCs w:val="20"/>
              </w:rPr>
            </w:r>
          </w:p>
        </w:tc>
      </w:tr>
      <w:tr>
        <w:trPr>
          <w:trHeight w:val="300"/>
        </w:trPr>
        <w:tc>
          <w:tcPr>
            <w:tcBorders>
              <w:top w:val="single" w:color="000000" w:sz="4" w:space="0"/>
              <w:left w:val="single" w:color="000000" w:sz="4" w:space="0"/>
              <w:bottom w:val="single" w:color="000000" w:sz="4" w:space="0"/>
              <w:right w:val="single" w:color="000000" w:sz="4" w:space="0"/>
            </w:tcBorders>
            <w:tcW w:w="6061"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ТЭЦ-2 (оз. Халактырское,  р. Дорожный)</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901" w:type="dxa"/>
            <w:vAlign w:val="center"/>
            <w:textDirection w:val="lrTb"/>
            <w:noWrap w:val="false"/>
          </w:tcPr>
          <w:p>
            <w:pPr>
              <w:pStyle w:val="1063"/>
              <w:jc w:val="right"/>
              <w:widowControl w:val="off"/>
              <w:rPr>
                <w:sz w:val="20"/>
                <w:szCs w:val="20"/>
              </w:rPr>
            </w:pPr>
            <w:r>
              <w:rPr>
                <w:rFonts w:ascii="Arial Narrow" w:hAnsi="Arial Narrow"/>
                <w:sz w:val="20"/>
                <w:szCs w:val="20"/>
              </w:rPr>
              <w:t xml:space="preserve">47 739,03</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6061"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ЦЭС (р. Мильковка)</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901" w:type="dxa"/>
            <w:vAlign w:val="center"/>
            <w:textDirection w:val="lrTb"/>
            <w:noWrap w:val="false"/>
          </w:tcPr>
          <w:p>
            <w:pPr>
              <w:pStyle w:val="1063"/>
              <w:jc w:val="right"/>
              <w:widowControl w:val="off"/>
              <w:rPr>
                <w:sz w:val="20"/>
                <w:szCs w:val="20"/>
              </w:rPr>
            </w:pPr>
            <w:r>
              <w:rPr>
                <w:rFonts w:ascii="Arial Narrow" w:hAnsi="Arial Narrow"/>
                <w:sz w:val="20"/>
                <w:szCs w:val="20"/>
              </w:rPr>
              <w:t xml:space="preserve">0,18</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6061"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Возобновляемая энергетика (р. Паужетка, р. Толмачёва)</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901" w:type="dxa"/>
            <w:vAlign w:val="center"/>
            <w:textDirection w:val="lrTb"/>
            <w:noWrap w:val="false"/>
          </w:tcPr>
          <w:p>
            <w:pPr>
              <w:pStyle w:val="1063"/>
              <w:jc w:val="right"/>
              <w:widowControl w:val="off"/>
              <w:rPr>
                <w:sz w:val="20"/>
                <w:szCs w:val="20"/>
              </w:rPr>
            </w:pPr>
            <w:r>
              <w:rPr>
                <w:rFonts w:ascii="Arial Narrow" w:hAnsi="Arial Narrow"/>
                <w:sz w:val="20"/>
                <w:szCs w:val="20"/>
              </w:rPr>
              <w:t xml:space="preserve">10 738,57</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6061"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Из подземных источников</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901" w:type="dxa"/>
            <w:vAlign w:val="center"/>
            <w:textDirection w:val="lrTb"/>
            <w:noWrap w:val="false"/>
          </w:tcPr>
          <w:p>
            <w:pPr>
              <w:pStyle w:val="1063"/>
              <w:jc w:val="right"/>
              <w:widowControl w:val="off"/>
              <w:rPr>
                <w:sz w:val="20"/>
                <w:szCs w:val="20"/>
              </w:rPr>
            </w:pPr>
            <w:r>
              <w:rPr>
                <w:rFonts w:ascii="Arial Narrow" w:hAnsi="Arial Narrow"/>
                <w:bCs/>
                <w:sz w:val="20"/>
                <w:szCs w:val="20"/>
              </w:rPr>
              <w:t xml:space="preserve">461,88</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6061"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ТЭЦ-2</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901" w:type="dxa"/>
            <w:vAlign w:val="center"/>
            <w:textDirection w:val="lrTb"/>
            <w:noWrap w:val="false"/>
          </w:tcPr>
          <w:p>
            <w:pPr>
              <w:pStyle w:val="1063"/>
              <w:jc w:val="right"/>
              <w:widowControl w:val="off"/>
              <w:rPr>
                <w:sz w:val="20"/>
                <w:szCs w:val="20"/>
              </w:rPr>
            </w:pPr>
            <w:r>
              <w:rPr>
                <w:rFonts w:ascii="Arial Narrow" w:hAnsi="Arial Narrow"/>
                <w:sz w:val="20"/>
                <w:szCs w:val="20"/>
              </w:rPr>
              <w:t xml:space="preserve">0,00</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6061"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ЦЭС</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901" w:type="dxa"/>
            <w:vAlign w:val="center"/>
            <w:textDirection w:val="lrTb"/>
            <w:noWrap w:val="false"/>
          </w:tcPr>
          <w:p>
            <w:pPr>
              <w:pStyle w:val="1063"/>
              <w:jc w:val="right"/>
              <w:widowControl w:val="off"/>
              <w:rPr>
                <w:sz w:val="20"/>
                <w:szCs w:val="20"/>
              </w:rPr>
            </w:pPr>
            <w:r>
              <w:rPr>
                <w:rFonts w:ascii="Arial Narrow" w:hAnsi="Arial Narrow"/>
                <w:sz w:val="20"/>
                <w:szCs w:val="20"/>
              </w:rPr>
              <w:t xml:space="preserve">1,42</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6061"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Коммунальная энергетика</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901" w:type="dxa"/>
            <w:vAlign w:val="center"/>
            <w:textDirection w:val="lrTb"/>
            <w:noWrap w:val="false"/>
          </w:tcPr>
          <w:p>
            <w:pPr>
              <w:pStyle w:val="1063"/>
              <w:jc w:val="right"/>
              <w:widowControl w:val="off"/>
              <w:rPr>
                <w:sz w:val="20"/>
                <w:szCs w:val="20"/>
              </w:rPr>
            </w:pPr>
            <w:r>
              <w:rPr>
                <w:rFonts w:ascii="Arial Narrow" w:hAnsi="Arial Narrow"/>
                <w:sz w:val="20"/>
                <w:szCs w:val="20"/>
              </w:rPr>
              <w:t xml:space="preserve">24,84</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6061"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Возобновляемая энергетика</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901" w:type="dxa"/>
            <w:vAlign w:val="center"/>
            <w:textDirection w:val="lrTb"/>
            <w:noWrap w:val="false"/>
          </w:tcPr>
          <w:p>
            <w:pPr>
              <w:pStyle w:val="1063"/>
              <w:jc w:val="right"/>
              <w:widowControl w:val="off"/>
              <w:rPr>
                <w:sz w:val="20"/>
                <w:szCs w:val="20"/>
              </w:rPr>
            </w:pPr>
            <w:r>
              <w:rPr>
                <w:rFonts w:ascii="Arial Narrow" w:hAnsi="Arial Narrow"/>
                <w:sz w:val="20"/>
                <w:szCs w:val="20"/>
              </w:rPr>
              <w:t xml:space="preserve">435,62</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6061"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От других предприятий (термальная вода)</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901" w:type="dxa"/>
            <w:vAlign w:val="center"/>
            <w:textDirection w:val="lrTb"/>
            <w:noWrap w:val="false"/>
          </w:tcPr>
          <w:p>
            <w:pPr>
              <w:pStyle w:val="1063"/>
              <w:jc w:val="right"/>
              <w:widowControl w:val="off"/>
              <w:rPr>
                <w:sz w:val="20"/>
                <w:szCs w:val="20"/>
              </w:rPr>
            </w:pPr>
            <w:r>
              <w:rPr>
                <w:rFonts w:ascii="Arial Narrow" w:hAnsi="Arial Narrow"/>
                <w:bCs/>
                <w:sz w:val="20"/>
                <w:szCs w:val="20"/>
              </w:rPr>
              <w:t xml:space="preserve">779,84</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6061"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Городского водопровода</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901" w:type="dxa"/>
            <w:vAlign w:val="center"/>
            <w:textDirection w:val="lrTb"/>
            <w:noWrap w:val="false"/>
          </w:tcPr>
          <w:p>
            <w:pPr>
              <w:pStyle w:val="1063"/>
              <w:jc w:val="right"/>
              <w:widowControl w:val="off"/>
              <w:rPr>
                <w:sz w:val="20"/>
                <w:szCs w:val="20"/>
              </w:rPr>
            </w:pPr>
            <w:r>
              <w:rPr>
                <w:rFonts w:ascii="Arial Narrow" w:hAnsi="Arial Narrow"/>
                <w:bCs/>
                <w:sz w:val="20"/>
                <w:szCs w:val="20"/>
              </w:rPr>
              <w:t xml:space="preserve">5 508,41</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6061"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Тепловые сети</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901" w:type="dxa"/>
            <w:vAlign w:val="center"/>
            <w:textDirection w:val="lrTb"/>
            <w:noWrap w:val="false"/>
          </w:tcPr>
          <w:p>
            <w:pPr>
              <w:pStyle w:val="1063"/>
              <w:jc w:val="right"/>
              <w:widowControl w:val="off"/>
              <w:rPr>
                <w:sz w:val="20"/>
                <w:szCs w:val="20"/>
              </w:rPr>
            </w:pPr>
            <w:r>
              <w:rPr>
                <w:rFonts w:ascii="Arial Narrow" w:hAnsi="Arial Narrow"/>
                <w:sz w:val="20"/>
                <w:szCs w:val="20"/>
              </w:rPr>
              <w:t xml:space="preserve">3 454,40</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6061"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Коммунальная</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901" w:type="dxa"/>
            <w:vAlign w:val="center"/>
            <w:textDirection w:val="lrTb"/>
            <w:noWrap w:val="false"/>
          </w:tcPr>
          <w:p>
            <w:pPr>
              <w:pStyle w:val="1063"/>
              <w:jc w:val="right"/>
              <w:widowControl w:val="off"/>
              <w:rPr>
                <w:sz w:val="20"/>
                <w:szCs w:val="20"/>
              </w:rPr>
            </w:pPr>
            <w:r>
              <w:rPr>
                <w:rFonts w:ascii="Arial Narrow" w:hAnsi="Arial Narrow"/>
                <w:sz w:val="20"/>
                <w:szCs w:val="20"/>
              </w:rPr>
              <w:t xml:space="preserve">2 054,01</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6061"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на хозяйственно-питьевые нужды</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901" w:type="dxa"/>
            <w:vAlign w:val="center"/>
            <w:textDirection w:val="lrTb"/>
            <w:noWrap w:val="false"/>
          </w:tcPr>
          <w:p>
            <w:pPr>
              <w:pStyle w:val="1063"/>
              <w:jc w:val="right"/>
              <w:widowControl w:val="off"/>
              <w:rPr>
                <w:sz w:val="20"/>
                <w:szCs w:val="20"/>
              </w:rPr>
            </w:pPr>
            <w:r>
              <w:rPr>
                <w:rFonts w:ascii="Arial Narrow" w:hAnsi="Arial Narrow"/>
                <w:bCs/>
                <w:sz w:val="20"/>
                <w:szCs w:val="20"/>
              </w:rPr>
              <w:t xml:space="preserve">2 228,31</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6061"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КТЭЦ</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901" w:type="dxa"/>
            <w:vAlign w:val="center"/>
            <w:textDirection w:val="lrTb"/>
            <w:noWrap w:val="false"/>
          </w:tcPr>
          <w:p>
            <w:pPr>
              <w:pStyle w:val="1063"/>
              <w:jc w:val="right"/>
              <w:widowControl w:val="off"/>
              <w:rPr>
                <w:sz w:val="20"/>
                <w:szCs w:val="20"/>
              </w:rPr>
            </w:pPr>
            <w:r>
              <w:rPr>
                <w:rFonts w:ascii="Arial Narrow" w:hAnsi="Arial Narrow"/>
                <w:sz w:val="20"/>
                <w:szCs w:val="20"/>
              </w:rPr>
              <w:t xml:space="preserve">2 193,85</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6061"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ЦЭС</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901" w:type="dxa"/>
            <w:vAlign w:val="center"/>
            <w:textDirection w:val="lrTb"/>
            <w:noWrap w:val="false"/>
          </w:tcPr>
          <w:p>
            <w:pPr>
              <w:pStyle w:val="1063"/>
              <w:jc w:val="right"/>
              <w:widowControl w:val="off"/>
              <w:rPr>
                <w:sz w:val="20"/>
                <w:szCs w:val="20"/>
              </w:rPr>
            </w:pPr>
            <w:r>
              <w:rPr>
                <w:rFonts w:ascii="Arial Narrow" w:hAnsi="Arial Narrow"/>
                <w:sz w:val="20"/>
                <w:szCs w:val="20"/>
              </w:rPr>
              <w:t xml:space="preserve">0,52</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6061"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Коммунальная энергетика</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901" w:type="dxa"/>
            <w:vAlign w:val="center"/>
            <w:textDirection w:val="lrTb"/>
            <w:noWrap w:val="false"/>
          </w:tcPr>
          <w:p>
            <w:pPr>
              <w:pStyle w:val="1063"/>
              <w:jc w:val="right"/>
              <w:widowControl w:val="off"/>
              <w:rPr>
                <w:sz w:val="20"/>
                <w:szCs w:val="20"/>
              </w:rPr>
            </w:pPr>
            <w:r>
              <w:rPr>
                <w:rFonts w:ascii="Arial Narrow" w:hAnsi="Arial Narrow"/>
                <w:sz w:val="20"/>
                <w:szCs w:val="20"/>
              </w:rPr>
              <w:t xml:space="preserve">12,74</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6061"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Возобновляемая энергетика</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901" w:type="dxa"/>
            <w:vAlign w:val="center"/>
            <w:textDirection w:val="lrTb"/>
            <w:noWrap w:val="false"/>
          </w:tcPr>
          <w:p>
            <w:pPr>
              <w:pStyle w:val="1063"/>
              <w:jc w:val="right"/>
              <w:widowControl w:val="off"/>
              <w:rPr>
                <w:sz w:val="20"/>
                <w:szCs w:val="20"/>
              </w:rPr>
            </w:pPr>
            <w:r>
              <w:rPr>
                <w:rFonts w:ascii="Arial Narrow" w:hAnsi="Arial Narrow"/>
                <w:sz w:val="20"/>
                <w:szCs w:val="20"/>
              </w:rPr>
              <w:t xml:space="preserve">21,20</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6061"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на производственные нужды</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901" w:type="dxa"/>
            <w:vAlign w:val="center"/>
            <w:textDirection w:val="lrTb"/>
            <w:noWrap w:val="false"/>
          </w:tcPr>
          <w:p>
            <w:pPr>
              <w:pStyle w:val="1063"/>
              <w:jc w:val="right"/>
              <w:widowControl w:val="off"/>
              <w:rPr>
                <w:sz w:val="20"/>
                <w:szCs w:val="20"/>
              </w:rPr>
            </w:pPr>
            <w:r>
              <w:rPr>
                <w:rFonts w:ascii="Arial Narrow" w:hAnsi="Arial Narrow"/>
                <w:bCs/>
                <w:sz w:val="20"/>
                <w:szCs w:val="20"/>
              </w:rPr>
              <w:t xml:space="preserve">89 272,93</w:t>
            </w:r>
            <w:r>
              <w:rPr>
                <w:sz w:val="20"/>
                <w:szCs w:val="20"/>
              </w:rPr>
            </w:r>
            <w:r>
              <w:rPr>
                <w:sz w:val="20"/>
                <w:szCs w:val="20"/>
              </w:rPr>
            </w:r>
          </w:p>
        </w:tc>
      </w:tr>
      <w:tr>
        <w:trPr>
          <w:trHeight w:val="300"/>
        </w:trPr>
        <w:tc>
          <w:tcPr>
            <w:tcBorders>
              <w:top w:val="single" w:color="000000" w:sz="4" w:space="0"/>
              <w:left w:val="single" w:color="000000" w:sz="4" w:space="0"/>
              <w:bottom w:val="single" w:color="000000" w:sz="4" w:space="0"/>
              <w:right w:val="single" w:color="000000" w:sz="4" w:space="0"/>
            </w:tcBorders>
            <w:tcW w:w="6061"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ТЭЦ-2</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901" w:type="dxa"/>
            <w:vAlign w:val="center"/>
            <w:textDirection w:val="lrTb"/>
            <w:noWrap w:val="false"/>
          </w:tcPr>
          <w:p>
            <w:pPr>
              <w:pStyle w:val="1063"/>
              <w:jc w:val="right"/>
              <w:widowControl w:val="off"/>
              <w:rPr>
                <w:sz w:val="20"/>
                <w:szCs w:val="20"/>
              </w:rPr>
            </w:pPr>
            <w:r>
              <w:rPr>
                <w:rFonts w:ascii="Arial Narrow" w:hAnsi="Arial Narrow"/>
                <w:sz w:val="20"/>
                <w:szCs w:val="20"/>
              </w:rPr>
              <w:t xml:space="preserve">47 739,03</w:t>
            </w:r>
            <w:r>
              <w:rPr>
                <w:sz w:val="20"/>
                <w:szCs w:val="20"/>
              </w:rPr>
            </w:r>
            <w:r>
              <w:rPr>
                <w:sz w:val="20"/>
                <w:szCs w:val="20"/>
              </w:rPr>
            </w:r>
          </w:p>
        </w:tc>
      </w:tr>
      <w:tr>
        <w:trPr>
          <w:trHeight w:val="300"/>
        </w:trPr>
        <w:tc>
          <w:tcPr>
            <w:tcBorders>
              <w:top w:val="single" w:color="000000" w:sz="4" w:space="0"/>
              <w:left w:val="single" w:color="000000" w:sz="4" w:space="0"/>
              <w:bottom w:val="single" w:color="000000" w:sz="4" w:space="0"/>
              <w:right w:val="single" w:color="000000" w:sz="4" w:space="0"/>
            </w:tcBorders>
            <w:tcW w:w="6061" w:type="dxa"/>
            <w:textDirection w:val="lrTb"/>
            <w:noWrap w:val="false"/>
          </w:tcPr>
          <w:p>
            <w:pPr>
              <w:pStyle w:val="1063"/>
              <w:widowControl w:val="off"/>
              <w:rPr>
                <w:sz w:val="20"/>
                <w:szCs w:val="20"/>
              </w:rPr>
            </w:pPr>
            <w:r>
              <w:rPr>
                <w:rFonts w:ascii="Arial Narrow" w:hAnsi="Arial Narrow" w:cs="Calibri"/>
                <w:sz w:val="20"/>
                <w:szCs w:val="20"/>
              </w:rPr>
              <w:t xml:space="preserve">ТЭЦ-1</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901" w:type="dxa"/>
            <w:textDirection w:val="lrTb"/>
            <w:noWrap w:val="false"/>
          </w:tcPr>
          <w:p>
            <w:pPr>
              <w:pStyle w:val="1063"/>
              <w:jc w:val="right"/>
              <w:widowControl w:val="off"/>
              <w:rPr>
                <w:sz w:val="20"/>
                <w:szCs w:val="20"/>
              </w:rPr>
            </w:pPr>
            <w:r>
              <w:rPr>
                <w:rFonts w:ascii="Arial Narrow" w:hAnsi="Arial Narrow"/>
                <w:sz w:val="20"/>
                <w:szCs w:val="20"/>
              </w:rPr>
              <w:t xml:space="preserve">29 234,62</w:t>
            </w:r>
            <w:r>
              <w:rPr>
                <w:sz w:val="20"/>
                <w:szCs w:val="20"/>
              </w:rPr>
            </w:r>
            <w:r>
              <w:rPr>
                <w:sz w:val="20"/>
                <w:szCs w:val="20"/>
              </w:rPr>
            </w:r>
          </w:p>
        </w:tc>
      </w:tr>
      <w:tr>
        <w:trPr>
          <w:trHeight w:val="300"/>
        </w:trPr>
        <w:tc>
          <w:tcPr>
            <w:tcBorders>
              <w:top w:val="single" w:color="000000" w:sz="4" w:space="0"/>
              <w:left w:val="single" w:color="000000" w:sz="4" w:space="0"/>
              <w:bottom w:val="single" w:color="000000" w:sz="4" w:space="0"/>
              <w:right w:val="single" w:color="000000" w:sz="4" w:space="0"/>
            </w:tcBorders>
            <w:tcW w:w="6061"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ЦЭС</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901" w:type="dxa"/>
            <w:vAlign w:val="center"/>
            <w:textDirection w:val="lrTb"/>
            <w:noWrap w:val="false"/>
          </w:tcPr>
          <w:p>
            <w:pPr>
              <w:pStyle w:val="1063"/>
              <w:jc w:val="right"/>
              <w:widowControl w:val="off"/>
              <w:rPr>
                <w:sz w:val="20"/>
                <w:szCs w:val="20"/>
              </w:rPr>
            </w:pPr>
            <w:r>
              <w:rPr>
                <w:rFonts w:ascii="Arial Narrow" w:hAnsi="Arial Narrow"/>
                <w:sz w:val="20"/>
                <w:szCs w:val="20"/>
              </w:rPr>
              <w:t xml:space="preserve">140,88</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6061"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Коммунальная энергетика</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901" w:type="dxa"/>
            <w:vAlign w:val="center"/>
            <w:textDirection w:val="lrTb"/>
            <w:noWrap w:val="false"/>
          </w:tcPr>
          <w:p>
            <w:pPr>
              <w:pStyle w:val="1063"/>
              <w:jc w:val="right"/>
              <w:widowControl w:val="off"/>
              <w:rPr>
                <w:sz w:val="20"/>
                <w:szCs w:val="20"/>
              </w:rPr>
            </w:pPr>
            <w:r>
              <w:rPr>
                <w:rFonts w:ascii="Arial Narrow" w:hAnsi="Arial Narrow"/>
                <w:sz w:val="20"/>
                <w:szCs w:val="20"/>
              </w:rPr>
              <w:t xml:space="preserve">365,37</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6061"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Возобновляемая энергетика</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901" w:type="dxa"/>
            <w:vAlign w:val="center"/>
            <w:textDirection w:val="lrTb"/>
            <w:noWrap w:val="false"/>
          </w:tcPr>
          <w:p>
            <w:pPr>
              <w:pStyle w:val="1063"/>
              <w:jc w:val="right"/>
              <w:widowControl w:val="off"/>
              <w:rPr>
                <w:sz w:val="20"/>
                <w:szCs w:val="20"/>
              </w:rPr>
            </w:pPr>
            <w:r>
              <w:rPr>
                <w:rFonts w:ascii="Arial Narrow" w:hAnsi="Arial Narrow"/>
                <w:sz w:val="20"/>
                <w:szCs w:val="20"/>
              </w:rPr>
              <w:t xml:space="preserve">11 793,03</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6061"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на другие нужды</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901" w:type="dxa"/>
            <w:vAlign w:val="center"/>
            <w:textDirection w:val="lrTb"/>
            <w:noWrap w:val="false"/>
          </w:tcPr>
          <w:p>
            <w:pPr>
              <w:pStyle w:val="1063"/>
              <w:jc w:val="right"/>
              <w:widowControl w:val="off"/>
              <w:rPr>
                <w:sz w:val="20"/>
                <w:szCs w:val="20"/>
              </w:rPr>
            </w:pPr>
            <w:r>
              <w:rPr>
                <w:rFonts w:ascii="Arial Narrow" w:hAnsi="Arial Narrow"/>
                <w:bCs/>
                <w:sz w:val="20"/>
                <w:szCs w:val="20"/>
              </w:rPr>
              <w:t xml:space="preserve">1 700,74</w:t>
            </w:r>
            <w:r>
              <w:rPr>
                <w:sz w:val="20"/>
                <w:szCs w:val="20"/>
              </w:rPr>
            </w:r>
            <w:r>
              <w:rPr>
                <w:sz w:val="20"/>
                <w:szCs w:val="20"/>
              </w:rPr>
            </w:r>
          </w:p>
        </w:tc>
      </w:tr>
      <w:tr>
        <w:trPr>
          <w:trHeight w:val="300"/>
        </w:trPr>
        <w:tc>
          <w:tcPr>
            <w:tcBorders>
              <w:top w:val="single" w:color="000000" w:sz="4" w:space="0"/>
              <w:left w:val="single" w:color="000000" w:sz="4" w:space="0"/>
              <w:bottom w:val="single" w:color="000000" w:sz="4" w:space="0"/>
              <w:right w:val="single" w:color="000000" w:sz="4" w:space="0"/>
            </w:tcBorders>
            <w:tcW w:w="6061"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передано другим предприятиям</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901" w:type="dxa"/>
            <w:vAlign w:val="center"/>
            <w:textDirection w:val="lrTb"/>
            <w:noWrap w:val="false"/>
          </w:tcPr>
          <w:p>
            <w:pPr>
              <w:pStyle w:val="1063"/>
              <w:jc w:val="right"/>
              <w:widowControl w:val="off"/>
              <w:rPr>
                <w:sz w:val="20"/>
                <w:szCs w:val="20"/>
              </w:rPr>
            </w:pPr>
            <w:r>
              <w:rPr>
                <w:rFonts w:ascii="Arial Narrow" w:hAnsi="Arial Narrow"/>
                <w:bCs/>
                <w:sz w:val="20"/>
                <w:szCs w:val="20"/>
              </w:rPr>
              <w:t xml:space="preserve">2 131,33</w:t>
            </w:r>
            <w:r>
              <w:rPr>
                <w:sz w:val="20"/>
                <w:szCs w:val="20"/>
              </w:rPr>
            </w:r>
            <w:r>
              <w:rPr>
                <w:sz w:val="20"/>
                <w:szCs w:val="20"/>
              </w:rPr>
            </w:r>
          </w:p>
        </w:tc>
      </w:tr>
    </w:tbl>
    <w:p>
      <w:pPr>
        <w:pStyle w:val="1063"/>
        <w:ind w:firstLine="567"/>
        <w:jc w:val="both"/>
        <w:rPr>
          <w:rFonts w:ascii="Arial Narrow" w:hAnsi="Arial Narrow" w:cs="Calibri"/>
        </w:rPr>
      </w:pPr>
      <w:r>
        <w:rPr>
          <w:rFonts w:ascii="Arial Narrow" w:hAnsi="Arial Narrow" w:cs="Calibri"/>
        </w:rPr>
      </w:r>
      <w:r>
        <w:rPr>
          <w:rFonts w:ascii="Arial Narrow" w:hAnsi="Arial Narrow" w:cs="Calibri"/>
        </w:rPr>
      </w:r>
      <w:r>
        <w:rPr>
          <w:rFonts w:ascii="Arial Narrow" w:hAnsi="Arial Narrow" w:cs="Calibri"/>
        </w:rPr>
      </w:r>
    </w:p>
    <w:p>
      <w:pPr>
        <w:pStyle w:val="1063"/>
        <w:ind w:firstLine="567"/>
        <w:jc w:val="both"/>
      </w:pPr>
      <w:r>
        <w:rPr>
          <w:rFonts w:ascii="Arial Narrow" w:hAnsi="Arial Narrow" w:cs="Calibri"/>
        </w:rPr>
        <w:t xml:space="preserve">Общий объем сброса </w:t>
      </w:r>
      <w:r>
        <w:rPr>
          <w:rFonts w:ascii="Arial Narrow" w:hAnsi="Arial Narrow" w:cs="Calibri"/>
        </w:rPr>
        <w:t xml:space="preserve">воды в поверхностные водные объекты: оз. Сыпучка, р. Халактырка, Авачинская губа, оз. Халактырское, ручей без названия (п/п Автоколонна), ручей Рудный, р. Фальшивая, протока реки Паужетка, р. Толмачёва, ручей без названия (каскад ГЭС) за 2024 год составил </w:t>
      </w:r>
      <w:r>
        <w:rPr>
          <w:rFonts w:ascii="Arial Narrow" w:hAnsi="Arial Narrow" w:cs="Calibri"/>
        </w:rPr>
        <w:br/>
        <w:t xml:space="preserve">87 188,13 тыс.м.куб/год. Из них механическим методом очищено 42,46 тыс.м.куб., на станции биологической очистки 249,07 тыс.м.куб.</w:t>
      </w:r>
      <w:r/>
    </w:p>
    <w:p>
      <w:pPr>
        <w:pStyle w:val="1063"/>
        <w:ind w:firstLine="142"/>
        <w:jc w:val="right"/>
        <w:tabs>
          <w:tab w:val="left" w:pos="566" w:leader="none"/>
          <w:tab w:val="left" w:pos="850" w:leader="none"/>
        </w:tabs>
        <w:rPr>
          <w:rFonts w:ascii="Arial Narrow" w:hAnsi="Arial Narrow" w:eastAsia="Calibri" w:cs="Calibri"/>
          <w:i/>
          <w:lang w:eastAsia="ja-JP"/>
        </w:rPr>
      </w:pPr>
      <w:r>
        <w:rPr>
          <w:rFonts w:ascii="Arial Narrow" w:hAnsi="Arial Narrow" w:eastAsia="Calibri" w:cs="Calibri"/>
          <w:i/>
          <w:lang w:eastAsia="ja-JP"/>
        </w:rPr>
      </w:r>
      <w:r>
        <w:rPr>
          <w:rFonts w:ascii="Arial Narrow" w:hAnsi="Arial Narrow" w:eastAsia="Calibri" w:cs="Calibri"/>
          <w:i/>
          <w:lang w:eastAsia="ja-JP"/>
        </w:rPr>
      </w:r>
      <w:r>
        <w:rPr>
          <w:rFonts w:ascii="Arial Narrow" w:hAnsi="Arial Narrow" w:eastAsia="Calibri" w:cs="Calibri"/>
          <w:i/>
          <w:lang w:eastAsia="ja-JP"/>
        </w:rPr>
      </w:r>
    </w:p>
    <w:p>
      <w:pPr>
        <w:pStyle w:val="1063"/>
        <w:ind w:firstLine="142"/>
        <w:jc w:val="right"/>
        <w:tabs>
          <w:tab w:val="left" w:pos="566" w:leader="none"/>
          <w:tab w:val="left" w:pos="850" w:leader="none"/>
        </w:tabs>
        <w:rPr>
          <w:sz w:val="12"/>
          <w:szCs w:val="12"/>
          <w:lang w:val="en-US"/>
        </w:rPr>
      </w:pPr>
      <w:r>
        <w:rPr>
          <w:rFonts w:ascii="Arial Narrow" w:hAnsi="Arial Narrow" w:eastAsia="Calibri" w:cs="Calibri"/>
          <w:i/>
          <w:lang w:eastAsia="ja-JP"/>
        </w:rPr>
        <w:t xml:space="preserve">Таблица № 47</w:t>
      </w:r>
      <w:r>
        <w:rPr>
          <w:sz w:val="12"/>
          <w:szCs w:val="12"/>
          <w:lang w:val="en-US"/>
        </w:rPr>
      </w:r>
      <w:r>
        <w:rPr>
          <w:sz w:val="12"/>
          <w:szCs w:val="12"/>
          <w:lang w:val="en-US"/>
        </w:rPr>
      </w:r>
    </w:p>
    <w:tbl>
      <w:tblPr>
        <w:tblW w:w="9948" w:type="dxa"/>
        <w:tblInd w:w="225" w:type="dxa"/>
        <w:tblLayout w:type="fixed"/>
        <w:tblLook w:val="04A0" w:firstRow="1" w:lastRow="0" w:firstColumn="1" w:lastColumn="0" w:noHBand="0" w:noVBand="1"/>
      </w:tblPr>
      <w:tblGrid>
        <w:gridCol w:w="596"/>
        <w:gridCol w:w="4397"/>
        <w:gridCol w:w="4955"/>
      </w:tblGrid>
      <w:tr>
        <w:trPr>
          <w:trHeight w:val="45"/>
          <w:tblHeader/>
        </w:trPr>
        <w:tc>
          <w:tcPr>
            <w:tcBorders>
              <w:top w:val="single" w:color="000000" w:sz="4" w:space="0"/>
              <w:left w:val="single" w:color="000000" w:sz="4" w:space="0"/>
              <w:bottom w:val="single" w:color="000000" w:sz="4" w:space="0"/>
              <w:right w:val="single" w:color="000000" w:sz="4" w:space="0"/>
            </w:tcBorders>
            <w:tcW w:w="596" w:type="dxa"/>
            <w:vAlign w:val="center"/>
            <w:textDirection w:val="lrTb"/>
            <w:noWrap w:val="false"/>
          </w:tcPr>
          <w:p>
            <w:pPr>
              <w:pStyle w:val="1063"/>
              <w:jc w:val="center"/>
              <w:widowControl w:val="off"/>
              <w:rPr>
                <w:sz w:val="20"/>
                <w:szCs w:val="20"/>
              </w:rPr>
            </w:pPr>
            <w:r>
              <w:rPr>
                <w:rFonts w:ascii="Arial Narrow" w:hAnsi="Arial Narrow" w:eastAsia="Lucida Sans Unicode" w:cs="Calibri"/>
                <w:sz w:val="20"/>
                <w:szCs w:val="20"/>
              </w:rPr>
              <w:t xml:space="preserve">№</w:t>
            </w:r>
            <w:r>
              <w:rPr>
                <w:sz w:val="20"/>
                <w:szCs w:val="20"/>
              </w:rPr>
            </w:r>
            <w:r>
              <w:rPr>
                <w:sz w:val="20"/>
                <w:szCs w:val="20"/>
              </w:rPr>
            </w:r>
          </w:p>
          <w:p>
            <w:pPr>
              <w:pStyle w:val="1063"/>
              <w:jc w:val="center"/>
              <w:widowControl w:val="off"/>
              <w:rPr>
                <w:sz w:val="20"/>
                <w:szCs w:val="20"/>
              </w:rPr>
            </w:pPr>
            <w:r>
              <w:rPr>
                <w:rFonts w:ascii="Arial Narrow" w:hAnsi="Arial Narrow" w:eastAsia="Lucida Sans Unicode" w:cs="Calibri"/>
                <w:sz w:val="20"/>
                <w:szCs w:val="20"/>
              </w:rPr>
              <w:t xml:space="preserve">п/п</w:t>
            </w:r>
            <w:r>
              <w:rPr>
                <w:sz w:val="20"/>
                <w:szCs w:val="20"/>
              </w:rPr>
            </w:r>
            <w:r>
              <w:rPr>
                <w:sz w:val="20"/>
                <w:szCs w:val="20"/>
              </w:rPr>
            </w:r>
          </w:p>
        </w:tc>
        <w:tc>
          <w:tcPr>
            <w:gridSpan w:val="2"/>
            <w:tcBorders>
              <w:top w:val="single" w:color="000000" w:sz="4" w:space="0"/>
              <w:left w:val="single" w:color="000000" w:sz="4" w:space="0"/>
              <w:bottom w:val="single" w:color="000000" w:sz="4" w:space="0"/>
              <w:right w:val="single" w:color="000000" w:sz="4" w:space="0"/>
            </w:tcBorders>
            <w:tcW w:w="9352" w:type="dxa"/>
            <w:vAlign w:val="center"/>
            <w:textDirection w:val="lrTb"/>
            <w:noWrap w:val="false"/>
          </w:tcPr>
          <w:p>
            <w:pPr>
              <w:pStyle w:val="1063"/>
              <w:jc w:val="center"/>
              <w:widowControl w:val="off"/>
              <w:rPr>
                <w:sz w:val="20"/>
                <w:szCs w:val="20"/>
              </w:rPr>
            </w:pPr>
            <w:r>
              <w:rPr>
                <w:rFonts w:ascii="Arial Narrow" w:hAnsi="Arial Narrow" w:eastAsia="Lucida Sans Unicode" w:cs="Calibri"/>
                <w:sz w:val="20"/>
                <w:szCs w:val="20"/>
              </w:rPr>
              <w:t xml:space="preserve">Общий объем запланированных и внеплановых сбросов сточных вод в кубических метрах в год (тыс. м3/год)</w:t>
            </w:r>
            <w:r>
              <w:rPr>
                <w:sz w:val="20"/>
                <w:szCs w:val="20"/>
              </w:rPr>
            </w:r>
            <w:r>
              <w:rPr>
                <w:sz w:val="20"/>
                <w:szCs w:val="20"/>
              </w:rPr>
            </w:r>
          </w:p>
          <w:p>
            <w:pPr>
              <w:pStyle w:val="1063"/>
              <w:jc w:val="center"/>
              <w:widowControl w:val="off"/>
              <w:rPr>
                <w:sz w:val="20"/>
                <w:szCs w:val="20"/>
              </w:rPr>
            </w:pPr>
            <w:r>
              <w:rPr>
                <w:rFonts w:ascii="Arial Narrow" w:hAnsi="Arial Narrow" w:eastAsia="Lucida Sans Unicode" w:cs="Calibri"/>
                <w:sz w:val="20"/>
                <w:szCs w:val="20"/>
              </w:rPr>
              <w:t xml:space="preserve">в разбивке по:</w:t>
            </w:r>
            <w:r>
              <w:rPr>
                <w:sz w:val="20"/>
                <w:szCs w:val="20"/>
              </w:rPr>
            </w:r>
            <w:r>
              <w:rPr>
                <w:sz w:val="20"/>
                <w:szCs w:val="20"/>
              </w:rPr>
            </w:r>
          </w:p>
        </w:tc>
      </w:tr>
      <w:tr>
        <w:trPr>
          <w:trHeight w:val="45"/>
        </w:trPr>
        <w:tc>
          <w:tcPr>
            <w:gridSpan w:val="3"/>
            <w:tcBorders>
              <w:top w:val="single" w:color="000000" w:sz="4" w:space="0"/>
              <w:left w:val="single" w:color="000000" w:sz="4" w:space="0"/>
              <w:bottom w:val="single" w:color="000000" w:sz="4" w:space="0"/>
              <w:right w:val="single" w:color="000000" w:sz="4" w:space="0"/>
            </w:tcBorders>
            <w:tcW w:w="9948"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принимающему объекту</w:t>
            </w:r>
            <w:r>
              <w:rPr>
                <w:sz w:val="20"/>
                <w:szCs w:val="20"/>
              </w:rPr>
            </w:r>
            <w:r>
              <w:rPr>
                <w:sz w:val="20"/>
                <w:szCs w:val="20"/>
              </w:rPr>
            </w:r>
          </w:p>
        </w:tc>
      </w:tr>
      <w:tr>
        <w:trPr>
          <w:trHeight w:val="45"/>
        </w:trPr>
        <w:tc>
          <w:tcPr>
            <w:gridSpan w:val="3"/>
            <w:tcBorders>
              <w:top w:val="single" w:color="000000" w:sz="4" w:space="0"/>
              <w:left w:val="single" w:color="000000" w:sz="4" w:space="0"/>
              <w:bottom w:val="single" w:color="000000" w:sz="4" w:space="0"/>
              <w:right w:val="single" w:color="000000" w:sz="4" w:space="0"/>
            </w:tcBorders>
            <w:tcW w:w="9948" w:type="dxa"/>
            <w:vAlign w:val="bottom"/>
            <w:textDirection w:val="lrTb"/>
            <w:noWrap w:val="false"/>
          </w:tcPr>
          <w:p>
            <w:pPr>
              <w:pStyle w:val="1063"/>
              <w:jc w:val="both"/>
              <w:widowControl w:val="off"/>
              <w:rPr>
                <w:sz w:val="20"/>
                <w:szCs w:val="20"/>
              </w:rPr>
            </w:pPr>
            <w:r>
              <w:rPr>
                <w:rFonts w:ascii="Arial Narrow" w:hAnsi="Arial Narrow" w:eastAsia="Lucida Sans Unicode" w:cs="Calibri"/>
                <w:sz w:val="20"/>
                <w:szCs w:val="20"/>
              </w:rPr>
              <w:t xml:space="preserve">Принимающие водные объекты - р. Халактырка, оз. Сыпучка, Авачинская губа, оз. Халактырское, ручей без названия </w:t>
            </w:r>
            <w:r>
              <w:rPr>
                <w:rFonts w:ascii="Arial Narrow" w:hAnsi="Arial Narrow" w:eastAsia="Lucida Sans Unicode" w:cs="Calibri"/>
                <w:sz w:val="20"/>
                <w:szCs w:val="20"/>
              </w:rPr>
              <w:br w:type="textWrapping" w:clear="all"/>
              <w:t xml:space="preserve">(п/п Автоколонна), руч. Рудный, р. Фальшивая, протока реки Паужетка, р. Толмачёва, ручей без названия (каскад ГЭС)</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596" w:type="dxa"/>
            <w:vAlign w:val="center"/>
            <w:textDirection w:val="lrTb"/>
            <w:noWrap w:val="false"/>
          </w:tcPr>
          <w:p>
            <w:pPr>
              <w:pStyle w:val="1063"/>
              <w:jc w:val="center"/>
              <w:widowControl w:val="off"/>
              <w:rPr>
                <w:sz w:val="20"/>
                <w:szCs w:val="20"/>
              </w:rPr>
            </w:pPr>
            <w:r>
              <w:rPr>
                <w:rFonts w:ascii="Arial Narrow" w:hAnsi="Arial Narrow" w:eastAsia="Lucida Sans Unicode" w:cs="Calibri"/>
                <w:sz w:val="20"/>
                <w:szCs w:val="20"/>
              </w:rPr>
              <w:t xml:space="preserve">1</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4397"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поверхностный водный объект</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4955" w:type="dxa"/>
            <w:vAlign w:val="center"/>
            <w:textDirection w:val="lrTb"/>
            <w:noWrap w:val="false"/>
          </w:tcPr>
          <w:p>
            <w:pPr>
              <w:pStyle w:val="1063"/>
              <w:jc w:val="center"/>
              <w:widowControl w:val="off"/>
              <w:rPr>
                <w:sz w:val="20"/>
                <w:szCs w:val="20"/>
              </w:rPr>
            </w:pPr>
            <w:r>
              <w:rPr>
                <w:rFonts w:ascii="Arial Narrow" w:hAnsi="Arial Narrow"/>
                <w:sz w:val="20"/>
                <w:szCs w:val="20"/>
              </w:rPr>
              <w:t xml:space="preserve">87 135,77</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596" w:type="dxa"/>
            <w:vAlign w:val="center"/>
            <w:textDirection w:val="lrTb"/>
            <w:noWrap w:val="false"/>
          </w:tcPr>
          <w:p>
            <w:pPr>
              <w:pStyle w:val="1063"/>
              <w:jc w:val="center"/>
              <w:widowControl w:val="off"/>
              <w:rPr>
                <w:sz w:val="20"/>
                <w:szCs w:val="20"/>
              </w:rPr>
            </w:pPr>
            <w:r>
              <w:rPr>
                <w:rFonts w:ascii="Arial Narrow" w:hAnsi="Arial Narrow" w:eastAsia="Lucida Sans Unicode" w:cs="Calibri"/>
                <w:sz w:val="20"/>
                <w:szCs w:val="20"/>
              </w:rPr>
              <w:t xml:space="preserve">2</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4397"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на рельеф</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4955" w:type="dxa"/>
            <w:vAlign w:val="bottom"/>
            <w:textDirection w:val="lrTb"/>
            <w:noWrap w:val="false"/>
          </w:tcPr>
          <w:p>
            <w:pPr>
              <w:pStyle w:val="1063"/>
              <w:widowControl w:val="off"/>
              <w:rPr>
                <w:rFonts w:ascii="Arial Narrow" w:hAnsi="Arial Narrow" w:eastAsia="Lucida Sans Unicode" w:cs="Calibri"/>
                <w:sz w:val="20"/>
                <w:szCs w:val="20"/>
              </w:rPr>
            </w:pPr>
            <w:r>
              <w:rPr>
                <w:rFonts w:ascii="Arial Narrow" w:hAnsi="Arial Narrow" w:eastAsia="Lucida Sans Unicode" w:cs="Calibri"/>
                <w:sz w:val="20"/>
                <w:szCs w:val="20"/>
              </w:rPr>
            </w:r>
            <w:r>
              <w:rPr>
                <w:rFonts w:ascii="Arial Narrow" w:hAnsi="Arial Narrow" w:eastAsia="Lucida Sans Unicode" w:cs="Calibri"/>
                <w:sz w:val="20"/>
                <w:szCs w:val="20"/>
              </w:rPr>
            </w:r>
            <w:r>
              <w:rPr>
                <w:rFonts w:ascii="Arial Narrow" w:hAnsi="Arial Narrow" w:eastAsia="Lucida Sans Unicode" w:cs="Calibri"/>
                <w:sz w:val="20"/>
                <w:szCs w:val="20"/>
              </w:rPr>
            </w:r>
          </w:p>
        </w:tc>
      </w:tr>
      <w:tr>
        <w:trPr>
          <w:trHeight w:val="300"/>
        </w:trPr>
        <w:tc>
          <w:tcPr>
            <w:tcBorders>
              <w:top w:val="single" w:color="000000" w:sz="4" w:space="0"/>
              <w:left w:val="single" w:color="000000" w:sz="4" w:space="0"/>
              <w:bottom w:val="single" w:color="000000" w:sz="4" w:space="0"/>
              <w:right w:val="single" w:color="000000" w:sz="4" w:space="0"/>
            </w:tcBorders>
            <w:tcW w:w="596" w:type="dxa"/>
            <w:vAlign w:val="center"/>
            <w:textDirection w:val="lrTb"/>
            <w:noWrap w:val="false"/>
          </w:tcPr>
          <w:p>
            <w:pPr>
              <w:pStyle w:val="1063"/>
              <w:jc w:val="center"/>
              <w:widowControl w:val="off"/>
              <w:rPr>
                <w:sz w:val="20"/>
                <w:szCs w:val="20"/>
              </w:rPr>
            </w:pPr>
            <w:r>
              <w:rPr>
                <w:rFonts w:ascii="Arial Narrow" w:hAnsi="Arial Narrow" w:eastAsia="Lucida Sans Unicode" w:cs="Calibri"/>
                <w:sz w:val="20"/>
                <w:szCs w:val="20"/>
              </w:rPr>
              <w:t xml:space="preserve">3</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4397"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на поля фильтрации</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4955" w:type="dxa"/>
            <w:vAlign w:val="bottom"/>
            <w:textDirection w:val="lrTb"/>
            <w:noWrap w:val="false"/>
          </w:tcPr>
          <w:p>
            <w:pPr>
              <w:pStyle w:val="1063"/>
              <w:widowControl w:val="off"/>
              <w:rPr>
                <w:rFonts w:ascii="Arial Narrow" w:hAnsi="Arial Narrow" w:eastAsia="Lucida Sans Unicode" w:cs="Calibri"/>
                <w:sz w:val="20"/>
                <w:szCs w:val="20"/>
              </w:rPr>
            </w:pPr>
            <w:r>
              <w:rPr>
                <w:rFonts w:ascii="Arial Narrow" w:hAnsi="Arial Narrow" w:eastAsia="Lucida Sans Unicode" w:cs="Calibri"/>
                <w:sz w:val="20"/>
                <w:szCs w:val="20"/>
              </w:rPr>
            </w:r>
            <w:r>
              <w:rPr>
                <w:rFonts w:ascii="Arial Narrow" w:hAnsi="Arial Narrow" w:eastAsia="Lucida Sans Unicode" w:cs="Calibri"/>
                <w:sz w:val="20"/>
                <w:szCs w:val="20"/>
              </w:rPr>
            </w:r>
            <w:r>
              <w:rPr>
                <w:rFonts w:ascii="Arial Narrow" w:hAnsi="Arial Narrow" w:eastAsia="Lucida Sans Unicode" w:cs="Calibri"/>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596" w:type="dxa"/>
            <w:vAlign w:val="center"/>
            <w:textDirection w:val="lrTb"/>
            <w:noWrap w:val="false"/>
          </w:tcPr>
          <w:p>
            <w:pPr>
              <w:pStyle w:val="1063"/>
              <w:jc w:val="center"/>
              <w:widowControl w:val="off"/>
              <w:rPr>
                <w:sz w:val="20"/>
                <w:szCs w:val="20"/>
              </w:rPr>
            </w:pPr>
            <w:r>
              <w:rPr>
                <w:rFonts w:ascii="Arial Narrow" w:hAnsi="Arial Narrow" w:eastAsia="Lucida Sans Unicode" w:cs="Calibri"/>
                <w:sz w:val="20"/>
                <w:szCs w:val="20"/>
              </w:rPr>
              <w:t xml:space="preserve">4</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4397"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в подземные горизонты</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4955" w:type="dxa"/>
            <w:vAlign w:val="bottom"/>
            <w:textDirection w:val="lrTb"/>
            <w:noWrap w:val="false"/>
          </w:tcPr>
          <w:p>
            <w:pPr>
              <w:pStyle w:val="1063"/>
              <w:widowControl w:val="off"/>
              <w:rPr>
                <w:rFonts w:ascii="Arial Narrow" w:hAnsi="Arial Narrow" w:eastAsia="Lucida Sans Unicode" w:cs="Calibri"/>
                <w:sz w:val="20"/>
                <w:szCs w:val="20"/>
              </w:rPr>
            </w:pPr>
            <w:r>
              <w:rPr>
                <w:rFonts w:ascii="Arial Narrow" w:hAnsi="Arial Narrow" w:eastAsia="Lucida Sans Unicode" w:cs="Calibri"/>
                <w:sz w:val="20"/>
                <w:szCs w:val="20"/>
              </w:rPr>
            </w:r>
            <w:r>
              <w:rPr>
                <w:rFonts w:ascii="Arial Narrow" w:hAnsi="Arial Narrow" w:eastAsia="Lucida Sans Unicode" w:cs="Calibri"/>
                <w:sz w:val="20"/>
                <w:szCs w:val="20"/>
              </w:rPr>
            </w:r>
            <w:r>
              <w:rPr>
                <w:rFonts w:ascii="Arial Narrow" w:hAnsi="Arial Narrow" w:eastAsia="Lucida Sans Unicode" w:cs="Calibri"/>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596" w:type="dxa"/>
            <w:vAlign w:val="center"/>
            <w:textDirection w:val="lrTb"/>
            <w:noWrap w:val="false"/>
          </w:tcPr>
          <w:p>
            <w:pPr>
              <w:pStyle w:val="1063"/>
              <w:jc w:val="center"/>
              <w:widowControl w:val="off"/>
              <w:rPr>
                <w:sz w:val="20"/>
                <w:szCs w:val="20"/>
              </w:rPr>
            </w:pPr>
            <w:r>
              <w:rPr>
                <w:rFonts w:ascii="Arial Narrow" w:hAnsi="Arial Narrow" w:eastAsia="Lucida Sans Unicode" w:cs="Calibri"/>
                <w:sz w:val="20"/>
                <w:szCs w:val="20"/>
              </w:rPr>
              <w:t xml:space="preserve">5</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4397"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ливневые стоки</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4955" w:type="dxa"/>
            <w:vAlign w:val="bottom"/>
            <w:textDirection w:val="lrTb"/>
            <w:noWrap w:val="false"/>
          </w:tcPr>
          <w:p>
            <w:pPr>
              <w:pStyle w:val="1063"/>
              <w:widowControl w:val="off"/>
              <w:rPr>
                <w:rFonts w:ascii="Arial Narrow" w:hAnsi="Arial Narrow" w:eastAsia="Lucida Sans Unicode" w:cs="Calibri"/>
                <w:sz w:val="20"/>
                <w:szCs w:val="20"/>
              </w:rPr>
            </w:pPr>
            <w:r>
              <w:rPr>
                <w:rFonts w:ascii="Arial Narrow" w:hAnsi="Arial Narrow" w:eastAsia="Lucida Sans Unicode" w:cs="Calibri"/>
                <w:sz w:val="20"/>
                <w:szCs w:val="20"/>
              </w:rPr>
            </w:r>
            <w:r>
              <w:rPr>
                <w:rFonts w:ascii="Arial Narrow" w:hAnsi="Arial Narrow" w:eastAsia="Lucida Sans Unicode" w:cs="Calibri"/>
                <w:sz w:val="20"/>
                <w:szCs w:val="20"/>
              </w:rPr>
            </w:r>
            <w:r>
              <w:rPr>
                <w:rFonts w:ascii="Arial Narrow" w:hAnsi="Arial Narrow" w:eastAsia="Lucida Sans Unicode" w:cs="Calibri"/>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596" w:type="dxa"/>
            <w:vAlign w:val="center"/>
            <w:textDirection w:val="lrTb"/>
            <w:noWrap w:val="false"/>
          </w:tcPr>
          <w:p>
            <w:pPr>
              <w:pStyle w:val="1063"/>
              <w:jc w:val="center"/>
              <w:widowControl w:val="off"/>
              <w:rPr>
                <w:sz w:val="20"/>
                <w:szCs w:val="20"/>
              </w:rPr>
            </w:pPr>
            <w:r>
              <w:rPr>
                <w:rFonts w:ascii="Arial Narrow" w:hAnsi="Arial Narrow" w:eastAsia="Lucida Sans Unicode" w:cs="Calibri"/>
                <w:sz w:val="20"/>
                <w:szCs w:val="20"/>
              </w:rPr>
              <w:t xml:space="preserve">6</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4397"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системы водоотведения</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4955" w:type="dxa"/>
            <w:vAlign w:val="bottom"/>
            <w:textDirection w:val="lrTb"/>
            <w:noWrap w:val="false"/>
          </w:tcPr>
          <w:p>
            <w:pPr>
              <w:pStyle w:val="1063"/>
              <w:widowControl w:val="off"/>
              <w:rPr>
                <w:rFonts w:ascii="Arial Narrow" w:hAnsi="Arial Narrow" w:eastAsia="Lucida Sans Unicode" w:cs="Calibri"/>
                <w:sz w:val="20"/>
                <w:szCs w:val="20"/>
              </w:rPr>
            </w:pPr>
            <w:r>
              <w:rPr>
                <w:rFonts w:ascii="Arial Narrow" w:hAnsi="Arial Narrow" w:eastAsia="Lucida Sans Unicode" w:cs="Calibri"/>
                <w:sz w:val="20"/>
                <w:szCs w:val="20"/>
              </w:rPr>
            </w:r>
            <w:r>
              <w:rPr>
                <w:rFonts w:ascii="Arial Narrow" w:hAnsi="Arial Narrow" w:eastAsia="Lucida Sans Unicode" w:cs="Calibri"/>
                <w:sz w:val="20"/>
                <w:szCs w:val="20"/>
              </w:rPr>
            </w:r>
            <w:r>
              <w:rPr>
                <w:rFonts w:ascii="Arial Narrow" w:hAnsi="Arial Narrow" w:eastAsia="Lucida Sans Unicode" w:cs="Calibri"/>
                <w:sz w:val="20"/>
                <w:szCs w:val="20"/>
              </w:rPr>
            </w:r>
          </w:p>
        </w:tc>
      </w:tr>
      <w:tr>
        <w:trPr>
          <w:trHeight w:val="45"/>
        </w:trPr>
        <w:tc>
          <w:tcPr>
            <w:gridSpan w:val="2"/>
            <w:tcBorders>
              <w:top w:val="single" w:color="000000" w:sz="4" w:space="0"/>
              <w:left w:val="single" w:color="000000" w:sz="4" w:space="0"/>
              <w:bottom w:val="single" w:color="000000" w:sz="4" w:space="0"/>
              <w:right w:val="single" w:color="000000" w:sz="4" w:space="0"/>
            </w:tcBorders>
            <w:tcW w:w="4993" w:type="dxa"/>
            <w:vAlign w:val="bottom"/>
            <w:textDirection w:val="lrTb"/>
            <w:noWrap w:val="false"/>
          </w:tcPr>
          <w:p>
            <w:pPr>
              <w:pStyle w:val="1063"/>
              <w:widowControl w:val="off"/>
              <w:rPr>
                <w:sz w:val="20"/>
                <w:szCs w:val="20"/>
              </w:rPr>
            </w:pPr>
            <w:r>
              <w:rPr>
                <w:rFonts w:ascii="Arial Narrow" w:hAnsi="Arial Narrow" w:eastAsia="Lucida Sans Unicode" w:cs="Calibri"/>
                <w:sz w:val="20"/>
                <w:szCs w:val="20"/>
              </w:rPr>
              <w:t xml:space="preserve">степени очистки</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4955" w:type="dxa"/>
            <w:vAlign w:val="bottom"/>
            <w:textDirection w:val="lrTb"/>
            <w:noWrap w:val="false"/>
          </w:tcPr>
          <w:p>
            <w:pPr>
              <w:pStyle w:val="1063"/>
              <w:widowControl w:val="off"/>
              <w:rPr>
                <w:rFonts w:ascii="Arial Narrow" w:hAnsi="Arial Narrow" w:eastAsia="Lucida Sans Unicode" w:cs="Calibri"/>
                <w:sz w:val="20"/>
                <w:szCs w:val="20"/>
              </w:rPr>
            </w:pPr>
            <w:r>
              <w:rPr>
                <w:rFonts w:ascii="Arial Narrow" w:hAnsi="Arial Narrow" w:eastAsia="Lucida Sans Unicode" w:cs="Calibri"/>
                <w:sz w:val="20"/>
                <w:szCs w:val="20"/>
              </w:rPr>
            </w:r>
            <w:r>
              <w:rPr>
                <w:rFonts w:ascii="Arial Narrow" w:hAnsi="Arial Narrow" w:eastAsia="Lucida Sans Unicode" w:cs="Calibri"/>
                <w:sz w:val="20"/>
                <w:szCs w:val="20"/>
              </w:rPr>
            </w:r>
            <w:r>
              <w:rPr>
                <w:rFonts w:ascii="Arial Narrow" w:hAnsi="Arial Narrow" w:eastAsia="Lucida Sans Unicode" w:cs="Calibri"/>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596" w:type="dxa"/>
            <w:vAlign w:val="center"/>
            <w:textDirection w:val="lrTb"/>
            <w:noWrap w:val="false"/>
          </w:tcPr>
          <w:p>
            <w:pPr>
              <w:pStyle w:val="1063"/>
              <w:widowControl w:val="off"/>
              <w:rPr>
                <w:rFonts w:ascii="Arial Narrow" w:hAnsi="Arial Narrow" w:eastAsia="Lucida Sans Unicode" w:cs="Calibri"/>
                <w:sz w:val="20"/>
                <w:szCs w:val="20"/>
              </w:rPr>
            </w:pPr>
            <w:r>
              <w:rPr>
                <w:rFonts w:ascii="Arial Narrow" w:hAnsi="Arial Narrow" w:eastAsia="Lucida Sans Unicode" w:cs="Calibri"/>
                <w:sz w:val="20"/>
                <w:szCs w:val="20"/>
              </w:rPr>
            </w:r>
            <w:r>
              <w:rPr>
                <w:rFonts w:ascii="Arial Narrow" w:hAnsi="Arial Narrow" w:eastAsia="Lucida Sans Unicode" w:cs="Calibri"/>
                <w:sz w:val="20"/>
                <w:szCs w:val="20"/>
              </w:rPr>
            </w:r>
            <w:r>
              <w:rPr>
                <w:rFonts w:ascii="Arial Narrow" w:hAnsi="Arial Narrow" w:eastAsia="Lucida Sans Unicode" w:cs="Calibri"/>
                <w:sz w:val="20"/>
                <w:szCs w:val="20"/>
              </w:rPr>
            </w:r>
          </w:p>
        </w:tc>
        <w:tc>
          <w:tcPr>
            <w:tcBorders>
              <w:top w:val="single" w:color="000000" w:sz="4" w:space="0"/>
              <w:left w:val="single" w:color="000000" w:sz="4" w:space="0"/>
              <w:bottom w:val="single" w:color="000000" w:sz="4" w:space="0"/>
              <w:right w:val="single" w:color="000000" w:sz="4" w:space="0"/>
            </w:tcBorders>
            <w:tcW w:w="4397"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без очистки</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4955" w:type="dxa"/>
            <w:vAlign w:val="bottom"/>
            <w:textDirection w:val="lrTb"/>
            <w:noWrap w:val="false"/>
          </w:tcPr>
          <w:p>
            <w:pPr>
              <w:pStyle w:val="1063"/>
              <w:jc w:val="center"/>
              <w:widowControl w:val="off"/>
              <w:rPr>
                <w:sz w:val="20"/>
                <w:szCs w:val="20"/>
              </w:rPr>
            </w:pPr>
            <w:r>
              <w:rPr>
                <w:rFonts w:ascii="Arial Narrow" w:hAnsi="Arial Narrow"/>
                <w:sz w:val="20"/>
                <w:szCs w:val="20"/>
              </w:rPr>
              <w:t xml:space="preserve">11 186,87</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596" w:type="dxa"/>
            <w:vAlign w:val="center"/>
            <w:textDirection w:val="lrTb"/>
            <w:noWrap w:val="false"/>
          </w:tcPr>
          <w:p>
            <w:pPr>
              <w:pStyle w:val="1063"/>
              <w:widowControl w:val="off"/>
              <w:rPr>
                <w:rFonts w:ascii="Arial Narrow" w:hAnsi="Arial Narrow" w:eastAsia="Lucida Sans Unicode" w:cs="Calibri"/>
                <w:sz w:val="20"/>
                <w:szCs w:val="20"/>
              </w:rPr>
            </w:pPr>
            <w:r>
              <w:rPr>
                <w:rFonts w:ascii="Arial Narrow" w:hAnsi="Arial Narrow" w:eastAsia="Lucida Sans Unicode" w:cs="Calibri"/>
                <w:sz w:val="20"/>
                <w:szCs w:val="20"/>
              </w:rPr>
            </w:r>
            <w:r>
              <w:rPr>
                <w:rFonts w:ascii="Arial Narrow" w:hAnsi="Arial Narrow" w:eastAsia="Lucida Sans Unicode" w:cs="Calibri"/>
                <w:sz w:val="20"/>
                <w:szCs w:val="20"/>
              </w:rPr>
            </w:r>
            <w:r>
              <w:rPr>
                <w:rFonts w:ascii="Arial Narrow" w:hAnsi="Arial Narrow" w:eastAsia="Lucida Sans Unicode" w:cs="Calibri"/>
                <w:sz w:val="20"/>
                <w:szCs w:val="20"/>
              </w:rPr>
            </w:r>
          </w:p>
        </w:tc>
        <w:tc>
          <w:tcPr>
            <w:tcBorders>
              <w:top w:val="single" w:color="000000" w:sz="4" w:space="0"/>
              <w:left w:val="single" w:color="000000" w:sz="4" w:space="0"/>
              <w:bottom w:val="single" w:color="000000" w:sz="4" w:space="0"/>
              <w:right w:val="single" w:color="000000" w:sz="4" w:space="0"/>
            </w:tcBorders>
            <w:tcW w:w="4397"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недостаточно очищенные</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4955" w:type="dxa"/>
            <w:vAlign w:val="bottom"/>
            <w:textDirection w:val="lrTb"/>
            <w:noWrap w:val="false"/>
          </w:tcPr>
          <w:p>
            <w:pPr>
              <w:pStyle w:val="1063"/>
              <w:widowControl w:val="off"/>
              <w:rPr>
                <w:rFonts w:ascii="Arial Narrow" w:hAnsi="Arial Narrow" w:eastAsia="Lucida Sans Unicode" w:cs="Calibri"/>
                <w:sz w:val="20"/>
                <w:szCs w:val="20"/>
              </w:rPr>
            </w:pPr>
            <w:r>
              <w:rPr>
                <w:rFonts w:ascii="Arial Narrow" w:hAnsi="Arial Narrow" w:eastAsia="Lucida Sans Unicode" w:cs="Calibri"/>
                <w:sz w:val="20"/>
                <w:szCs w:val="20"/>
              </w:rPr>
            </w:r>
            <w:r>
              <w:rPr>
                <w:rFonts w:ascii="Arial Narrow" w:hAnsi="Arial Narrow" w:eastAsia="Lucida Sans Unicode" w:cs="Calibri"/>
                <w:sz w:val="20"/>
                <w:szCs w:val="20"/>
              </w:rPr>
            </w:r>
            <w:r>
              <w:rPr>
                <w:rFonts w:ascii="Arial Narrow" w:hAnsi="Arial Narrow" w:eastAsia="Lucida Sans Unicode" w:cs="Calibri"/>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596" w:type="dxa"/>
            <w:vAlign w:val="center"/>
            <w:textDirection w:val="lrTb"/>
            <w:noWrap w:val="false"/>
          </w:tcPr>
          <w:p>
            <w:pPr>
              <w:pStyle w:val="1063"/>
              <w:widowControl w:val="off"/>
              <w:rPr>
                <w:rFonts w:ascii="Arial Narrow" w:hAnsi="Arial Narrow" w:eastAsia="Lucida Sans Unicode" w:cs="Calibri"/>
                <w:sz w:val="20"/>
                <w:szCs w:val="20"/>
              </w:rPr>
            </w:pPr>
            <w:r>
              <w:rPr>
                <w:rFonts w:ascii="Arial Narrow" w:hAnsi="Arial Narrow" w:eastAsia="Lucida Sans Unicode" w:cs="Calibri"/>
                <w:sz w:val="20"/>
                <w:szCs w:val="20"/>
              </w:rPr>
            </w:r>
            <w:r>
              <w:rPr>
                <w:rFonts w:ascii="Arial Narrow" w:hAnsi="Arial Narrow" w:eastAsia="Lucida Sans Unicode" w:cs="Calibri"/>
                <w:sz w:val="20"/>
                <w:szCs w:val="20"/>
              </w:rPr>
            </w:r>
            <w:r>
              <w:rPr>
                <w:rFonts w:ascii="Arial Narrow" w:hAnsi="Arial Narrow" w:eastAsia="Lucida Sans Unicode" w:cs="Calibri"/>
                <w:sz w:val="20"/>
                <w:szCs w:val="20"/>
              </w:rPr>
            </w:r>
          </w:p>
        </w:tc>
        <w:tc>
          <w:tcPr>
            <w:tcBorders>
              <w:top w:val="single" w:color="000000" w:sz="4" w:space="0"/>
              <w:left w:val="single" w:color="000000" w:sz="4" w:space="0"/>
              <w:bottom w:val="single" w:color="000000" w:sz="4" w:space="0"/>
              <w:right w:val="single" w:color="000000" w:sz="4" w:space="0"/>
            </w:tcBorders>
            <w:tcW w:w="4397"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нормативно чистые (без очистки)</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4955" w:type="dxa"/>
            <w:vAlign w:val="bottom"/>
            <w:textDirection w:val="lrTb"/>
            <w:noWrap w:val="false"/>
          </w:tcPr>
          <w:p>
            <w:pPr>
              <w:pStyle w:val="1063"/>
              <w:jc w:val="center"/>
              <w:widowControl w:val="off"/>
              <w:rPr>
                <w:sz w:val="20"/>
                <w:szCs w:val="20"/>
              </w:rPr>
            </w:pPr>
            <w:r>
              <w:rPr>
                <w:rFonts w:ascii="Arial Narrow" w:hAnsi="Arial Narrow"/>
                <w:sz w:val="20"/>
                <w:szCs w:val="20"/>
              </w:rPr>
              <w:t xml:space="preserve">75 709,73</w:t>
            </w:r>
            <w:r>
              <w:rPr>
                <w:sz w:val="20"/>
                <w:szCs w:val="20"/>
              </w:rPr>
            </w:r>
            <w:r>
              <w:rPr>
                <w:sz w:val="20"/>
                <w:szCs w:val="20"/>
              </w:rPr>
            </w:r>
          </w:p>
        </w:tc>
      </w:tr>
      <w:tr>
        <w:trPr>
          <w:trHeight w:val="45"/>
        </w:trPr>
        <w:tc>
          <w:tcPr>
            <w:gridSpan w:val="2"/>
            <w:tcBorders>
              <w:top w:val="single" w:color="000000" w:sz="4" w:space="0"/>
              <w:left w:val="single" w:color="000000" w:sz="4" w:space="0"/>
              <w:bottom w:val="single" w:color="000000" w:sz="4" w:space="0"/>
              <w:right w:val="single" w:color="000000" w:sz="4" w:space="0"/>
            </w:tcBorders>
            <w:tcW w:w="4993" w:type="dxa"/>
            <w:vAlign w:val="bottom"/>
            <w:textDirection w:val="lrTb"/>
            <w:noWrap w:val="false"/>
          </w:tcPr>
          <w:p>
            <w:pPr>
              <w:pStyle w:val="1063"/>
              <w:widowControl w:val="off"/>
              <w:rPr>
                <w:sz w:val="20"/>
                <w:szCs w:val="20"/>
              </w:rPr>
            </w:pPr>
            <w:r>
              <w:rPr>
                <w:rFonts w:ascii="Arial Narrow" w:hAnsi="Arial Narrow" w:eastAsia="Lucida Sans Unicode" w:cs="Calibri"/>
                <w:sz w:val="20"/>
                <w:szCs w:val="20"/>
              </w:rPr>
              <w:t xml:space="preserve">по методу очистки</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4955" w:type="dxa"/>
            <w:vAlign w:val="bottom"/>
            <w:textDirection w:val="lrTb"/>
            <w:noWrap w:val="false"/>
          </w:tcPr>
          <w:p>
            <w:pPr>
              <w:pStyle w:val="1063"/>
              <w:widowControl w:val="off"/>
              <w:rPr>
                <w:rFonts w:ascii="Arial Narrow" w:hAnsi="Arial Narrow" w:eastAsia="Lucida Sans Unicode" w:cs="Calibri"/>
                <w:sz w:val="20"/>
                <w:szCs w:val="20"/>
              </w:rPr>
            </w:pPr>
            <w:r>
              <w:rPr>
                <w:rFonts w:ascii="Arial Narrow" w:hAnsi="Arial Narrow" w:eastAsia="Lucida Sans Unicode" w:cs="Calibri"/>
                <w:sz w:val="20"/>
                <w:szCs w:val="20"/>
              </w:rPr>
            </w:r>
            <w:r>
              <w:rPr>
                <w:rFonts w:ascii="Arial Narrow" w:hAnsi="Arial Narrow" w:eastAsia="Lucida Sans Unicode" w:cs="Calibri"/>
                <w:sz w:val="20"/>
                <w:szCs w:val="20"/>
              </w:rPr>
            </w:r>
            <w:r>
              <w:rPr>
                <w:rFonts w:ascii="Arial Narrow" w:hAnsi="Arial Narrow" w:eastAsia="Lucida Sans Unicode" w:cs="Calibri"/>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596" w:type="dxa"/>
            <w:vAlign w:val="center"/>
            <w:textDirection w:val="lrTb"/>
            <w:noWrap w:val="false"/>
          </w:tcPr>
          <w:p>
            <w:pPr>
              <w:pStyle w:val="1063"/>
              <w:widowControl w:val="off"/>
              <w:rPr>
                <w:rFonts w:ascii="Arial Narrow" w:hAnsi="Arial Narrow" w:eastAsia="Lucida Sans Unicode" w:cs="Calibri"/>
                <w:sz w:val="20"/>
                <w:szCs w:val="20"/>
              </w:rPr>
            </w:pPr>
            <w:r>
              <w:rPr>
                <w:rFonts w:ascii="Arial Narrow" w:hAnsi="Arial Narrow" w:eastAsia="Lucida Sans Unicode" w:cs="Calibri"/>
                <w:sz w:val="20"/>
                <w:szCs w:val="20"/>
              </w:rPr>
            </w:r>
            <w:r>
              <w:rPr>
                <w:rFonts w:ascii="Arial Narrow" w:hAnsi="Arial Narrow" w:eastAsia="Lucida Sans Unicode" w:cs="Calibri"/>
                <w:sz w:val="20"/>
                <w:szCs w:val="20"/>
              </w:rPr>
            </w:r>
            <w:r>
              <w:rPr>
                <w:rFonts w:ascii="Arial Narrow" w:hAnsi="Arial Narrow" w:eastAsia="Lucida Sans Unicode" w:cs="Calibri"/>
                <w:sz w:val="20"/>
                <w:szCs w:val="20"/>
              </w:rPr>
            </w:r>
          </w:p>
        </w:tc>
        <w:tc>
          <w:tcPr>
            <w:tcBorders>
              <w:top w:val="single" w:color="000000" w:sz="4" w:space="0"/>
              <w:left w:val="single" w:color="000000" w:sz="4" w:space="0"/>
              <w:bottom w:val="single" w:color="000000" w:sz="4" w:space="0"/>
              <w:right w:val="single" w:color="000000" w:sz="4" w:space="0"/>
            </w:tcBorders>
            <w:tcW w:w="4397"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механическая</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4955" w:type="dxa"/>
            <w:vAlign w:val="center"/>
            <w:textDirection w:val="lrTb"/>
            <w:noWrap w:val="false"/>
          </w:tcPr>
          <w:p>
            <w:pPr>
              <w:pStyle w:val="1063"/>
              <w:jc w:val="center"/>
              <w:widowControl w:val="off"/>
              <w:rPr>
                <w:sz w:val="20"/>
                <w:szCs w:val="20"/>
              </w:rPr>
            </w:pPr>
            <w:r>
              <w:rPr>
                <w:rFonts w:ascii="Arial Narrow" w:hAnsi="Arial Narrow"/>
                <w:sz w:val="20"/>
                <w:szCs w:val="20"/>
              </w:rPr>
              <w:t xml:space="preserve">42,46</w:t>
            </w:r>
            <w:r>
              <w:rPr>
                <w:sz w:val="20"/>
                <w:szCs w:val="20"/>
              </w:rPr>
            </w:r>
            <w:r>
              <w:rPr>
                <w:sz w:val="20"/>
                <w:szCs w:val="20"/>
              </w:rPr>
            </w:r>
          </w:p>
        </w:tc>
      </w:tr>
      <w:tr>
        <w:trPr>
          <w:trHeight w:val="45"/>
        </w:trPr>
        <w:tc>
          <w:tcPr>
            <w:tcBorders>
              <w:top w:val="single" w:color="000000" w:sz="4" w:space="0"/>
              <w:left w:val="single" w:color="000000" w:sz="4" w:space="0"/>
              <w:bottom w:val="single" w:color="000000" w:sz="4" w:space="0"/>
              <w:right w:val="single" w:color="000000" w:sz="4" w:space="0"/>
            </w:tcBorders>
            <w:tcW w:w="596" w:type="dxa"/>
            <w:vAlign w:val="center"/>
            <w:textDirection w:val="lrTb"/>
            <w:noWrap w:val="false"/>
          </w:tcPr>
          <w:p>
            <w:pPr>
              <w:pStyle w:val="1063"/>
              <w:widowControl w:val="off"/>
              <w:rPr>
                <w:rFonts w:ascii="Arial Narrow" w:hAnsi="Arial Narrow" w:eastAsia="Lucida Sans Unicode" w:cs="Calibri"/>
                <w:sz w:val="20"/>
                <w:szCs w:val="20"/>
              </w:rPr>
            </w:pPr>
            <w:r>
              <w:rPr>
                <w:rFonts w:ascii="Arial Narrow" w:hAnsi="Arial Narrow" w:eastAsia="Lucida Sans Unicode" w:cs="Calibri"/>
                <w:sz w:val="20"/>
                <w:szCs w:val="20"/>
              </w:rPr>
            </w:r>
            <w:r>
              <w:rPr>
                <w:rFonts w:ascii="Arial Narrow" w:hAnsi="Arial Narrow" w:eastAsia="Lucida Sans Unicode" w:cs="Calibri"/>
                <w:sz w:val="20"/>
                <w:szCs w:val="20"/>
              </w:rPr>
            </w:r>
            <w:r>
              <w:rPr>
                <w:rFonts w:ascii="Arial Narrow" w:hAnsi="Arial Narrow" w:eastAsia="Lucida Sans Unicode" w:cs="Calibri"/>
                <w:sz w:val="20"/>
                <w:szCs w:val="20"/>
              </w:rPr>
            </w:r>
          </w:p>
        </w:tc>
        <w:tc>
          <w:tcPr>
            <w:tcBorders>
              <w:top w:val="single" w:color="000000" w:sz="4" w:space="0"/>
              <w:left w:val="single" w:color="000000" w:sz="4" w:space="0"/>
              <w:bottom w:val="single" w:color="000000" w:sz="4" w:space="0"/>
              <w:right w:val="single" w:color="000000" w:sz="4" w:space="0"/>
            </w:tcBorders>
            <w:tcW w:w="4397" w:type="dxa"/>
            <w:vAlign w:val="center"/>
            <w:textDirection w:val="lrTb"/>
            <w:noWrap w:val="false"/>
          </w:tcPr>
          <w:p>
            <w:pPr>
              <w:pStyle w:val="1063"/>
              <w:widowControl w:val="off"/>
              <w:rPr>
                <w:sz w:val="20"/>
                <w:szCs w:val="20"/>
              </w:rPr>
            </w:pPr>
            <w:r>
              <w:rPr>
                <w:rFonts w:ascii="Arial Narrow" w:hAnsi="Arial Narrow" w:eastAsia="Lucida Sans Unicode" w:cs="Calibri"/>
                <w:sz w:val="20"/>
                <w:szCs w:val="20"/>
              </w:rPr>
              <w:t xml:space="preserve">биологическая</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4955" w:type="dxa"/>
            <w:vAlign w:val="center"/>
            <w:textDirection w:val="lrTb"/>
            <w:noWrap w:val="false"/>
          </w:tcPr>
          <w:p>
            <w:pPr>
              <w:pStyle w:val="1063"/>
              <w:jc w:val="center"/>
              <w:widowControl w:val="off"/>
              <w:rPr>
                <w:sz w:val="20"/>
                <w:szCs w:val="20"/>
              </w:rPr>
            </w:pPr>
            <w:r>
              <w:rPr>
                <w:rFonts w:ascii="Arial Narrow" w:hAnsi="Arial Narrow"/>
                <w:sz w:val="20"/>
                <w:szCs w:val="20"/>
              </w:rPr>
              <w:t xml:space="preserve">249,07</w:t>
            </w:r>
            <w:r>
              <w:rPr>
                <w:sz w:val="20"/>
                <w:szCs w:val="20"/>
              </w:rPr>
            </w:r>
            <w:r>
              <w:rPr>
                <w:sz w:val="20"/>
                <w:szCs w:val="20"/>
              </w:rPr>
            </w:r>
          </w:p>
        </w:tc>
      </w:tr>
    </w:tbl>
    <w:p>
      <w:pPr>
        <w:pStyle w:val="1063"/>
        <w:ind w:left="142" w:firstLine="567"/>
        <w:jc w:val="both"/>
        <w:rPr>
          <w:rFonts w:ascii="Arial Narrow" w:hAnsi="Arial Narrow" w:cs="Calibri"/>
        </w:rPr>
      </w:pPr>
      <w:r>
        <w:rPr>
          <w:rFonts w:ascii="Arial Narrow" w:hAnsi="Arial Narrow" w:cs="Calibri"/>
        </w:rPr>
      </w:r>
      <w:r>
        <w:rPr>
          <w:rFonts w:ascii="Arial Narrow" w:hAnsi="Arial Narrow" w:cs="Calibri"/>
        </w:rPr>
      </w:r>
      <w:r>
        <w:rPr>
          <w:rFonts w:ascii="Arial Narrow" w:hAnsi="Arial Narrow" w:cs="Calibri"/>
        </w:rPr>
      </w:r>
    </w:p>
    <w:p>
      <w:pPr>
        <w:pStyle w:val="1063"/>
        <w:ind w:firstLine="567"/>
        <w:jc w:val="both"/>
      </w:pPr>
      <w:r>
        <w:rPr>
          <w:rFonts w:ascii="Arial Narrow" w:hAnsi="Arial Narrow" w:cs="Calibri"/>
        </w:rPr>
        <w:t xml:space="preserve">ПАО «Камчатскэнерго» осуществляет использование поверхностных водных объектов в целях отведения производственных сточных вод на основании разрешительной документации.</w:t>
      </w:r>
      <w:r/>
    </w:p>
    <w:p>
      <w:pPr>
        <w:pStyle w:val="1063"/>
        <w:ind w:firstLine="567"/>
        <w:jc w:val="both"/>
      </w:pPr>
      <w:r>
        <w:rPr>
          <w:rFonts w:ascii="Arial Narrow" w:hAnsi="Arial Narrow" w:cs="Calibri"/>
        </w:rPr>
        <w:t xml:space="preserve">Забор воды производственными объектами ПАО «Камчатскэнерго» не оказывает существенного влияния на водные объекты.</w:t>
      </w:r>
      <w:r/>
    </w:p>
    <w:p>
      <w:pPr>
        <w:pStyle w:val="1063"/>
        <w:ind w:firstLine="567"/>
        <w:jc w:val="both"/>
      </w:pPr>
      <w:r>
        <w:rPr>
          <w:rFonts w:ascii="Arial Narrow" w:hAnsi="Arial Narrow" w:cs="Calibri"/>
        </w:rPr>
        <w:t xml:space="preserve">На градирнях предприятий ПАО «Камчатскэнерго» используется вода в системах оборотного водоснабжения – 1 440,0 тыс. куб. м.</w:t>
      </w:r>
      <w:r/>
    </w:p>
    <w:p>
      <w:pPr>
        <w:pStyle w:val="1063"/>
        <w:jc w:val="both"/>
        <w:tabs>
          <w:tab w:val="left" w:pos="566" w:leader="none"/>
          <w:tab w:val="left" w:pos="850" w:leader="none"/>
        </w:tabs>
        <w:rPr>
          <w:rFonts w:ascii="Arial Narrow" w:hAnsi="Arial Narrow" w:cs="Calibri"/>
          <w:color w:val="314e87"/>
        </w:rPr>
      </w:pPr>
      <w:r>
        <w:rPr>
          <w:rFonts w:ascii="Arial Narrow" w:hAnsi="Arial Narrow" w:cs="Calibri"/>
          <w:color w:val="314e87"/>
        </w:rPr>
      </w:r>
      <w:r>
        <w:rPr>
          <w:rFonts w:ascii="Arial Narrow" w:hAnsi="Arial Narrow" w:cs="Calibri"/>
          <w:color w:val="314e87"/>
        </w:rPr>
      </w:r>
      <w:r>
        <w:rPr>
          <w:rFonts w:ascii="Arial Narrow" w:hAnsi="Arial Narrow" w:cs="Calibri"/>
          <w:color w:val="314e87"/>
        </w:rPr>
      </w:r>
    </w:p>
    <w:p>
      <w:pPr>
        <w:pStyle w:val="1063"/>
        <w:jc w:val="both"/>
        <w:tabs>
          <w:tab w:val="left" w:pos="566" w:leader="none"/>
          <w:tab w:val="left" w:pos="850" w:leader="none"/>
        </w:tabs>
        <w:rPr>
          <w:rFonts w:ascii="Arial Narrow" w:hAnsi="Arial Narrow" w:cs="Calibri"/>
          <w:b/>
          <w:color w:val="314e87"/>
        </w:rPr>
      </w:pPr>
      <w:r>
        <w:rPr>
          <w:rFonts w:ascii="Arial Narrow" w:hAnsi="Arial Narrow" w:cs="Calibri"/>
          <w:b/>
          <w:color w:val="314e87"/>
        </w:rPr>
        <w:t xml:space="preserve">Отходы</w:t>
      </w:r>
      <w:r>
        <w:rPr>
          <w:rFonts w:ascii="Arial Narrow" w:hAnsi="Arial Narrow" w:cs="Calibri"/>
          <w:b/>
          <w:color w:val="314e87"/>
        </w:rPr>
      </w:r>
      <w:r>
        <w:rPr>
          <w:rFonts w:ascii="Arial Narrow" w:hAnsi="Arial Narrow" w:cs="Calibri"/>
          <w:b/>
          <w:color w:val="314e87"/>
        </w:rPr>
      </w:r>
    </w:p>
    <w:p>
      <w:pPr>
        <w:pStyle w:val="1063"/>
        <w:jc w:val="both"/>
        <w:tabs>
          <w:tab w:val="left" w:pos="566" w:leader="none"/>
          <w:tab w:val="left" w:pos="850" w:leader="none"/>
        </w:tabs>
        <w:rPr>
          <w:sz w:val="12"/>
          <w:szCs w:val="12"/>
        </w:rPr>
      </w:pPr>
      <w:r>
        <w:rPr>
          <w:sz w:val="12"/>
          <w:szCs w:val="12"/>
        </w:rPr>
      </w:r>
      <w:r>
        <w:rPr>
          <w:sz w:val="12"/>
          <w:szCs w:val="12"/>
        </w:rPr>
      </w:r>
      <w:r>
        <w:rPr>
          <w:sz w:val="12"/>
          <w:szCs w:val="12"/>
        </w:rPr>
      </w:r>
    </w:p>
    <w:p>
      <w:pPr>
        <w:pStyle w:val="1063"/>
        <w:ind w:firstLine="567"/>
        <w:jc w:val="both"/>
      </w:pPr>
      <w:r>
        <w:rPr>
          <w:rFonts w:ascii="Arial Narrow" w:hAnsi="Arial Narrow" w:cs="Calibri"/>
        </w:rPr>
        <w:t xml:space="preserve">ПАО «Камчатскэнерго» осуществляет деятельность по сбору, транспортированию, обработке, утилизации, обезвреживанию, размещению отходов I-IV классов опасности на основании лицензии </w:t>
      </w:r>
      <w:r>
        <w:rPr>
          <w:rFonts w:ascii="Arial Narrow" w:hAnsi="Arial Narrow" w:cs="Calibri"/>
        </w:rPr>
        <w:br/>
        <w:t xml:space="preserve">от 24.07.2012 № Л020-00113-41/00101694.</w:t>
      </w:r>
      <w:r/>
    </w:p>
    <w:p>
      <w:pPr>
        <w:pStyle w:val="1063"/>
        <w:ind w:firstLine="567"/>
        <w:jc w:val="both"/>
      </w:pPr>
      <w:r>
        <w:rPr>
          <w:rFonts w:ascii="Arial Narrow" w:hAnsi="Arial Narrow" w:cs="Calibri"/>
        </w:rPr>
        <w:t xml:space="preserve">Радиоактивные отходы, а также отходы с содержание поли хлоридных бифенилов (ПХБ) -  </w:t>
      </w:r>
      <w:r>
        <w:rPr>
          <w:rFonts w:ascii="Arial Narrow" w:hAnsi="Arial Narrow" w:cs="Calibri"/>
        </w:rPr>
        <w:br/>
        <w:t xml:space="preserve">в 2024 году не образовывались.</w:t>
      </w:r>
      <w:r/>
    </w:p>
    <w:p>
      <w:pPr>
        <w:pStyle w:val="1063"/>
        <w:ind w:firstLine="567"/>
        <w:jc w:val="both"/>
      </w:pPr>
      <w:r>
        <w:rPr>
          <w:rFonts w:ascii="Arial Narrow" w:hAnsi="Arial Narrow" w:cs="Calibri"/>
        </w:rPr>
        <w:t xml:space="preserve">В целях реализации мероприятий, направленных на сниже</w:t>
      </w:r>
      <w:r>
        <w:rPr>
          <w:rFonts w:ascii="Arial Narrow" w:hAnsi="Arial Narrow" w:cs="Calibri"/>
        </w:rPr>
        <w:t xml:space="preserve">ние объемов накопления золошлаковых отходов, образующихся на котельных филиала ПАО «Камчатскэнерго» Коммунальная энергетика, разработаны Технические условия на Нерудные Неклассифицированные Инертные Материалы (ННИМ). Получен Сертификат соответствия № РОСС </w:t>
      </w:r>
      <w:r>
        <w:rPr>
          <w:rFonts w:ascii="Arial Narrow" w:hAnsi="Arial Narrow" w:cs="Calibri"/>
          <w:lang w:val="en-US"/>
        </w:rPr>
        <w:t xml:space="preserve">RU</w:t>
      </w:r>
      <w:r>
        <w:rPr>
          <w:rFonts w:ascii="Arial Narrow" w:hAnsi="Arial Narrow" w:cs="Calibri"/>
        </w:rPr>
        <w:t xml:space="preserve">.НЕ06.Н21808. Область применения ННИМ Котельной ПАО «Камчатскэнерго» в соответствии с Паспор</w:t>
      </w:r>
      <w:r>
        <w:rPr>
          <w:rFonts w:ascii="Arial Narrow" w:hAnsi="Arial Narrow" w:cs="Calibri"/>
        </w:rPr>
        <w:t xml:space="preserve">том: для рекультивации земель, вертикальной планировки территорий (исключая жилую застройку), применения в дорожном хозяйстве, при изготовлении строительных материалов и формирования промежуточного изолирующего слоя на полигонах ТКО и промышленных отходов.</w:t>
      </w:r>
      <w:r/>
    </w:p>
    <w:p>
      <w:pPr>
        <w:pStyle w:val="1063"/>
        <w:ind w:firstLine="567"/>
        <w:jc w:val="both"/>
      </w:pPr>
      <w:r>
        <w:rPr>
          <w:rFonts w:ascii="Arial Narrow" w:hAnsi="Arial Narrow" w:cs="Calibri"/>
        </w:rPr>
        <w:t xml:space="preserve">В соответствии с действующим законодательством для объектов НВОС I - II категории нормативы образования отходов и лимиты на их размещение, выданные до 01.01.2019 действуют до получения КЭР, ДВОС.</w:t>
      </w:r>
      <w:r/>
    </w:p>
    <w:p>
      <w:pPr>
        <w:pStyle w:val="1063"/>
        <w:ind w:firstLine="567"/>
        <w:jc w:val="both"/>
      </w:pPr>
      <w:r>
        <w:rPr>
          <w:rFonts w:ascii="Arial Narrow" w:hAnsi="Arial Narrow" w:cs="Calibri"/>
        </w:rPr>
        <w:t xml:space="preserve">В соответствии с ч. 2 статьи 18 Федерального закона от 24.06.1998 № 89-ФЗ «Об отходах производства и потребления» для объектов III, IV категории нормативы образования отходов и лимиты на их размещение не разрабатываются и не устанавливаются.</w:t>
      </w:r>
      <w:r/>
    </w:p>
    <w:p>
      <w:pPr>
        <w:pStyle w:val="1063"/>
        <w:ind w:firstLine="567"/>
        <w:jc w:val="both"/>
      </w:pPr>
      <w:r>
        <w:rPr>
          <w:rFonts w:ascii="Arial Narrow" w:hAnsi="Arial Narrow" w:cs="Calibri"/>
        </w:rPr>
        <w:t xml:space="preserve">За 2024 год в Обществе образовалось 11 929,661 тонн отходов производства и потребления, из них:</w:t>
      </w:r>
      <w:r>
        <w:rPr>
          <w:rFonts w:ascii="Arial Narrow" w:hAnsi="Arial Narrow" w:cs="Calibri"/>
        </w:rPr>
        <w:br/>
        <w:t xml:space="preserve">I класса опасности 0,349 тонн; II класса опасности 0,026 тонн; III класса опасности 19,805 тонн; IV класса опасности 277,172 тонн; V класса опасности 11 632,309 тонн.</w:t>
      </w:r>
      <w:r/>
    </w:p>
    <w:p>
      <w:pPr>
        <w:pStyle w:val="1063"/>
        <w:ind w:firstLine="567"/>
        <w:jc w:val="both"/>
      </w:pPr>
      <w:r>
        <w:rPr>
          <w:rFonts w:ascii="Arial Narrow" w:hAnsi="Arial Narrow" w:cs="Calibri"/>
        </w:rPr>
        <w:t xml:space="preserve">В 2024 году по сравнению с 2023 годом образовалось отходов на 1 798,28 тонн меньше, отклонение составило 13,1 %.</w:t>
      </w:r>
      <w:r/>
    </w:p>
    <w:p>
      <w:pPr>
        <w:pStyle w:val="1063"/>
        <w:ind w:firstLine="567"/>
        <w:jc w:val="both"/>
      </w:pPr>
      <w:r>
        <w:rPr>
          <w:rFonts w:ascii="Arial Narrow" w:hAnsi="Arial Narrow" w:cs="Calibri"/>
        </w:rPr>
        <w:t xml:space="preserve">Образующиеся отходы по договорам передаются специализированным организациям для размещения, обезвреживания, обработки, утилизации.</w:t>
      </w:r>
      <w:r/>
    </w:p>
    <w:p>
      <w:pPr>
        <w:pStyle w:val="1063"/>
        <w:jc w:val="both"/>
        <w:spacing w:before="120" w:after="120"/>
        <w:tabs>
          <w:tab w:val="left" w:pos="566" w:leader="none"/>
          <w:tab w:val="left" w:pos="850" w:leader="none"/>
        </w:tabs>
        <w:rPr>
          <w:rFonts w:ascii="Arial Narrow" w:hAnsi="Arial Narrow" w:cs="Calibri"/>
          <w:color w:val="314e87"/>
        </w:rPr>
      </w:pPr>
      <w:r>
        <w:rPr>
          <w:rFonts w:ascii="Arial Narrow" w:hAnsi="Arial Narrow" w:cs="Calibri"/>
          <w:color w:val="314e87"/>
        </w:rPr>
      </w:r>
      <w:r>
        <w:rPr>
          <w:rFonts w:ascii="Arial Narrow" w:hAnsi="Arial Narrow" w:cs="Calibri"/>
          <w:color w:val="314e87"/>
        </w:rPr>
      </w:r>
      <w:r>
        <w:rPr>
          <w:rFonts w:ascii="Arial Narrow" w:hAnsi="Arial Narrow" w:cs="Calibri"/>
          <w:color w:val="314e87"/>
        </w:rPr>
      </w:r>
    </w:p>
    <w:p>
      <w:pPr>
        <w:rPr>
          <w:rFonts w:ascii="Arial Narrow" w:hAnsi="Arial Narrow" w:eastAsia="Arial" w:cs="Calibri"/>
          <w:b/>
          <w:color w:val="314e87"/>
          <w:sz w:val="24"/>
          <w:szCs w:val="24"/>
          <w:lang w:eastAsia="en-US"/>
        </w:rPr>
      </w:pPr>
      <w:r>
        <w:br w:type="page" w:clear="all"/>
      </w:r>
      <w:r>
        <w:rPr>
          <w:rFonts w:ascii="Arial Narrow" w:hAnsi="Arial Narrow" w:eastAsia="Arial" w:cs="Calibri"/>
          <w:b/>
          <w:color w:val="314e87"/>
          <w:sz w:val="24"/>
          <w:szCs w:val="24"/>
          <w:lang w:eastAsia="en-US"/>
        </w:rPr>
      </w:r>
      <w:r>
        <w:rPr>
          <w:rFonts w:ascii="Arial Narrow" w:hAnsi="Arial Narrow" w:eastAsia="Arial" w:cs="Calibri"/>
          <w:b/>
          <w:color w:val="314e87"/>
          <w:sz w:val="24"/>
          <w:szCs w:val="24"/>
          <w:lang w:eastAsia="en-US"/>
        </w:rPr>
      </w:r>
    </w:p>
    <w:p>
      <w:pPr>
        <w:pStyle w:val="1063"/>
        <w:jc w:val="both"/>
        <w:spacing w:before="120" w:after="120"/>
        <w:tabs>
          <w:tab w:val="left" w:pos="566" w:leader="none"/>
          <w:tab w:val="left" w:pos="850" w:leader="none"/>
        </w:tabs>
        <w:rPr>
          <w:rFonts w:ascii="Arial Narrow" w:hAnsi="Arial Narrow" w:cs="Calibri"/>
          <w:b/>
          <w:color w:val="314e87"/>
        </w:rPr>
      </w:pPr>
      <w:r>
        <w:rPr>
          <w:rFonts w:ascii="Arial Narrow" w:hAnsi="Arial Narrow" w:cs="Calibri"/>
          <w:b/>
          <w:color w:val="314e87"/>
        </w:rPr>
        <w:t xml:space="preserve">Деятельность по обращению с отходами производства и потребления, тонны</w:t>
      </w:r>
      <w:r>
        <w:rPr>
          <w:rFonts w:ascii="Arial Narrow" w:hAnsi="Arial Narrow" w:cs="Calibri"/>
          <w:b/>
          <w:color w:val="314e87"/>
        </w:rPr>
      </w:r>
      <w:r>
        <w:rPr>
          <w:rFonts w:ascii="Arial Narrow" w:hAnsi="Arial Narrow" w:cs="Calibri"/>
          <w:b/>
          <w:color w:val="314e87"/>
        </w:rPr>
      </w:r>
    </w:p>
    <w:p>
      <w:pPr>
        <w:pStyle w:val="1063"/>
        <w:ind w:firstLine="142"/>
        <w:jc w:val="right"/>
        <w:tabs>
          <w:tab w:val="left" w:pos="566" w:leader="none"/>
          <w:tab w:val="left" w:pos="850" w:leader="none"/>
        </w:tabs>
        <w:rPr>
          <w:sz w:val="12"/>
          <w:szCs w:val="12"/>
          <w:lang w:val="en-US"/>
        </w:rPr>
      </w:pPr>
      <w:r>
        <w:rPr>
          <w:rFonts w:ascii="Arial Narrow" w:hAnsi="Arial Narrow" w:eastAsia="Calibri" w:cs="Calibri"/>
          <w:i/>
          <w:lang w:eastAsia="ja-JP"/>
        </w:rPr>
        <w:t xml:space="preserve">Таблица № 48</w:t>
      </w:r>
      <w:r>
        <w:rPr>
          <w:sz w:val="12"/>
          <w:szCs w:val="12"/>
          <w:lang w:val="en-US"/>
        </w:rPr>
      </w:r>
      <w:r>
        <w:rPr>
          <w:sz w:val="12"/>
          <w:szCs w:val="12"/>
          <w:lang w:val="en-US"/>
        </w:rPr>
      </w:r>
    </w:p>
    <w:tbl>
      <w:tblPr>
        <w:tblW w:w="10200" w:type="dxa"/>
        <w:jc w:val="center"/>
        <w:tblLayout w:type="fixed"/>
        <w:tblCellMar>
          <w:left w:w="20" w:type="dxa"/>
          <w:top w:w="20" w:type="dxa"/>
          <w:right w:w="20" w:type="dxa"/>
        </w:tblCellMar>
        <w:tblLook w:val="04A0" w:firstRow="1" w:lastRow="0" w:firstColumn="1" w:lastColumn="0" w:noHBand="0" w:noVBand="1"/>
      </w:tblPr>
      <w:tblGrid>
        <w:gridCol w:w="842"/>
        <w:gridCol w:w="1849"/>
        <w:gridCol w:w="2411"/>
        <w:gridCol w:w="2268"/>
        <w:gridCol w:w="1554"/>
        <w:gridCol w:w="1276"/>
      </w:tblGrid>
      <w:tr>
        <w:trPr>
          <w:jc w:val="center"/>
          <w:trHeight w:val="255"/>
        </w:trPr>
        <w:tc>
          <w:tcPr>
            <w:tcBorders>
              <w:top w:val="single" w:color="000000" w:sz="4" w:space="0"/>
              <w:left w:val="single" w:color="000000" w:sz="4" w:space="0"/>
              <w:bottom w:val="single" w:color="000000" w:sz="4" w:space="0"/>
              <w:right w:val="single" w:color="000000" w:sz="4" w:space="0"/>
            </w:tcBorders>
            <w:tcW w:w="841" w:type="dxa"/>
            <w:vAlign w:val="center"/>
            <w:textDirection w:val="lrTb"/>
            <w:noWrap w:val="false"/>
          </w:tcPr>
          <w:p>
            <w:pPr>
              <w:pStyle w:val="1063"/>
              <w:jc w:val="center"/>
              <w:widowControl w:val="off"/>
              <w:rPr>
                <w:rFonts w:ascii="Arial Narrow" w:hAnsi="Arial Narrow" w:cs="Calibri"/>
                <w:bCs/>
                <w:sz w:val="20"/>
                <w:szCs w:val="20"/>
              </w:rPr>
            </w:pPr>
            <w:r>
              <w:rPr>
                <w:rFonts w:ascii="Arial Narrow" w:hAnsi="Arial Narrow" w:cs="Calibri"/>
                <w:bCs/>
                <w:sz w:val="20"/>
                <w:szCs w:val="20"/>
              </w:rPr>
              <w:t xml:space="preserve">№</w:t>
            </w:r>
            <w:r>
              <w:rPr>
                <w:rFonts w:ascii="Arial Narrow" w:hAnsi="Arial Narrow" w:cs="Calibri"/>
                <w:bCs/>
                <w:sz w:val="20"/>
                <w:szCs w:val="20"/>
              </w:rPr>
            </w:r>
            <w:r>
              <w:rPr>
                <w:rFonts w:ascii="Arial Narrow" w:hAnsi="Arial Narrow" w:cs="Calibri"/>
                <w:bCs/>
                <w:sz w:val="20"/>
                <w:szCs w:val="20"/>
              </w:rPr>
            </w:r>
          </w:p>
        </w:tc>
        <w:tc>
          <w:tcPr>
            <w:tcBorders>
              <w:top w:val="single" w:color="000000" w:sz="4" w:space="0"/>
              <w:left w:val="single" w:color="000000" w:sz="4" w:space="0"/>
              <w:bottom w:val="single" w:color="000000" w:sz="4" w:space="0"/>
              <w:right w:val="single" w:color="000000" w:sz="4" w:space="0"/>
            </w:tcBorders>
            <w:tcW w:w="1849" w:type="dxa"/>
            <w:vAlign w:val="center"/>
            <w:textDirection w:val="lrTb"/>
            <w:noWrap w:val="false"/>
          </w:tcPr>
          <w:p>
            <w:pPr>
              <w:pStyle w:val="1063"/>
              <w:jc w:val="center"/>
              <w:widowControl w:val="off"/>
              <w:rPr>
                <w:sz w:val="20"/>
                <w:szCs w:val="20"/>
              </w:rPr>
            </w:pPr>
            <w:r>
              <w:rPr>
                <w:rFonts w:ascii="Arial Narrow" w:hAnsi="Arial Narrow" w:cs="Calibri"/>
                <w:bCs/>
              </w:rPr>
              <w:t xml:space="preserve">Образовалось отходов за</w:t>
            </w:r>
            <w:r>
              <w:rPr>
                <w:rFonts w:ascii="Arial Narrow" w:hAnsi="Arial Narrow" w:cs="Calibri"/>
                <w:bCs/>
                <w:sz w:val="20"/>
                <w:szCs w:val="20"/>
              </w:rPr>
              <w:t xml:space="preserve"> 2024 г.</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2411"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Утилизировано, обезврежено, обработано на собственных объектах в 2024 г.</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Mar>
              <w:left w:w="5" w:type="dxa"/>
              <w:top w:w="0" w:type="dxa"/>
              <w:right w:w="5" w:type="dxa"/>
            </w:tcMar>
            <w:tcW w:w="2268"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Передано на утилизацию, обезвреживание, обработку в 2024 г.</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554"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Размещено на собственных объектах</w:t>
            </w:r>
            <w:r>
              <w:rPr>
                <w:sz w:val="20"/>
                <w:szCs w:val="20"/>
              </w:rPr>
            </w:r>
            <w:r>
              <w:rPr>
                <w:sz w:val="20"/>
                <w:szCs w:val="20"/>
              </w:rPr>
            </w:r>
          </w:p>
          <w:p>
            <w:pPr>
              <w:pStyle w:val="1063"/>
              <w:jc w:val="center"/>
              <w:widowControl w:val="off"/>
              <w:rPr>
                <w:sz w:val="20"/>
                <w:szCs w:val="20"/>
              </w:rPr>
            </w:pPr>
            <w:r>
              <w:rPr>
                <w:rFonts w:ascii="Arial Narrow" w:hAnsi="Arial Narrow" w:cs="Calibri"/>
                <w:bCs/>
                <w:sz w:val="20"/>
                <w:szCs w:val="20"/>
              </w:rPr>
              <w:t xml:space="preserve"> в 2024 г.</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Mar>
              <w:left w:w="5" w:type="dxa"/>
              <w:top w:w="0" w:type="dxa"/>
              <w:right w:w="5" w:type="dxa"/>
            </w:tcMar>
            <w:tcW w:w="1276"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Передано на размещение</w:t>
            </w:r>
            <w:r>
              <w:rPr>
                <w:sz w:val="20"/>
                <w:szCs w:val="20"/>
              </w:rPr>
            </w:r>
            <w:r>
              <w:rPr>
                <w:sz w:val="20"/>
                <w:szCs w:val="20"/>
              </w:rPr>
            </w:r>
          </w:p>
          <w:p>
            <w:pPr>
              <w:pStyle w:val="1063"/>
              <w:jc w:val="center"/>
              <w:widowControl w:val="off"/>
              <w:rPr>
                <w:sz w:val="20"/>
                <w:szCs w:val="20"/>
              </w:rPr>
            </w:pPr>
            <w:r>
              <w:rPr>
                <w:rFonts w:ascii="Arial Narrow" w:hAnsi="Arial Narrow" w:cs="Calibri"/>
                <w:bCs/>
                <w:sz w:val="20"/>
                <w:szCs w:val="20"/>
              </w:rPr>
              <w:t xml:space="preserve">в 2024 г.</w:t>
            </w:r>
            <w:r>
              <w:rPr>
                <w:sz w:val="20"/>
                <w:szCs w:val="20"/>
              </w:rPr>
            </w:r>
            <w:r>
              <w:rPr>
                <w:sz w:val="20"/>
                <w:szCs w:val="20"/>
              </w:rPr>
            </w:r>
          </w:p>
        </w:tc>
      </w:tr>
      <w:tr>
        <w:trPr>
          <w:jc w:val="center"/>
          <w:trHeight w:val="255"/>
        </w:trPr>
        <w:tc>
          <w:tcPr>
            <w:tcBorders>
              <w:top w:val="single" w:color="000000" w:sz="4" w:space="0"/>
              <w:left w:val="single" w:color="000000" w:sz="4" w:space="0"/>
              <w:bottom w:val="single" w:color="000000" w:sz="4" w:space="0"/>
              <w:right w:val="single" w:color="000000" w:sz="4" w:space="0"/>
            </w:tcBorders>
            <w:tcW w:w="841"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1</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849"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2</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2411"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3</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Mar>
              <w:left w:w="5" w:type="dxa"/>
              <w:top w:w="0" w:type="dxa"/>
              <w:right w:w="5" w:type="dxa"/>
            </w:tcMar>
            <w:tcW w:w="2268"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4</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554"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5</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Mar>
              <w:left w:w="5" w:type="dxa"/>
              <w:top w:w="0" w:type="dxa"/>
              <w:right w:w="5" w:type="dxa"/>
            </w:tcMar>
            <w:tcW w:w="1276"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6</w:t>
            </w:r>
            <w:r>
              <w:rPr>
                <w:sz w:val="20"/>
                <w:szCs w:val="20"/>
              </w:rPr>
            </w:r>
            <w:r>
              <w:rPr>
                <w:sz w:val="20"/>
                <w:szCs w:val="20"/>
              </w:rPr>
            </w:r>
          </w:p>
        </w:tc>
      </w:tr>
      <w:tr>
        <w:trPr>
          <w:jc w:val="center"/>
          <w:trHeight w:val="255"/>
        </w:trPr>
        <w:tc>
          <w:tcPr>
            <w:tcBorders>
              <w:top w:val="single" w:color="000000" w:sz="4" w:space="0"/>
              <w:left w:val="single" w:color="000000" w:sz="4" w:space="0"/>
              <w:bottom w:val="single" w:color="000000" w:sz="4" w:space="0"/>
              <w:right w:val="single" w:color="000000" w:sz="4" w:space="0"/>
            </w:tcBorders>
            <w:tcW w:w="841"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I КО</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849"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0,349</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2411"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0,0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Mar>
              <w:left w:w="5" w:type="dxa"/>
              <w:top w:w="0" w:type="dxa"/>
              <w:right w:w="5" w:type="dxa"/>
            </w:tcMar>
            <w:tcW w:w="2268"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0,403</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554"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0,0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Mar>
              <w:left w:w="5" w:type="dxa"/>
              <w:top w:w="0" w:type="dxa"/>
              <w:right w:w="5" w:type="dxa"/>
            </w:tcMar>
            <w:tcW w:w="1276"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0,0</w:t>
            </w:r>
            <w:r>
              <w:rPr>
                <w:sz w:val="20"/>
                <w:szCs w:val="20"/>
              </w:rPr>
            </w:r>
            <w:r>
              <w:rPr>
                <w:sz w:val="20"/>
                <w:szCs w:val="20"/>
              </w:rPr>
            </w:r>
          </w:p>
        </w:tc>
      </w:tr>
      <w:tr>
        <w:trPr>
          <w:jc w:val="center"/>
          <w:trHeight w:val="255"/>
        </w:trPr>
        <w:tc>
          <w:tcPr>
            <w:tcBorders>
              <w:top w:val="single" w:color="000000" w:sz="4" w:space="0"/>
              <w:left w:val="single" w:color="000000" w:sz="4" w:space="0"/>
              <w:bottom w:val="single" w:color="000000" w:sz="4" w:space="0"/>
              <w:right w:val="single" w:color="000000" w:sz="4" w:space="0"/>
            </w:tcBorders>
            <w:tcW w:w="841"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II КО</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849"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0,026</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2411"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0,0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Mar>
              <w:left w:w="5" w:type="dxa"/>
              <w:top w:w="0" w:type="dxa"/>
              <w:right w:w="5" w:type="dxa"/>
            </w:tcMar>
            <w:tcW w:w="2268"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0,026</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554"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0,0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Mar>
              <w:left w:w="5" w:type="dxa"/>
              <w:top w:w="0" w:type="dxa"/>
              <w:right w:w="5" w:type="dxa"/>
            </w:tcMar>
            <w:tcW w:w="1276"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0,0</w:t>
            </w:r>
            <w:r>
              <w:rPr>
                <w:sz w:val="20"/>
                <w:szCs w:val="20"/>
              </w:rPr>
            </w:r>
            <w:r>
              <w:rPr>
                <w:sz w:val="20"/>
                <w:szCs w:val="20"/>
              </w:rPr>
            </w:r>
          </w:p>
        </w:tc>
      </w:tr>
      <w:tr>
        <w:trPr>
          <w:jc w:val="center"/>
          <w:trHeight w:val="255"/>
        </w:trPr>
        <w:tc>
          <w:tcPr>
            <w:tcBorders>
              <w:top w:val="single" w:color="000000" w:sz="4" w:space="0"/>
              <w:left w:val="single" w:color="000000" w:sz="4" w:space="0"/>
              <w:bottom w:val="single" w:color="000000" w:sz="4" w:space="0"/>
              <w:right w:val="single" w:color="000000" w:sz="4" w:space="0"/>
            </w:tcBorders>
            <w:tcW w:w="841"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III КО</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849"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19,805</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2411"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0,0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Mar>
              <w:left w:w="5" w:type="dxa"/>
              <w:top w:w="0" w:type="dxa"/>
              <w:right w:w="5" w:type="dxa"/>
            </w:tcMar>
            <w:tcW w:w="2268"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23,615</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554"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0,0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Mar>
              <w:left w:w="5" w:type="dxa"/>
              <w:top w:w="0" w:type="dxa"/>
              <w:right w:w="5" w:type="dxa"/>
            </w:tcMar>
            <w:tcW w:w="1276"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0,0</w:t>
            </w:r>
            <w:r>
              <w:rPr>
                <w:sz w:val="20"/>
                <w:szCs w:val="20"/>
              </w:rPr>
            </w:r>
            <w:r>
              <w:rPr>
                <w:sz w:val="20"/>
                <w:szCs w:val="20"/>
              </w:rPr>
            </w:r>
          </w:p>
        </w:tc>
      </w:tr>
      <w:tr>
        <w:trPr>
          <w:jc w:val="center"/>
          <w:trHeight w:val="255"/>
        </w:trPr>
        <w:tc>
          <w:tcPr>
            <w:tcBorders>
              <w:top w:val="single" w:color="000000" w:sz="4" w:space="0"/>
              <w:left w:val="single" w:color="000000" w:sz="4" w:space="0"/>
              <w:bottom w:val="single" w:color="000000" w:sz="4" w:space="0"/>
              <w:right w:val="single" w:color="000000" w:sz="4" w:space="0"/>
            </w:tcBorders>
            <w:tcW w:w="841"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IV КО</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849"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277,172</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2411"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0,0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Mar>
              <w:left w:w="5" w:type="dxa"/>
              <w:top w:w="0" w:type="dxa"/>
              <w:right w:w="5" w:type="dxa"/>
            </w:tcMar>
            <w:tcW w:w="2268"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38,34</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554"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0,0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Mar>
              <w:left w:w="5" w:type="dxa"/>
              <w:top w:w="0" w:type="dxa"/>
              <w:right w:w="5" w:type="dxa"/>
            </w:tcMar>
            <w:tcW w:w="1276"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239,225</w:t>
            </w:r>
            <w:r>
              <w:rPr>
                <w:sz w:val="20"/>
                <w:szCs w:val="20"/>
              </w:rPr>
            </w:r>
            <w:r>
              <w:rPr>
                <w:sz w:val="20"/>
                <w:szCs w:val="20"/>
              </w:rPr>
            </w:r>
          </w:p>
        </w:tc>
      </w:tr>
      <w:tr>
        <w:trPr>
          <w:jc w:val="center"/>
          <w:trHeight w:val="255"/>
        </w:trPr>
        <w:tc>
          <w:tcPr>
            <w:tcBorders>
              <w:top w:val="single" w:color="000000" w:sz="4" w:space="0"/>
              <w:left w:val="single" w:color="000000" w:sz="4" w:space="0"/>
              <w:bottom w:val="single" w:color="000000" w:sz="4" w:space="0"/>
              <w:right w:val="single" w:color="000000" w:sz="4" w:space="0"/>
            </w:tcBorders>
            <w:tcW w:w="841"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V КО</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849"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11 632,309</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2411"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0,0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Mar>
              <w:left w:w="5" w:type="dxa"/>
              <w:top w:w="0" w:type="dxa"/>
              <w:right w:w="5" w:type="dxa"/>
            </w:tcMar>
            <w:tcW w:w="2268"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365,777</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554"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0,0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Mar>
              <w:left w:w="5" w:type="dxa"/>
              <w:top w:w="0" w:type="dxa"/>
              <w:right w:w="5" w:type="dxa"/>
            </w:tcMar>
            <w:tcW w:w="1276"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9 283,708</w:t>
            </w:r>
            <w:r>
              <w:rPr>
                <w:sz w:val="20"/>
                <w:szCs w:val="20"/>
              </w:rPr>
            </w:r>
            <w:r>
              <w:rPr>
                <w:sz w:val="20"/>
                <w:szCs w:val="20"/>
              </w:rPr>
            </w:r>
          </w:p>
        </w:tc>
      </w:tr>
      <w:tr>
        <w:trPr>
          <w:jc w:val="center"/>
          <w:trHeight w:val="255"/>
        </w:trPr>
        <w:tc>
          <w:tcPr>
            <w:tcBorders>
              <w:top w:val="single" w:color="000000" w:sz="4" w:space="0"/>
              <w:left w:val="single" w:color="000000" w:sz="4" w:space="0"/>
              <w:bottom w:val="single" w:color="000000" w:sz="4" w:space="0"/>
              <w:right w:val="single" w:color="000000" w:sz="4" w:space="0"/>
            </w:tcBorders>
            <w:tcW w:w="841"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Всего</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849"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11 929,661</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2411"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0,0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Mar>
              <w:left w:w="5" w:type="dxa"/>
              <w:top w:w="0" w:type="dxa"/>
              <w:right w:w="5" w:type="dxa"/>
            </w:tcMar>
            <w:tcW w:w="2268"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428,161</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1554"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0,0</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Mar>
              <w:left w:w="5" w:type="dxa"/>
              <w:top w:w="0" w:type="dxa"/>
              <w:right w:w="5" w:type="dxa"/>
            </w:tcMar>
            <w:tcW w:w="1276" w:type="dxa"/>
            <w:vAlign w:val="center"/>
            <w:textDirection w:val="lrTb"/>
            <w:noWrap w:val="false"/>
          </w:tcPr>
          <w:p>
            <w:pPr>
              <w:pStyle w:val="1063"/>
              <w:jc w:val="center"/>
              <w:widowControl w:val="off"/>
              <w:rPr>
                <w:sz w:val="20"/>
                <w:szCs w:val="20"/>
              </w:rPr>
            </w:pPr>
            <w:r>
              <w:rPr>
                <w:rFonts w:ascii="Arial Narrow" w:hAnsi="Arial Narrow" w:cs="Calibri"/>
                <w:bCs/>
                <w:sz w:val="20"/>
                <w:szCs w:val="20"/>
              </w:rPr>
              <w:t xml:space="preserve">9 522,933</w:t>
            </w:r>
            <w:r>
              <w:rPr>
                <w:sz w:val="20"/>
                <w:szCs w:val="20"/>
              </w:rPr>
            </w:r>
            <w:r>
              <w:rPr>
                <w:sz w:val="20"/>
                <w:szCs w:val="20"/>
              </w:rPr>
            </w:r>
          </w:p>
        </w:tc>
      </w:tr>
    </w:tbl>
    <w:p>
      <w:pPr>
        <w:pStyle w:val="1063"/>
        <w:ind w:firstLine="142"/>
        <w:jc w:val="both"/>
        <w:tabs>
          <w:tab w:val="left" w:pos="566" w:leader="none"/>
          <w:tab w:val="left" w:pos="850" w:leader="none"/>
        </w:tabs>
        <w:rPr>
          <w:rFonts w:ascii="Arial Narrow" w:hAnsi="Arial Narrow" w:cs="Calibri"/>
          <w:color w:val="314e87"/>
        </w:rPr>
      </w:pPr>
      <w:r>
        <w:rPr>
          <w:rFonts w:ascii="Arial Narrow" w:hAnsi="Arial Narrow" w:cs="Calibri"/>
          <w:color w:val="314e87"/>
        </w:rPr>
      </w:r>
      <w:r>
        <w:rPr>
          <w:rFonts w:ascii="Arial Narrow" w:hAnsi="Arial Narrow" w:cs="Calibri"/>
          <w:color w:val="314e87"/>
        </w:rPr>
      </w:r>
      <w:r>
        <w:rPr>
          <w:rFonts w:ascii="Arial Narrow" w:hAnsi="Arial Narrow" w:cs="Calibri"/>
          <w:color w:val="314e87"/>
        </w:rPr>
      </w:r>
    </w:p>
    <w:p>
      <w:pPr>
        <w:pStyle w:val="1063"/>
        <w:ind w:firstLine="142"/>
        <w:jc w:val="both"/>
        <w:spacing w:after="120"/>
        <w:tabs>
          <w:tab w:val="left" w:pos="566" w:leader="none"/>
          <w:tab w:val="left" w:pos="850" w:leader="none"/>
        </w:tabs>
        <w:rPr>
          <w:b/>
        </w:rPr>
      </w:pPr>
      <w:r>
        <w:rPr>
          <w:rFonts w:ascii="Arial Narrow" w:hAnsi="Arial Narrow" w:cs="Calibri"/>
          <w:b/>
          <w:color w:val="314e87"/>
        </w:rPr>
        <w:t xml:space="preserve">Биоразнообразие</w:t>
      </w:r>
      <w:r>
        <w:rPr>
          <w:b/>
        </w:rPr>
      </w:r>
      <w:r>
        <w:rPr>
          <w:b/>
        </w:rPr>
      </w:r>
    </w:p>
    <w:p>
      <w:pPr>
        <w:pStyle w:val="1063"/>
        <w:ind w:firstLine="567"/>
        <w:jc w:val="both"/>
      </w:pPr>
      <w:r>
        <w:rPr>
          <w:rFonts w:ascii="Arial Narrow" w:hAnsi="Arial Narrow" w:cs="Calibri"/>
        </w:rPr>
        <w:t xml:space="preserve">ПАО «Камчатскэнерго» не осуществляет деятельность, оказывающую прямое или косвенное воздействие на биоразнообразие на охраняемых природных территориях и территориях с высокой ценностью биоразнообразия вне их границ.</w:t>
      </w:r>
      <w:r/>
    </w:p>
    <w:p>
      <w:pPr>
        <w:pStyle w:val="1063"/>
        <w:ind w:firstLine="567"/>
        <w:jc w:val="both"/>
      </w:pPr>
      <w:r>
        <w:rPr>
          <w:rFonts w:ascii="Arial Narrow" w:hAnsi="Arial Narrow" w:cs="Calibri"/>
        </w:rPr>
        <w:t xml:space="preserve">Общество осознает свою ответственность за сохранение биоразнообразия водных объектов и на протяжении многих лет проводит природоохранные мероприятия по их сохранению.</w:t>
      </w:r>
      <w:r/>
    </w:p>
    <w:p>
      <w:pPr>
        <w:pStyle w:val="1063"/>
        <w:ind w:firstLine="567"/>
        <w:jc w:val="both"/>
      </w:pPr>
      <w:r>
        <w:rPr>
          <w:rFonts w:ascii="Arial Narrow" w:hAnsi="Arial Narrow" w:cs="Calibri"/>
        </w:rPr>
        <w:t xml:space="preserve">Водозабор Камчатской ТЭЦ-2 из озера Халактырское оборудован рыбозащитным устройством.</w:t>
      </w:r>
      <w:r/>
    </w:p>
    <w:p>
      <w:pPr>
        <w:pStyle w:val="1063"/>
        <w:ind w:firstLine="567"/>
        <w:jc w:val="both"/>
      </w:pPr>
      <w:r>
        <w:rPr>
          <w:rFonts w:ascii="Arial Narrow" w:hAnsi="Arial Narrow" w:cs="Calibri"/>
        </w:rPr>
        <w:t xml:space="preserve">Проектные и ремонтные работы по воздушным линиям, проходящим</w:t>
      </w:r>
      <w:r>
        <w:rPr>
          <w:rFonts w:ascii="Arial Narrow" w:hAnsi="Arial Narrow" w:cs="Calibri"/>
        </w:rPr>
        <w:t xml:space="preserve"> вблизи или через реки Камчатки, согласовываются с Камчатским отделением Тихоокеанского научно-исследовательского института рыбного хозяйства и океанографии для расчета рыбохозяйственного ущерба. ПАО «Камчатскэнерго» по рассчитанному рыбохозяйственному уще</w:t>
      </w:r>
      <w:r>
        <w:rPr>
          <w:rFonts w:ascii="Arial Narrow" w:hAnsi="Arial Narrow" w:cs="Calibri"/>
        </w:rPr>
        <w:t xml:space="preserve">рбу оплачивает рыборазводные работы и выпуск мальков в реки Камчатского края согласно заключенным договорам об искусственном воспроизводстве водных биологических ресурсов с Северо-Восточным территориальным управлением Федерального агентства по рыболовству.</w:t>
      </w:r>
      <w:r/>
    </w:p>
    <w:p>
      <w:pPr>
        <w:pStyle w:val="1063"/>
        <w:ind w:firstLine="567"/>
        <w:jc w:val="both"/>
      </w:pPr>
      <w:r>
        <w:rPr>
          <w:rFonts w:ascii="Arial Narrow" w:hAnsi="Arial Narrow" w:cs="Calibri"/>
        </w:rPr>
        <w:t xml:space="preserve">Вырубка деревьев при прокладке линий электропередач производится по согласованию с уполномоченными органами лесного хозяйства.</w:t>
      </w:r>
      <w:r/>
    </w:p>
    <w:p>
      <w:pPr>
        <w:pStyle w:val="1063"/>
        <w:ind w:firstLine="567"/>
        <w:jc w:val="both"/>
      </w:pPr>
      <w:r>
        <w:rPr>
          <w:rFonts w:ascii="Arial Narrow" w:hAnsi="Arial Narrow" w:cs="Calibri"/>
        </w:rPr>
        <w:t xml:space="preserve">Каскад Толмачевских ГЭС филиала Возобновляемая энергетика ПАО «Камчатскэнерго» находится на территории памятника природы «Толмачевские водопады», который относится к особо охраняемым природным территориям регионального значения.</w:t>
      </w:r>
      <w:r/>
    </w:p>
    <w:p>
      <w:pPr>
        <w:pStyle w:val="1063"/>
        <w:ind w:firstLine="567"/>
        <w:jc w:val="both"/>
      </w:pPr>
      <w:r>
        <w:rPr>
          <w:rFonts w:ascii="Arial Narrow" w:hAnsi="Arial Narrow" w:cs="Calibri"/>
        </w:rPr>
        <w:t xml:space="preserve">В 2024 году ПАО «Камчатскэнерго» не проводило работы по рекультивации земельных участков.</w:t>
      </w:r>
      <w:r/>
    </w:p>
    <w:p>
      <w:pPr>
        <w:pStyle w:val="1063"/>
        <w:ind w:firstLine="142"/>
        <w:jc w:val="both"/>
        <w:tabs>
          <w:tab w:val="left" w:pos="566" w:leader="none"/>
          <w:tab w:val="left" w:pos="850" w:leader="none"/>
        </w:tabs>
        <w:rPr>
          <w:rFonts w:ascii="Arial Narrow" w:hAnsi="Arial Narrow" w:cs="Calibri"/>
          <w:color w:val="314e87"/>
          <w:sz w:val="10"/>
          <w:szCs w:val="10"/>
        </w:rPr>
      </w:pPr>
      <w:r>
        <w:rPr>
          <w:rFonts w:ascii="Arial Narrow" w:hAnsi="Arial Narrow" w:cs="Calibri"/>
          <w:color w:val="314e87"/>
          <w:sz w:val="10"/>
          <w:szCs w:val="10"/>
        </w:rPr>
      </w:r>
      <w:r>
        <w:rPr>
          <w:rFonts w:ascii="Arial Narrow" w:hAnsi="Arial Narrow" w:cs="Calibri"/>
          <w:color w:val="314e87"/>
          <w:sz w:val="10"/>
          <w:szCs w:val="10"/>
        </w:rPr>
      </w:r>
      <w:r>
        <w:rPr>
          <w:rFonts w:ascii="Arial Narrow" w:hAnsi="Arial Narrow" w:cs="Calibri"/>
          <w:color w:val="314e87"/>
          <w:sz w:val="10"/>
          <w:szCs w:val="10"/>
        </w:rPr>
      </w:r>
    </w:p>
    <w:p>
      <w:pPr>
        <w:pStyle w:val="1063"/>
        <w:ind w:firstLine="142"/>
        <w:jc w:val="both"/>
        <w:spacing w:after="120"/>
        <w:tabs>
          <w:tab w:val="left" w:pos="566" w:leader="none"/>
          <w:tab w:val="left" w:pos="850" w:leader="none"/>
        </w:tabs>
        <w:rPr>
          <w:b/>
        </w:rPr>
      </w:pPr>
      <w:r>
        <w:rPr>
          <w:rFonts w:ascii="Arial Narrow" w:hAnsi="Arial Narrow" w:cs="Calibri"/>
          <w:b/>
          <w:color w:val="314e87"/>
        </w:rPr>
        <w:t xml:space="preserve">Применение перспективных технологий и решений</w:t>
      </w:r>
      <w:r>
        <w:rPr>
          <w:b/>
        </w:rPr>
      </w:r>
      <w:r>
        <w:rPr>
          <w:b/>
        </w:rPr>
      </w:r>
    </w:p>
    <w:p>
      <w:pPr>
        <w:pStyle w:val="1063"/>
        <w:ind w:firstLine="567"/>
        <w:jc w:val="both"/>
      </w:pPr>
      <w:r>
        <w:rPr>
          <w:rFonts w:ascii="Arial Narrow" w:hAnsi="Arial Narrow" w:cs="Calibri"/>
        </w:rPr>
        <w:t xml:space="preserve">В течение 2024 года две котельные филиала ПАО «Камч</w:t>
      </w:r>
      <w:r>
        <w:rPr>
          <w:rFonts w:ascii="Arial Narrow" w:hAnsi="Arial Narrow" w:cs="Calibri"/>
        </w:rPr>
        <w:t xml:space="preserve">атскэнерго» Коммунальная энергетика продолжают работу в рамках реализации проектов перевода на газовое топливо двух котельных, что является положительным фактором соблюдения санитарно-эпидемиологических требований к атмосферному воздуху в селитебных зонах.</w:t>
      </w:r>
      <w:r/>
    </w:p>
    <w:p>
      <w:pPr>
        <w:pStyle w:val="1063"/>
        <w:ind w:firstLine="567"/>
        <w:jc w:val="both"/>
      </w:pPr>
      <w:r>
        <w:rPr>
          <w:rFonts w:ascii="Arial Narrow" w:hAnsi="Arial Narrow" w:cs="Calibri"/>
        </w:rPr>
        <w:t xml:space="preserve">С целью возможности увеличения доли использования возобновляемых источников энергии в 2024 году ПАО «Камчатскэнерго» продолжает реализацию договоров с АО «Ленг</w:t>
      </w:r>
      <w:r>
        <w:rPr>
          <w:rFonts w:ascii="Arial Narrow" w:hAnsi="Arial Narrow" w:cs="Calibri"/>
        </w:rPr>
        <w:t xml:space="preserve">идропроект» на разработку проектно-изыскательских работ «Комплекс электроснабжения. Строительство бинарного энергоблока на площадке Мутновской ГеоЭС-1» и на разработку проектно-сметной документации по проекту «Строительство ГЭС-4 каскада Толмачевских ГЭС».</w:t>
      </w:r>
      <w:r/>
    </w:p>
    <w:p>
      <w:pPr>
        <w:pStyle w:val="1063"/>
        <w:ind w:firstLine="567"/>
        <w:jc w:val="both"/>
      </w:pPr>
      <w:r>
        <w:rPr>
          <w:rFonts w:ascii="Arial Narrow" w:hAnsi="Arial Narrow" w:cs="Calibri"/>
        </w:rPr>
        <w:t xml:space="preserve">Для увеличения доли использования Мутновского геотермального</w:t>
      </w:r>
      <w:r>
        <w:rPr>
          <w:rFonts w:ascii="Arial Narrow" w:hAnsi="Arial Narrow" w:cs="Calibri"/>
        </w:rPr>
        <w:t xml:space="preserve"> месторождения в 2024 году заключен меморандум между ПАО «РусГидро» и ООО «ЗН Геотерм» для совместной реализации проекта по строительству геотермальной электростанции Мутновской ГеоЭС-2 с бинарным энергоблоком, предполагающий следующую этапность работ:    </w:t>
      </w:r>
      <w:r/>
    </w:p>
    <w:p>
      <w:pPr>
        <w:pStyle w:val="1091"/>
        <w:numPr>
          <w:ilvl w:val="0"/>
          <w:numId w:val="18"/>
        </w:numPr>
        <w:ind w:left="0" w:firstLine="567"/>
        <w:jc w:val="both"/>
        <w:spacing w:line="276" w:lineRule="auto"/>
        <w:tabs>
          <w:tab w:val="left" w:pos="849" w:leader="none"/>
        </w:tabs>
        <w:rPr>
          <w:lang w:val="ru-RU"/>
        </w:rPr>
      </w:pPr>
      <w:r>
        <w:rPr>
          <w:rFonts w:ascii="Arial Narrow" w:hAnsi="Arial Narrow" w:cs="Calibri"/>
          <w:sz w:val="24"/>
          <w:szCs w:val="24"/>
          <w:lang w:val="ru-RU"/>
        </w:rPr>
        <w:t xml:space="preserve">Разработка проектно-сметной документации</w:t>
      </w:r>
      <w:r>
        <w:rPr>
          <w:rFonts w:ascii="Arial Narrow" w:hAnsi="Arial Narrow" w:cs="Calibri"/>
          <w:sz w:val="24"/>
          <w:szCs w:val="24"/>
        </w:rPr>
        <w:t xml:space="preserve"> </w:t>
      </w:r>
      <w:r>
        <w:rPr>
          <w:rFonts w:ascii="Arial Narrow" w:hAnsi="Arial Narrow" w:cs="Calibri"/>
          <w:sz w:val="24"/>
          <w:szCs w:val="24"/>
          <w:lang w:val="ru-RU"/>
        </w:rPr>
        <w:t xml:space="preserve">и</w:t>
      </w:r>
      <w:r>
        <w:rPr>
          <w:rFonts w:ascii="Arial Narrow" w:hAnsi="Arial Narrow" w:cs="Calibri"/>
          <w:sz w:val="24"/>
          <w:szCs w:val="24"/>
        </w:rPr>
        <w:t xml:space="preserve"> </w:t>
      </w:r>
      <w:r>
        <w:rPr>
          <w:rFonts w:ascii="Arial Narrow" w:hAnsi="Arial Narrow" w:cs="Calibri"/>
          <w:sz w:val="24"/>
          <w:szCs w:val="24"/>
          <w:lang w:val="ru-RU"/>
        </w:rPr>
        <w:t xml:space="preserve">проведение геологоразведочных работ, по итогам которой будет принято инвестиционное решение по целесообразности строительства</w:t>
      </w:r>
      <w:r>
        <w:rPr>
          <w:lang w:val="ru-RU"/>
        </w:rPr>
      </w:r>
      <w:r>
        <w:rPr>
          <w:lang w:val="ru-RU"/>
        </w:rPr>
      </w:r>
    </w:p>
    <w:p>
      <w:pPr>
        <w:pStyle w:val="1091"/>
        <w:numPr>
          <w:ilvl w:val="0"/>
          <w:numId w:val="18"/>
        </w:numPr>
        <w:ind w:left="0" w:firstLine="567"/>
        <w:jc w:val="both"/>
        <w:spacing w:line="276" w:lineRule="auto"/>
        <w:tabs>
          <w:tab w:val="left" w:pos="849" w:leader="none"/>
        </w:tabs>
        <w:rPr>
          <w:lang w:val="ru-RU"/>
        </w:rPr>
      </w:pPr>
      <w:r>
        <w:rPr>
          <w:rFonts w:ascii="Arial Narrow" w:hAnsi="Arial Narrow" w:cs="Calibri"/>
          <w:sz w:val="24"/>
          <w:szCs w:val="24"/>
          <w:lang w:val="ru-RU"/>
        </w:rPr>
        <w:t xml:space="preserve">При положительном решении по 1 Этапу —</w:t>
      </w:r>
      <w:r>
        <w:rPr>
          <w:rFonts w:ascii="Arial Narrow" w:hAnsi="Arial Narrow" w:cs="Calibri"/>
          <w:sz w:val="24"/>
          <w:szCs w:val="24"/>
        </w:rPr>
        <w:t xml:space="preserve"> </w:t>
      </w:r>
      <w:r>
        <w:rPr>
          <w:rFonts w:ascii="Arial Narrow" w:hAnsi="Arial Narrow" w:cs="Calibri"/>
          <w:sz w:val="24"/>
          <w:szCs w:val="24"/>
          <w:lang w:val="ru-RU"/>
        </w:rPr>
        <w:t xml:space="preserve">проведение строительно-монтажных работ.</w:t>
      </w:r>
      <w:r>
        <w:rPr>
          <w:lang w:val="ru-RU"/>
        </w:rPr>
      </w:r>
      <w:r>
        <w:rPr>
          <w:lang w:val="ru-RU"/>
        </w:rPr>
      </w:r>
    </w:p>
    <w:p>
      <w:pPr>
        <w:pStyle w:val="1063"/>
        <w:ind w:firstLine="567"/>
        <w:jc w:val="both"/>
        <w:rPr>
          <w:rFonts w:ascii="Arial Narrow" w:hAnsi="Arial Narrow" w:cs="Calibri"/>
        </w:rPr>
      </w:pPr>
      <w:r>
        <w:rPr>
          <w:rFonts w:ascii="Arial Narrow" w:hAnsi="Arial Narrow" w:cs="Calibri"/>
        </w:rPr>
      </w:r>
      <w:r>
        <w:rPr>
          <w:rFonts w:ascii="Arial Narrow" w:hAnsi="Arial Narrow" w:cs="Calibri"/>
        </w:rPr>
      </w:r>
      <w:r>
        <w:rPr>
          <w:rFonts w:ascii="Arial Narrow" w:hAnsi="Arial Narrow" w:cs="Calibri"/>
        </w:rPr>
      </w:r>
    </w:p>
    <w:p>
      <w:pPr>
        <w:pStyle w:val="1063"/>
        <w:ind w:firstLine="567"/>
        <w:jc w:val="both"/>
      </w:pPr>
      <w:r>
        <w:rPr>
          <w:rFonts w:ascii="Arial Narrow" w:hAnsi="Arial Narrow" w:cs="Calibri"/>
        </w:rPr>
        <w:t xml:space="preserve">В 2024 году начата проработка в части корпоративных процедур по созданию совместного предприятия с целью начала реализации 1 этапа работ в 2025 году.</w:t>
      </w:r>
      <w:r/>
    </w:p>
    <w:p>
      <w:pPr>
        <w:pStyle w:val="1063"/>
        <w:ind w:firstLine="567"/>
        <w:jc w:val="both"/>
      </w:pPr>
      <w:r>
        <w:rPr>
          <w:rFonts w:ascii="Arial Narrow" w:hAnsi="Arial Narrow" w:cs="Calibri"/>
        </w:rPr>
        <w:t xml:space="preserve">В результате реализации мероприятий по строительству бинарно</w:t>
      </w:r>
      <w:r>
        <w:rPr>
          <w:rFonts w:ascii="Arial Narrow" w:hAnsi="Arial Narrow" w:cs="Calibri"/>
        </w:rPr>
        <w:t xml:space="preserve">й электростанции на территории МГеоЭС-1, строительству Толмачевской ГЭС-4, строительству Мутновской ГеоЭС-2 с бинарным блоком, а также проектов Концепции сократится расход топлива на Камчатских ТЭЦ за счет его замещения возобновляемыми источниками энергии.</w:t>
      </w:r>
      <w:r/>
    </w:p>
    <w:p>
      <w:pPr>
        <w:pStyle w:val="1063"/>
        <w:ind w:firstLine="567"/>
        <w:jc w:val="both"/>
        <w:rPr>
          <w:rFonts w:ascii="Arial Narrow" w:hAnsi="Arial Narrow" w:cs="Calibri"/>
        </w:rPr>
      </w:pPr>
      <w:r>
        <w:rPr>
          <w:rFonts w:ascii="Arial Narrow" w:hAnsi="Arial Narrow" w:cs="Calibri"/>
        </w:rPr>
        <w:t xml:space="preserve">На заседании Совета Директоров ПАО «РусГидро» в 2022 году утверждена Концепция использования ВИЭ и сетевой инфраструктуры для модернизации системы тепло- и электроснабжения Камчатского края (далее – Концепция). </w:t>
      </w:r>
      <w:r>
        <w:rPr>
          <w:rFonts w:ascii="Arial Narrow" w:hAnsi="Arial Narrow" w:cs="Calibri"/>
        </w:rPr>
      </w:r>
      <w:r>
        <w:rPr>
          <w:rFonts w:ascii="Arial Narrow" w:hAnsi="Arial Narrow" w:cs="Calibri"/>
        </w:rPr>
      </w:r>
    </w:p>
    <w:p>
      <w:pPr>
        <w:pStyle w:val="1063"/>
        <w:ind w:firstLine="567"/>
        <w:jc w:val="both"/>
      </w:pPr>
      <w:r>
        <w:rPr>
          <w:rFonts w:ascii="Arial Narrow" w:hAnsi="Arial Narrow" w:cs="Calibri"/>
        </w:rPr>
        <w:t xml:space="preserve">В тече</w:t>
      </w:r>
      <w:r>
        <w:rPr>
          <w:rFonts w:ascii="Arial Narrow" w:hAnsi="Arial Narrow" w:cs="Calibri"/>
        </w:rPr>
        <w:t xml:space="preserve">ние 2024 года ПАО «Камчатскэнерго» продолжало сбор данных от ветроизмерительного комплекса (ВИК), расположенного на территории Халактырского пляжа с целью более детальной проработки запланированного в рамках Концепции проекта по установке Халактырской ВЭС.</w:t>
      </w:r>
      <w:r/>
    </w:p>
    <w:p>
      <w:pPr>
        <w:rPr>
          <w:rFonts w:ascii="Arial Narrow" w:hAnsi="Arial Narrow" w:eastAsia="Arial" w:cs="Calibri"/>
          <w:sz w:val="24"/>
          <w:szCs w:val="24"/>
          <w:lang w:eastAsia="en-US"/>
        </w:rPr>
      </w:pPr>
      <w:r>
        <w:br w:type="page" w:clear="all"/>
      </w:r>
      <w:r>
        <w:rPr>
          <w:rFonts w:ascii="Arial Narrow" w:hAnsi="Arial Narrow" w:eastAsia="Arial" w:cs="Calibri"/>
          <w:sz w:val="24"/>
          <w:szCs w:val="24"/>
          <w:lang w:eastAsia="en-US"/>
        </w:rPr>
      </w:r>
      <w:r>
        <w:rPr>
          <w:rFonts w:ascii="Arial Narrow" w:hAnsi="Arial Narrow" w:eastAsia="Arial" w:cs="Calibri"/>
          <w:sz w:val="24"/>
          <w:szCs w:val="24"/>
          <w:lang w:eastAsia="en-US"/>
        </w:rPr>
      </w:r>
    </w:p>
    <w:p>
      <w:pPr>
        <w:pStyle w:val="762"/>
        <w:jc w:val="center"/>
        <w:keepLines w:val="0"/>
        <w:spacing w:before="0" w:after="0" w:line="276" w:lineRule="auto"/>
        <w:rPr>
          <w:rFonts w:ascii="Arial Narrow" w:hAnsi="Arial Narrow" w:eastAsiaTheme="majorEastAsia" w:cstheme="minorHAnsi"/>
          <w:color w:val="314e87"/>
          <w:lang w:eastAsia="en-US"/>
        </w:rPr>
      </w:pPr>
      <w:r/>
      <w:bookmarkStart w:id="140" w:name="_Toc193883504"/>
      <w:r/>
      <w:bookmarkStart w:id="141" w:name="_Toc196127004"/>
      <w:r>
        <w:rPr>
          <w:rFonts w:ascii="Arial Narrow" w:hAnsi="Arial Narrow" w:eastAsiaTheme="majorEastAsia" w:cstheme="minorHAnsi"/>
          <w:b/>
          <w:color w:val="314e87"/>
          <w:sz w:val="28"/>
          <w:szCs w:val="28"/>
          <w:lang w:eastAsia="en-US"/>
        </w:rPr>
        <w:t xml:space="preserve">Раздел 11. КОРПОРАТИВНОЕ УПРАВЛЕНИЕ</w:t>
      </w:r>
      <w:bookmarkEnd w:id="140"/>
      <w:r/>
      <w:bookmarkEnd w:id="141"/>
      <w:r>
        <w:rPr>
          <w:rFonts w:ascii="Arial Narrow" w:hAnsi="Arial Narrow" w:eastAsiaTheme="majorEastAsia" w:cstheme="minorHAnsi"/>
          <w:color w:val="314e87"/>
          <w:lang w:eastAsia="en-US"/>
        </w:rPr>
      </w:r>
      <w:r>
        <w:rPr>
          <w:rFonts w:ascii="Arial Narrow" w:hAnsi="Arial Narrow" w:eastAsiaTheme="majorEastAsia" w:cstheme="minorHAnsi"/>
          <w:color w:val="314e87"/>
          <w:lang w:eastAsia="en-US"/>
        </w:rPr>
      </w:r>
    </w:p>
    <w:p>
      <w:pPr>
        <w:pStyle w:val="1065"/>
        <w:spacing w:before="0" w:after="0"/>
        <w:rPr>
          <w:sz w:val="8"/>
          <w:szCs w:val="8"/>
        </w:rPr>
      </w:pPr>
      <w:r>
        <w:rPr>
          <w:sz w:val="8"/>
          <w:szCs w:val="8"/>
        </w:rPr>
      </w:r>
      <w:r>
        <w:rPr>
          <w:sz w:val="8"/>
          <w:szCs w:val="8"/>
        </w:rPr>
      </w:r>
      <w:r>
        <w:rPr>
          <w:sz w:val="8"/>
          <w:szCs w:val="8"/>
        </w:rPr>
      </w:r>
    </w:p>
    <w:p>
      <w:pPr>
        <w:pStyle w:val="763"/>
        <w:jc w:val="both"/>
        <w:keepLines/>
        <w:spacing w:after="0" w:line="276" w:lineRule="auto"/>
        <w:rPr>
          <w:rFonts w:ascii="Arial Narrow" w:hAnsi="Arial Narrow" w:eastAsiaTheme="majorEastAsia" w:cstheme="minorHAnsi"/>
          <w:b/>
          <w:color w:val="314e87"/>
          <w:sz w:val="24"/>
          <w:szCs w:val="24"/>
          <w:lang w:eastAsia="en-US" w:bidi="ru-RU"/>
        </w:rPr>
      </w:pPr>
      <w:r/>
      <w:bookmarkStart w:id="142" w:name="_Toc193883505"/>
      <w:r/>
      <w:bookmarkStart w:id="143" w:name="_Toc196127005"/>
      <w:r>
        <w:rPr>
          <w:rFonts w:ascii="Arial Narrow" w:hAnsi="Arial Narrow" w:eastAsiaTheme="majorEastAsia" w:cstheme="minorHAnsi"/>
          <w:b/>
          <w:color w:val="314e87"/>
          <w:sz w:val="24"/>
          <w:szCs w:val="24"/>
          <w:lang w:eastAsia="en-US" w:bidi="ru-RU"/>
        </w:rPr>
        <w:t xml:space="preserve">11.1. Органы управления и контроля</w:t>
      </w:r>
      <w:bookmarkEnd w:id="142"/>
      <w:r/>
      <w:bookmarkEnd w:id="143"/>
      <w:r>
        <w:rPr>
          <w:rFonts w:ascii="Arial Narrow" w:hAnsi="Arial Narrow" w:eastAsiaTheme="majorEastAsia" w:cstheme="minorHAnsi"/>
          <w:b/>
          <w:color w:val="314e87"/>
          <w:sz w:val="24"/>
          <w:szCs w:val="24"/>
          <w:lang w:eastAsia="en-US" w:bidi="ru-RU"/>
        </w:rPr>
      </w:r>
      <w:r>
        <w:rPr>
          <w:rFonts w:ascii="Arial Narrow" w:hAnsi="Arial Narrow" w:eastAsiaTheme="majorEastAsia" w:cstheme="minorHAnsi"/>
          <w:b/>
          <w:color w:val="314e87"/>
          <w:sz w:val="24"/>
          <w:szCs w:val="24"/>
          <w:lang w:eastAsia="en-US" w:bidi="ru-RU"/>
        </w:rPr>
      </w:r>
    </w:p>
    <w:p>
      <w:pPr>
        <w:pStyle w:val="1093"/>
        <w:ind w:firstLine="567"/>
        <w:jc w:val="both"/>
        <w:spacing w:before="0" w:after="0" w:line="276" w:lineRule="auto"/>
        <w:tabs>
          <w:tab w:val="left" w:pos="993" w:leader="none"/>
        </w:tabs>
      </w:pPr>
      <w:r>
        <w:rPr>
          <w:rFonts w:ascii="Arial Narrow" w:hAnsi="Arial Narrow" w:cs="Calibri"/>
          <w:sz w:val="24"/>
          <w:szCs w:val="24"/>
        </w:rPr>
        <w:t xml:space="preserve">Органами управления Общества являются:</w:t>
      </w:r>
      <w:r/>
    </w:p>
    <w:p>
      <w:pPr>
        <w:pStyle w:val="1093"/>
        <w:numPr>
          <w:ilvl w:val="0"/>
          <w:numId w:val="4"/>
        </w:numPr>
        <w:ind w:left="0" w:firstLine="567"/>
        <w:jc w:val="both"/>
        <w:spacing w:before="0" w:after="0" w:line="276" w:lineRule="auto"/>
        <w:tabs>
          <w:tab w:val="left" w:pos="993" w:leader="none"/>
        </w:tabs>
      </w:pPr>
      <w:r>
        <w:rPr>
          <w:rFonts w:ascii="Arial Narrow" w:hAnsi="Arial Narrow" w:cs="Calibri"/>
          <w:sz w:val="24"/>
          <w:szCs w:val="24"/>
        </w:rPr>
        <w:t xml:space="preserve">Общее собрание акционеров;</w:t>
      </w:r>
      <w:r/>
    </w:p>
    <w:p>
      <w:pPr>
        <w:pStyle w:val="1093"/>
        <w:numPr>
          <w:ilvl w:val="0"/>
          <w:numId w:val="4"/>
        </w:numPr>
        <w:ind w:left="0" w:firstLine="567"/>
        <w:jc w:val="both"/>
        <w:spacing w:before="0" w:after="0" w:line="276" w:lineRule="auto"/>
        <w:tabs>
          <w:tab w:val="left" w:pos="993" w:leader="none"/>
        </w:tabs>
      </w:pPr>
      <w:r>
        <w:rPr>
          <w:rFonts w:ascii="Arial Narrow" w:hAnsi="Arial Narrow" w:cs="Calibri"/>
          <w:sz w:val="24"/>
          <w:szCs w:val="24"/>
        </w:rPr>
        <w:t xml:space="preserve">Совет директоров;</w:t>
      </w:r>
      <w:r/>
    </w:p>
    <w:p>
      <w:pPr>
        <w:pStyle w:val="1093"/>
        <w:numPr>
          <w:ilvl w:val="0"/>
          <w:numId w:val="4"/>
        </w:numPr>
        <w:ind w:left="0" w:firstLine="567"/>
        <w:jc w:val="both"/>
        <w:spacing w:before="0" w:after="0" w:line="276" w:lineRule="auto"/>
        <w:tabs>
          <w:tab w:val="left" w:pos="993" w:leader="none"/>
        </w:tabs>
      </w:pPr>
      <w:r>
        <w:rPr>
          <w:rFonts w:ascii="Arial Narrow" w:hAnsi="Arial Narrow" w:cs="Calibri"/>
          <w:sz w:val="24"/>
          <w:szCs w:val="24"/>
        </w:rPr>
        <w:t xml:space="preserve">Единоличный исполнительный орган – Генеральный директор;</w:t>
      </w:r>
      <w:r/>
    </w:p>
    <w:p>
      <w:pPr>
        <w:pStyle w:val="1093"/>
        <w:numPr>
          <w:ilvl w:val="0"/>
          <w:numId w:val="4"/>
        </w:numPr>
        <w:ind w:left="0" w:firstLine="567"/>
        <w:jc w:val="both"/>
        <w:spacing w:before="0" w:after="0" w:line="276" w:lineRule="auto"/>
        <w:tabs>
          <w:tab w:val="left" w:pos="993" w:leader="none"/>
        </w:tabs>
      </w:pPr>
      <w:r>
        <w:rPr>
          <w:rFonts w:ascii="Arial Narrow" w:hAnsi="Arial Narrow" w:cs="Calibri"/>
          <w:sz w:val="24"/>
          <w:szCs w:val="24"/>
        </w:rPr>
        <w:t xml:space="preserve">Коллегиальный исполнительный орган – Правление.</w:t>
      </w:r>
      <w:r/>
    </w:p>
    <w:p>
      <w:pPr>
        <w:pStyle w:val="1093"/>
        <w:ind w:firstLine="567"/>
        <w:jc w:val="both"/>
        <w:spacing w:before="0" w:after="0" w:line="276" w:lineRule="auto"/>
        <w:tabs>
          <w:tab w:val="left" w:pos="993" w:leader="none"/>
        </w:tabs>
      </w:pPr>
      <w:r>
        <w:rPr>
          <w:rFonts w:ascii="Arial Narrow" w:hAnsi="Arial Narrow" w:cs="Calibri"/>
          <w:sz w:val="24"/>
          <w:szCs w:val="24"/>
        </w:rPr>
        <w:t xml:space="preserve">Органом контроля за финансово-хозяйственной деятельностью Общества является Ревизионная комиссия.</w:t>
      </w:r>
      <w:r/>
    </w:p>
    <w:p>
      <w:pPr>
        <w:pStyle w:val="1093"/>
        <w:ind w:firstLine="709"/>
        <w:jc w:val="both"/>
        <w:spacing w:before="0" w:after="0" w:line="276" w:lineRule="auto"/>
        <w:tabs>
          <w:tab w:val="left" w:pos="993" w:leader="none"/>
        </w:tabs>
        <w:rPr>
          <w:rFonts w:ascii="Arial Narrow" w:hAnsi="Arial Narrow" w:cs="Calibri"/>
          <w:sz w:val="12"/>
          <w:szCs w:val="12"/>
        </w:rPr>
      </w:pPr>
      <w:r>
        <w:rPr>
          <w:rFonts w:ascii="Arial Narrow" w:hAnsi="Arial Narrow" w:cs="Calibri"/>
          <w:sz w:val="12"/>
          <w:szCs w:val="12"/>
        </w:rPr>
      </w:r>
      <w:r>
        <w:rPr>
          <w:rFonts w:ascii="Arial Narrow" w:hAnsi="Arial Narrow" w:cs="Calibri"/>
          <w:sz w:val="12"/>
          <w:szCs w:val="12"/>
        </w:rPr>
      </w:r>
      <w:r>
        <w:rPr>
          <w:rFonts w:ascii="Arial Narrow" w:hAnsi="Arial Narrow" w:cs="Calibri"/>
          <w:sz w:val="12"/>
          <w:szCs w:val="12"/>
        </w:rPr>
      </w:r>
    </w:p>
    <w:p>
      <w:pPr>
        <w:pStyle w:val="1063"/>
        <w:rPr>
          <w:rFonts w:ascii="Arial Narrow" w:hAnsi="Arial Narrow" w:eastAsia="Calibri" w:cs="Calibri"/>
          <w:b/>
          <w:color w:val="314e87"/>
          <w:lang w:eastAsia="ja-JP"/>
        </w:rPr>
      </w:pPr>
      <w:r>
        <w:rPr>
          <w:rFonts w:ascii="Arial Narrow" w:hAnsi="Arial Narrow" w:eastAsia="Calibri" w:cs="Calibri"/>
          <w:b/>
          <w:color w:val="314e87"/>
          <w:lang w:eastAsia="ja-JP"/>
        </w:rPr>
        <w:t xml:space="preserve">Общее собрание акционеров</w:t>
      </w:r>
      <w:r>
        <w:rPr>
          <w:rFonts w:ascii="Arial Narrow" w:hAnsi="Arial Narrow" w:eastAsia="Calibri" w:cs="Calibri"/>
          <w:b/>
          <w:color w:val="314e87"/>
          <w:lang w:eastAsia="ja-JP"/>
        </w:rPr>
      </w:r>
      <w:r>
        <w:rPr>
          <w:rFonts w:ascii="Arial Narrow" w:hAnsi="Arial Narrow" w:eastAsia="Calibri" w:cs="Calibri"/>
          <w:b/>
          <w:color w:val="314e87"/>
          <w:lang w:eastAsia="ja-JP"/>
        </w:rPr>
      </w:r>
    </w:p>
    <w:p>
      <w:pPr>
        <w:pStyle w:val="1063"/>
        <w:ind w:firstLine="720"/>
        <w:jc w:val="both"/>
      </w:pPr>
      <w:r>
        <w:rPr>
          <w:rFonts w:ascii="Arial Narrow" w:hAnsi="Arial Narrow" w:cs="Calibri"/>
        </w:rPr>
        <w:t xml:space="preserve">Общее собрание акционеров является высшим органом управления Общества, принимающим решения по наиболее важным вопросам деятельности. Посредством участия в общем собрании акционеры реализуют свое право на участие в управлении Обществом.</w:t>
      </w:r>
      <w:r/>
    </w:p>
    <w:p>
      <w:pPr>
        <w:pStyle w:val="1063"/>
        <w:ind w:firstLine="720"/>
        <w:jc w:val="both"/>
      </w:pPr>
      <w:r>
        <w:rPr>
          <w:rFonts w:ascii="Arial Narrow" w:hAnsi="Arial Narrow" w:cs="Calibri"/>
        </w:rPr>
        <w:t xml:space="preserve">За отчетный период было проведено 2 общих собрания акционеров Общества - годовое Общее собрание акционеров 27.06.2024 и внеочередное Общее собрание акционеров 03.10.2024.</w:t>
      </w:r>
      <w:r/>
    </w:p>
    <w:p>
      <w:pPr>
        <w:pStyle w:val="1063"/>
        <w:ind w:firstLine="720"/>
        <w:jc w:val="both"/>
        <w:rPr>
          <w:rFonts w:ascii="Arial Narrow" w:hAnsi="Arial Narrow" w:cs="Calibri"/>
          <w:sz w:val="12"/>
          <w:szCs w:val="12"/>
        </w:rPr>
      </w:pPr>
      <w:r>
        <w:rPr>
          <w:rFonts w:ascii="Arial Narrow" w:hAnsi="Arial Narrow" w:cs="Calibri"/>
          <w:sz w:val="12"/>
          <w:szCs w:val="12"/>
        </w:rPr>
      </w:r>
      <w:r>
        <w:rPr>
          <w:rFonts w:ascii="Arial Narrow" w:hAnsi="Arial Narrow" w:cs="Calibri"/>
          <w:sz w:val="12"/>
          <w:szCs w:val="12"/>
        </w:rPr>
      </w:r>
      <w:r>
        <w:rPr>
          <w:rFonts w:ascii="Arial Narrow" w:hAnsi="Arial Narrow" w:cs="Calibri"/>
          <w:sz w:val="12"/>
          <w:szCs w:val="12"/>
        </w:rPr>
      </w:r>
    </w:p>
    <w:p>
      <w:pPr>
        <w:pStyle w:val="1063"/>
        <w:rPr>
          <w:rFonts w:ascii="Arial Narrow" w:hAnsi="Arial Narrow" w:eastAsia="Calibri" w:cs="Calibri"/>
          <w:b/>
          <w:color w:val="314e87"/>
          <w:lang w:eastAsia="ja-JP"/>
        </w:rPr>
      </w:pPr>
      <w:r>
        <w:rPr>
          <w:rFonts w:ascii="Arial Narrow" w:hAnsi="Arial Narrow" w:eastAsia="Calibri" w:cs="Calibri"/>
          <w:b/>
          <w:color w:val="314e87"/>
          <w:lang w:eastAsia="ja-JP"/>
        </w:rPr>
        <w:t xml:space="preserve">Совет директоров</w:t>
      </w:r>
      <w:r>
        <w:rPr>
          <w:rFonts w:ascii="Arial Narrow" w:hAnsi="Arial Narrow" w:eastAsia="Calibri" w:cs="Calibri"/>
          <w:b/>
          <w:color w:val="314e87"/>
          <w:lang w:eastAsia="ja-JP"/>
        </w:rPr>
      </w:r>
      <w:r>
        <w:rPr>
          <w:rFonts w:ascii="Arial Narrow" w:hAnsi="Arial Narrow" w:eastAsia="Calibri" w:cs="Calibri"/>
          <w:b/>
          <w:color w:val="314e87"/>
          <w:lang w:eastAsia="ja-JP"/>
        </w:rPr>
      </w:r>
    </w:p>
    <w:p>
      <w:pPr>
        <w:pStyle w:val="1063"/>
        <w:ind w:firstLine="567"/>
        <w:jc w:val="both"/>
      </w:pPr>
      <w:r>
        <w:rPr>
          <w:rFonts w:ascii="Arial Narrow" w:hAnsi="Arial Narrow" w:cs="Calibri"/>
        </w:rPr>
        <w:t xml:space="preserve">Совет директоров Общества состоит из 7 членов. В 2024 году действовали два состава Совета директоров Общества – состав, избранный решением годового Об</w:t>
      </w:r>
      <w:r>
        <w:rPr>
          <w:rFonts w:ascii="Arial Narrow" w:hAnsi="Arial Narrow" w:cs="Calibri"/>
        </w:rPr>
        <w:t xml:space="preserve">щего собрания акционеров 30.06.2023 (протокол от 03.07.2023 № 1) и состав, избранный решением годового Общего собрания акционеров 27.06.2024 (протокол от 28.06.2024 № 1), в соответствии с которым 7 из 7 членов Совета директоров вновь избраны на новый срок.</w:t>
      </w:r>
      <w:r/>
    </w:p>
    <w:p>
      <w:pPr>
        <w:pStyle w:val="1063"/>
        <w:ind w:firstLine="567"/>
        <w:jc w:val="both"/>
        <w:rPr>
          <w:rFonts w:ascii="Arial Narrow" w:hAnsi="Arial Narrow" w:cs="Calibri"/>
          <w:sz w:val="10"/>
          <w:szCs w:val="10"/>
        </w:rPr>
      </w:pPr>
      <w:r>
        <w:rPr>
          <w:rFonts w:ascii="Arial Narrow" w:hAnsi="Arial Narrow" w:cs="Calibri"/>
          <w:sz w:val="10"/>
          <w:szCs w:val="10"/>
        </w:rPr>
      </w:r>
      <w:r>
        <w:rPr>
          <w:rFonts w:ascii="Arial Narrow" w:hAnsi="Arial Narrow" w:cs="Calibri"/>
          <w:sz w:val="10"/>
          <w:szCs w:val="10"/>
        </w:rPr>
      </w:r>
      <w:r>
        <w:rPr>
          <w:rFonts w:ascii="Arial Narrow" w:hAnsi="Arial Narrow" w:cs="Calibri"/>
          <w:sz w:val="10"/>
          <w:szCs w:val="10"/>
        </w:rPr>
      </w:r>
    </w:p>
    <w:p>
      <w:pPr>
        <w:pStyle w:val="1063"/>
        <w:rPr>
          <w:b/>
        </w:rPr>
      </w:pPr>
      <w:r>
        <w:rPr>
          <w:rFonts w:ascii="Arial Narrow" w:hAnsi="Arial Narrow" w:eastAsia="Calibri" w:cs="Calibri"/>
          <w:b/>
          <w:color w:val="314e87"/>
          <w:lang w:eastAsia="ja-JP"/>
        </w:rPr>
        <w:t xml:space="preserve">Сведения о членах Совета директоров Общества</w:t>
      </w:r>
      <w:r>
        <w:rPr>
          <w:b/>
        </w:rPr>
      </w:r>
      <w:r>
        <w:rPr>
          <w:b/>
        </w:rPr>
      </w:r>
    </w:p>
    <w:p>
      <w:pPr>
        <w:pStyle w:val="1063"/>
        <w:jc w:val="right"/>
      </w:pPr>
      <w:r>
        <w:rPr>
          <w:rFonts w:ascii="Arial Narrow" w:hAnsi="Arial Narrow" w:eastAsia="Calibri" w:cs="Calibri"/>
          <w:i/>
          <w:lang w:eastAsia="ja-JP"/>
        </w:rPr>
        <w:t xml:space="preserve">  Таблица № </w:t>
      </w:r>
      <w:r>
        <w:rPr>
          <w:rFonts w:ascii="Arial Narrow" w:hAnsi="Arial Narrow" w:eastAsia="Calibri" w:cs="Calibri"/>
          <w:i/>
          <w:lang w:val="en-US" w:eastAsia="ja-JP"/>
        </w:rPr>
        <w:t xml:space="preserve">4</w:t>
      </w:r>
      <w:r>
        <w:rPr>
          <w:rFonts w:ascii="Arial Narrow" w:hAnsi="Arial Narrow" w:eastAsia="Calibri" w:cs="Calibri"/>
          <w:i/>
          <w:lang w:eastAsia="ja-JP"/>
        </w:rPr>
        <w:t xml:space="preserve">9</w:t>
      </w:r>
      <w:r/>
    </w:p>
    <w:tbl>
      <w:tblPr>
        <w:tblW w:w="10055" w:type="dxa"/>
        <w:tblInd w:w="118" w:type="dxa"/>
        <w:tblLayout w:type="fixed"/>
        <w:tblLook w:val="04A0" w:firstRow="1" w:lastRow="0" w:firstColumn="1" w:lastColumn="0" w:noHBand="0" w:noVBand="1"/>
      </w:tblPr>
      <w:tblGrid>
        <w:gridCol w:w="416"/>
        <w:gridCol w:w="2835"/>
        <w:gridCol w:w="842"/>
        <w:gridCol w:w="1213"/>
        <w:gridCol w:w="2971"/>
        <w:gridCol w:w="1778"/>
      </w:tblGrid>
      <w:tr>
        <w:trPr>
          <w:tblHeader/>
        </w:trPr>
        <w:tc>
          <w:tcPr>
            <w:shd w:val="clear" w:color="auto" w:fill="ffffff"/>
            <w:tcBorders>
              <w:top w:val="single" w:color="000000" w:sz="4" w:space="0"/>
              <w:left w:val="single" w:color="000000" w:sz="4" w:space="0"/>
              <w:bottom w:val="single" w:color="000000" w:sz="4" w:space="0"/>
              <w:right w:val="single" w:color="000000" w:sz="4" w:space="0"/>
            </w:tcBorders>
            <w:tcW w:w="416" w:type="dxa"/>
            <w:vAlign w:val="center"/>
            <w:textDirection w:val="lrTb"/>
            <w:noWrap w:val="false"/>
          </w:tcPr>
          <w:p>
            <w:pPr>
              <w:pStyle w:val="1063"/>
              <w:ind w:left="-118" w:right="-106"/>
              <w:jc w:val="center"/>
              <w:widowControl w:val="off"/>
              <w:rPr>
                <w:sz w:val="20"/>
                <w:szCs w:val="20"/>
              </w:rPr>
            </w:pPr>
            <w:r>
              <w:rPr>
                <w:rFonts w:ascii="Arial Narrow" w:hAnsi="Arial Narrow" w:cs="Calibri"/>
                <w:sz w:val="20"/>
                <w:szCs w:val="20"/>
              </w:rPr>
              <w:t xml:space="preserve">№ п/п</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Фамилия, имя, отчество</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842" w:type="dxa"/>
            <w:vAlign w:val="center"/>
            <w:textDirection w:val="lrTb"/>
            <w:noWrap w:val="false"/>
          </w:tcPr>
          <w:p>
            <w:pPr>
              <w:pStyle w:val="1063"/>
              <w:ind w:left="-116" w:right="-108"/>
              <w:jc w:val="center"/>
              <w:widowControl w:val="off"/>
              <w:rPr>
                <w:sz w:val="20"/>
                <w:szCs w:val="20"/>
              </w:rPr>
            </w:pPr>
            <w:r>
              <w:rPr>
                <w:rFonts w:ascii="Arial Narrow" w:hAnsi="Arial Narrow" w:cs="Calibri"/>
                <w:sz w:val="20"/>
                <w:szCs w:val="20"/>
              </w:rPr>
              <w:t xml:space="preserve">Год рождения</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213" w:type="dxa"/>
            <w:vAlign w:val="center"/>
            <w:textDirection w:val="lrTb"/>
            <w:noWrap w:val="false"/>
          </w:tcPr>
          <w:p>
            <w:pPr>
              <w:pStyle w:val="1063"/>
              <w:ind w:left="-172" w:right="-164"/>
              <w:jc w:val="center"/>
              <w:widowControl w:val="off"/>
              <w:rPr>
                <w:sz w:val="20"/>
                <w:szCs w:val="20"/>
              </w:rPr>
            </w:pPr>
            <w:r>
              <w:rPr>
                <w:rFonts w:ascii="Arial Narrow" w:hAnsi="Arial Narrow" w:cs="Calibri"/>
                <w:sz w:val="20"/>
                <w:szCs w:val="20"/>
              </w:rPr>
              <w:t xml:space="preserve">Сведения об образовании</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2971"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Наименование должности по основному месту работы</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77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Доля в уставном капитале/Доля принадлежавших лицу обыкновенных акций Общества, %</w:t>
            </w:r>
            <w:r>
              <w:rPr>
                <w:sz w:val="20"/>
                <w:szCs w:val="20"/>
              </w:rPr>
            </w:r>
            <w:r>
              <w:rPr>
                <w:sz w:val="20"/>
                <w:szCs w:val="20"/>
              </w:rPr>
            </w:r>
          </w:p>
        </w:tc>
      </w:tr>
      <w:tr>
        <w:trPr/>
        <w:tc>
          <w:tcPr>
            <w:gridSpan w:val="6"/>
            <w:shd w:val="clear" w:color="auto" w:fill="ffffff"/>
            <w:tcBorders>
              <w:top w:val="single" w:color="000000" w:sz="4" w:space="0"/>
              <w:left w:val="single" w:color="000000" w:sz="4" w:space="0"/>
              <w:bottom w:val="single" w:color="000000" w:sz="4" w:space="0"/>
              <w:right w:val="single" w:color="000000" w:sz="4" w:space="0"/>
            </w:tcBorders>
            <w:tcW w:w="10055" w:type="dxa"/>
            <w:vAlign w:val="center"/>
            <w:textDirection w:val="lrTb"/>
            <w:noWrap w:val="false"/>
          </w:tcPr>
          <w:p>
            <w:pPr>
              <w:pStyle w:val="1063"/>
              <w:widowControl w:val="off"/>
              <w:rPr>
                <w:sz w:val="20"/>
                <w:szCs w:val="20"/>
              </w:rPr>
            </w:pPr>
            <w:r>
              <w:rPr>
                <w:rFonts w:ascii="Arial Narrow" w:hAnsi="Arial Narrow" w:cs="Calibri"/>
                <w:sz w:val="20"/>
                <w:szCs w:val="20"/>
              </w:rPr>
              <w:t xml:space="preserve">Председатель Совета директоров</w:t>
            </w:r>
            <w:r>
              <w:rPr>
                <w:sz w:val="20"/>
                <w:szCs w:val="20"/>
              </w:rPr>
            </w:r>
            <w:r>
              <w:rPr>
                <w:sz w:val="20"/>
                <w:szCs w:val="20"/>
              </w:rPr>
            </w:r>
          </w:p>
        </w:tc>
      </w:tr>
      <w:tr>
        <w:trPr/>
        <w:tc>
          <w:tcPr>
            <w:shd w:val="clear" w:color="auto" w:fill="ffffff"/>
            <w:tcBorders>
              <w:top w:val="single" w:color="000000" w:sz="4" w:space="0"/>
              <w:left w:val="single" w:color="000000" w:sz="4" w:space="0"/>
              <w:bottom w:val="single" w:color="000000" w:sz="4" w:space="0"/>
              <w:right w:val="single" w:color="000000" w:sz="4" w:space="0"/>
            </w:tcBorders>
            <w:tcW w:w="41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Малков</w:t>
            </w:r>
            <w:r>
              <w:rPr>
                <w:sz w:val="20"/>
                <w:szCs w:val="20"/>
              </w:rPr>
            </w:r>
            <w:r>
              <w:rPr>
                <w:sz w:val="20"/>
                <w:szCs w:val="20"/>
              </w:rPr>
            </w:r>
          </w:p>
          <w:p>
            <w:pPr>
              <w:pStyle w:val="1063"/>
              <w:jc w:val="center"/>
              <w:widowControl w:val="off"/>
              <w:rPr>
                <w:sz w:val="20"/>
                <w:szCs w:val="20"/>
              </w:rPr>
            </w:pPr>
            <w:r>
              <w:rPr>
                <w:rFonts w:ascii="Arial Narrow" w:hAnsi="Arial Narrow" w:cs="Calibri"/>
                <w:sz w:val="20"/>
                <w:szCs w:val="20"/>
              </w:rPr>
              <w:t xml:space="preserve">Денис Александрович</w:t>
            </w:r>
            <w:r>
              <w:rPr>
                <w:sz w:val="20"/>
                <w:szCs w:val="20"/>
              </w:rPr>
            </w:r>
            <w:r>
              <w:rPr>
                <w:sz w:val="20"/>
                <w:szCs w:val="20"/>
              </w:rPr>
            </w:r>
          </w:p>
          <w:p>
            <w:pPr>
              <w:pStyle w:val="1063"/>
              <w:jc w:val="center"/>
              <w:widowControl w:val="off"/>
              <w:rPr>
                <w:sz w:val="20"/>
                <w:szCs w:val="20"/>
              </w:rPr>
            </w:pPr>
            <w:r>
              <w:rPr>
                <w:rFonts w:ascii="Arial Narrow" w:hAnsi="Arial Narrow" w:cs="Calibri"/>
                <w:sz w:val="20"/>
                <w:szCs w:val="20"/>
              </w:rPr>
              <w:t xml:space="preserve">(избран 30.06.2023 и 27.06.2024)</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84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1974</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213"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Высшее</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2971"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Директор Департамента инноваций ПАО «РусГидро»</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77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0/0</w:t>
            </w:r>
            <w:r>
              <w:rPr>
                <w:sz w:val="20"/>
                <w:szCs w:val="20"/>
              </w:rPr>
            </w:r>
            <w:r>
              <w:rPr>
                <w:sz w:val="20"/>
                <w:szCs w:val="20"/>
              </w:rPr>
            </w:r>
          </w:p>
        </w:tc>
      </w:tr>
      <w:tr>
        <w:trPr>
          <w:trHeight w:val="40"/>
        </w:trPr>
        <w:tc>
          <w:tcPr>
            <w:gridSpan w:val="6"/>
            <w:shd w:val="clear" w:color="auto" w:fill="ffffff"/>
            <w:tcBorders>
              <w:top w:val="single" w:color="000000" w:sz="4" w:space="0"/>
              <w:left w:val="single" w:color="000000" w:sz="4" w:space="0"/>
              <w:bottom w:val="single" w:color="000000" w:sz="4" w:space="0"/>
              <w:right w:val="single" w:color="000000" w:sz="4" w:space="0"/>
            </w:tcBorders>
            <w:tcW w:w="10055" w:type="dxa"/>
            <w:vAlign w:val="center"/>
            <w:textDirection w:val="lrTb"/>
            <w:noWrap w:val="false"/>
          </w:tcPr>
          <w:p>
            <w:pPr>
              <w:pStyle w:val="1063"/>
              <w:widowControl w:val="off"/>
              <w:rPr>
                <w:sz w:val="20"/>
                <w:szCs w:val="20"/>
              </w:rPr>
            </w:pPr>
            <w:r>
              <w:rPr>
                <w:rFonts w:ascii="Arial Narrow" w:hAnsi="Arial Narrow" w:cs="Calibri"/>
                <w:sz w:val="20"/>
                <w:szCs w:val="20"/>
              </w:rPr>
              <w:t xml:space="preserve">Члены Совета директоров</w:t>
            </w:r>
            <w:r>
              <w:rPr>
                <w:sz w:val="20"/>
                <w:szCs w:val="20"/>
              </w:rPr>
            </w:r>
            <w:r>
              <w:rPr>
                <w:sz w:val="20"/>
                <w:szCs w:val="20"/>
              </w:rPr>
            </w:r>
          </w:p>
        </w:tc>
      </w:tr>
      <w:tr>
        <w:trPr/>
        <w:tc>
          <w:tcPr>
            <w:shd w:val="clear" w:color="auto" w:fill="ffffff"/>
            <w:tcBorders>
              <w:top w:val="single" w:color="000000" w:sz="4" w:space="0"/>
              <w:left w:val="single" w:color="000000" w:sz="4" w:space="0"/>
              <w:bottom w:val="single" w:color="000000" w:sz="4" w:space="0"/>
              <w:right w:val="single" w:color="000000" w:sz="4" w:space="0"/>
            </w:tcBorders>
            <w:tcW w:w="41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Новиков</w:t>
            </w:r>
            <w:r>
              <w:rPr>
                <w:sz w:val="20"/>
                <w:szCs w:val="20"/>
              </w:rPr>
            </w:r>
            <w:r>
              <w:rPr>
                <w:sz w:val="20"/>
                <w:szCs w:val="20"/>
              </w:rPr>
            </w:r>
          </w:p>
          <w:p>
            <w:pPr>
              <w:pStyle w:val="1063"/>
              <w:jc w:val="center"/>
              <w:widowControl w:val="off"/>
              <w:rPr>
                <w:sz w:val="20"/>
                <w:szCs w:val="20"/>
              </w:rPr>
            </w:pPr>
            <w:r>
              <w:rPr>
                <w:rFonts w:ascii="Arial Narrow" w:hAnsi="Arial Narrow" w:cs="Calibri"/>
                <w:sz w:val="20"/>
                <w:szCs w:val="20"/>
              </w:rPr>
              <w:t xml:space="preserve">Алексей Николаевич</w:t>
            </w:r>
            <w:r>
              <w:rPr>
                <w:sz w:val="20"/>
                <w:szCs w:val="20"/>
              </w:rPr>
            </w:r>
            <w:r>
              <w:rPr>
                <w:sz w:val="20"/>
                <w:szCs w:val="20"/>
              </w:rPr>
            </w:r>
          </w:p>
          <w:p>
            <w:pPr>
              <w:pStyle w:val="1063"/>
              <w:jc w:val="center"/>
              <w:widowControl w:val="off"/>
              <w:rPr>
                <w:sz w:val="20"/>
                <w:szCs w:val="20"/>
              </w:rPr>
            </w:pPr>
            <w:r>
              <w:rPr>
                <w:rFonts w:ascii="Arial Narrow" w:hAnsi="Arial Narrow" w:cs="Calibri"/>
                <w:sz w:val="20"/>
                <w:szCs w:val="20"/>
              </w:rPr>
              <w:t xml:space="preserve">(избран 30.06.2023 и 27.06.2024)</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84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1973</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213"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Высшее</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2971"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Генеральный директор</w:t>
            </w:r>
            <w:r>
              <w:rPr>
                <w:sz w:val="20"/>
                <w:szCs w:val="20"/>
              </w:rPr>
            </w:r>
            <w:r>
              <w:rPr>
                <w:sz w:val="20"/>
                <w:szCs w:val="20"/>
              </w:rPr>
            </w:r>
          </w:p>
          <w:p>
            <w:pPr>
              <w:pStyle w:val="1063"/>
              <w:jc w:val="center"/>
              <w:widowControl w:val="off"/>
              <w:rPr>
                <w:sz w:val="20"/>
                <w:szCs w:val="20"/>
              </w:rPr>
            </w:pPr>
            <w:r>
              <w:rPr>
                <w:rFonts w:ascii="Arial Narrow" w:hAnsi="Arial Narrow" w:cs="Calibri"/>
                <w:sz w:val="20"/>
                <w:szCs w:val="20"/>
              </w:rPr>
              <w:t xml:space="preserve">ПАО «Камчатскэнерго»</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77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0,00001/0</w:t>
            </w:r>
            <w:r>
              <w:rPr>
                <w:sz w:val="20"/>
                <w:szCs w:val="20"/>
              </w:rPr>
            </w:r>
            <w:r>
              <w:rPr>
                <w:sz w:val="20"/>
                <w:szCs w:val="20"/>
              </w:rPr>
            </w:r>
          </w:p>
        </w:tc>
      </w:tr>
      <w:tr>
        <w:trPr/>
        <w:tc>
          <w:tcPr>
            <w:shd w:val="clear" w:color="auto" w:fill="ffffff"/>
            <w:tcBorders>
              <w:top w:val="single" w:color="000000" w:sz="4" w:space="0"/>
              <w:left w:val="single" w:color="000000" w:sz="4" w:space="0"/>
              <w:bottom w:val="single" w:color="000000" w:sz="4" w:space="0"/>
              <w:right w:val="single" w:color="000000" w:sz="4" w:space="0"/>
            </w:tcBorders>
            <w:tcW w:w="41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3</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Коптяков</w:t>
            </w:r>
            <w:r>
              <w:rPr>
                <w:sz w:val="20"/>
                <w:szCs w:val="20"/>
              </w:rPr>
            </w:r>
            <w:r>
              <w:rPr>
                <w:sz w:val="20"/>
                <w:szCs w:val="20"/>
              </w:rPr>
            </w:r>
          </w:p>
          <w:p>
            <w:pPr>
              <w:pStyle w:val="1063"/>
              <w:jc w:val="center"/>
              <w:widowControl w:val="off"/>
              <w:rPr>
                <w:sz w:val="20"/>
                <w:szCs w:val="20"/>
              </w:rPr>
            </w:pPr>
            <w:r>
              <w:rPr>
                <w:rFonts w:ascii="Arial Narrow" w:hAnsi="Arial Narrow" w:cs="Calibri"/>
                <w:sz w:val="20"/>
                <w:szCs w:val="20"/>
              </w:rPr>
              <w:t xml:space="preserve">Станислав Сергеевич</w:t>
            </w:r>
            <w:r>
              <w:rPr>
                <w:sz w:val="20"/>
                <w:szCs w:val="20"/>
              </w:rPr>
            </w:r>
            <w:r>
              <w:rPr>
                <w:sz w:val="20"/>
                <w:szCs w:val="20"/>
              </w:rPr>
            </w:r>
          </w:p>
          <w:p>
            <w:pPr>
              <w:pStyle w:val="1063"/>
              <w:jc w:val="center"/>
              <w:widowControl w:val="off"/>
              <w:rPr>
                <w:sz w:val="20"/>
                <w:szCs w:val="20"/>
              </w:rPr>
            </w:pPr>
            <w:r>
              <w:rPr>
                <w:rFonts w:ascii="Arial Narrow" w:hAnsi="Arial Narrow" w:cs="Calibri"/>
                <w:sz w:val="20"/>
                <w:szCs w:val="20"/>
              </w:rPr>
              <w:t xml:space="preserve">(избран 30.06.2023 и 27.06.2024)</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84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1982</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213"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Высшее</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2971"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Директор Департамента корпоративного управления ПАО «РусГидро»</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77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0/0</w:t>
            </w:r>
            <w:r>
              <w:rPr>
                <w:sz w:val="20"/>
                <w:szCs w:val="20"/>
              </w:rPr>
            </w:r>
            <w:r>
              <w:rPr>
                <w:sz w:val="20"/>
                <w:szCs w:val="20"/>
              </w:rPr>
            </w:r>
          </w:p>
        </w:tc>
      </w:tr>
      <w:tr>
        <w:trPr/>
        <w:tc>
          <w:tcPr>
            <w:shd w:val="clear" w:color="auto" w:fill="ffffff"/>
            <w:tcBorders>
              <w:top w:val="single" w:color="000000" w:sz="4" w:space="0"/>
              <w:left w:val="single" w:color="000000" w:sz="4" w:space="0"/>
              <w:bottom w:val="single" w:color="000000" w:sz="4" w:space="0"/>
              <w:right w:val="single" w:color="000000" w:sz="4" w:space="0"/>
            </w:tcBorders>
            <w:tcW w:w="41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4</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Ткачева</w:t>
            </w:r>
            <w:r>
              <w:rPr>
                <w:sz w:val="20"/>
                <w:szCs w:val="20"/>
              </w:rPr>
            </w:r>
            <w:r>
              <w:rPr>
                <w:sz w:val="20"/>
                <w:szCs w:val="20"/>
              </w:rPr>
            </w:r>
          </w:p>
          <w:p>
            <w:pPr>
              <w:pStyle w:val="1063"/>
              <w:ind w:left="-138" w:right="-105"/>
              <w:jc w:val="center"/>
              <w:widowControl w:val="off"/>
              <w:rPr>
                <w:sz w:val="20"/>
                <w:szCs w:val="20"/>
              </w:rPr>
            </w:pPr>
            <w:r>
              <w:rPr>
                <w:rFonts w:ascii="Arial Narrow" w:hAnsi="Arial Narrow" w:cs="Calibri"/>
                <w:sz w:val="20"/>
                <w:szCs w:val="20"/>
              </w:rPr>
              <w:t xml:space="preserve">Наталья Николаевна</w:t>
            </w:r>
            <w:r>
              <w:rPr>
                <w:sz w:val="20"/>
                <w:szCs w:val="20"/>
              </w:rPr>
            </w:r>
            <w:r>
              <w:rPr>
                <w:sz w:val="20"/>
                <w:szCs w:val="20"/>
              </w:rPr>
            </w:r>
          </w:p>
          <w:p>
            <w:pPr>
              <w:pStyle w:val="1063"/>
              <w:ind w:left="-138" w:right="-105"/>
              <w:jc w:val="center"/>
              <w:widowControl w:val="off"/>
              <w:rPr>
                <w:sz w:val="20"/>
                <w:szCs w:val="20"/>
              </w:rPr>
            </w:pPr>
            <w:r>
              <w:rPr>
                <w:rFonts w:ascii="Arial Narrow" w:hAnsi="Arial Narrow" w:cs="Calibri"/>
                <w:sz w:val="20"/>
                <w:szCs w:val="20"/>
              </w:rPr>
              <w:t xml:space="preserve">(избрана 30.06.2023 и 27.06.2024)</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84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1973</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213"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Высшее</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2971"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Начальник Управления</w:t>
            </w:r>
            <w:r>
              <w:rPr>
                <w:sz w:val="20"/>
                <w:szCs w:val="20"/>
              </w:rPr>
            </w:r>
            <w:r>
              <w:rPr>
                <w:sz w:val="20"/>
                <w:szCs w:val="20"/>
              </w:rPr>
            </w:r>
          </w:p>
          <w:p>
            <w:pPr>
              <w:pStyle w:val="1063"/>
              <w:jc w:val="center"/>
              <w:widowControl w:val="off"/>
              <w:rPr>
                <w:sz w:val="20"/>
                <w:szCs w:val="20"/>
              </w:rPr>
            </w:pPr>
            <w:r>
              <w:rPr>
                <w:rFonts w:ascii="Arial Narrow" w:hAnsi="Arial Narrow" w:cs="Calibri"/>
                <w:sz w:val="20"/>
                <w:szCs w:val="20"/>
              </w:rPr>
              <w:t xml:space="preserve">по планированию экономической деятельности дочерних обществ Департамента экономического планирования и инвестиционных программ ПАО «РусГидро»</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77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0/0</w:t>
            </w:r>
            <w:r>
              <w:rPr>
                <w:sz w:val="20"/>
                <w:szCs w:val="20"/>
              </w:rPr>
            </w:r>
            <w:r>
              <w:rPr>
                <w:sz w:val="20"/>
                <w:szCs w:val="20"/>
              </w:rPr>
            </w:r>
          </w:p>
        </w:tc>
      </w:tr>
      <w:tr>
        <w:trPr/>
        <w:tc>
          <w:tcPr>
            <w:shd w:val="clear" w:color="auto" w:fill="ffffff"/>
            <w:tcBorders>
              <w:top w:val="single" w:color="000000" w:sz="4" w:space="0"/>
              <w:left w:val="single" w:color="000000" w:sz="4" w:space="0"/>
              <w:bottom w:val="single" w:color="000000" w:sz="4" w:space="0"/>
              <w:right w:val="single" w:color="000000" w:sz="4" w:space="0"/>
            </w:tcBorders>
            <w:tcW w:w="41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5</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pStyle w:val="1063"/>
              <w:ind w:left="-138" w:right="-105"/>
              <w:jc w:val="center"/>
              <w:widowControl w:val="off"/>
              <w:rPr>
                <w:sz w:val="20"/>
                <w:szCs w:val="20"/>
              </w:rPr>
            </w:pPr>
            <w:r>
              <w:rPr>
                <w:rFonts w:ascii="Arial Narrow" w:hAnsi="Arial Narrow" w:cs="Calibri"/>
                <w:sz w:val="20"/>
                <w:szCs w:val="20"/>
              </w:rPr>
              <w:t xml:space="preserve">Корнева</w:t>
            </w:r>
            <w:r>
              <w:rPr>
                <w:sz w:val="20"/>
                <w:szCs w:val="20"/>
              </w:rPr>
            </w:r>
            <w:r>
              <w:rPr>
                <w:sz w:val="20"/>
                <w:szCs w:val="20"/>
              </w:rPr>
            </w:r>
          </w:p>
          <w:p>
            <w:pPr>
              <w:pStyle w:val="1063"/>
              <w:ind w:left="-138" w:right="-105"/>
              <w:jc w:val="center"/>
              <w:widowControl w:val="off"/>
              <w:rPr>
                <w:sz w:val="20"/>
                <w:szCs w:val="20"/>
              </w:rPr>
            </w:pPr>
            <w:r>
              <w:rPr>
                <w:rFonts w:ascii="Arial Narrow" w:hAnsi="Arial Narrow" w:cs="Calibri"/>
                <w:sz w:val="20"/>
                <w:szCs w:val="20"/>
              </w:rPr>
              <w:t xml:space="preserve">Дарья Геннадьевна</w:t>
            </w:r>
            <w:r>
              <w:rPr>
                <w:sz w:val="20"/>
                <w:szCs w:val="20"/>
              </w:rPr>
            </w:r>
            <w:r>
              <w:rPr>
                <w:sz w:val="20"/>
                <w:szCs w:val="20"/>
              </w:rPr>
            </w:r>
          </w:p>
          <w:p>
            <w:pPr>
              <w:pStyle w:val="1063"/>
              <w:ind w:left="-138" w:right="-105"/>
              <w:jc w:val="center"/>
              <w:widowControl w:val="off"/>
              <w:rPr>
                <w:sz w:val="20"/>
                <w:szCs w:val="20"/>
              </w:rPr>
            </w:pPr>
            <w:r>
              <w:rPr>
                <w:rFonts w:ascii="Arial Narrow" w:hAnsi="Arial Narrow" w:cs="Calibri"/>
                <w:sz w:val="20"/>
                <w:szCs w:val="20"/>
              </w:rPr>
              <w:t xml:space="preserve">(избрана 30.06.2023 и 27.06.2024)</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84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1974</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213"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Высшее</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2971"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t xml:space="preserve">Начальник Управления страхования имущества и ответственности Департамента корпоративных финансов </w:t>
            </w:r>
            <w:r>
              <w:rPr>
                <w:rFonts w:ascii="Arial Narrow" w:hAnsi="Arial Narrow" w:cs="Calibri"/>
                <w:sz w:val="20"/>
                <w:szCs w:val="20"/>
              </w:rPr>
            </w:r>
            <w:r>
              <w:rPr>
                <w:rFonts w:ascii="Arial Narrow" w:hAnsi="Arial Narrow" w:cs="Calibri"/>
                <w:sz w:val="20"/>
                <w:szCs w:val="20"/>
              </w:rPr>
            </w:r>
          </w:p>
          <w:p>
            <w:pPr>
              <w:pStyle w:val="1063"/>
              <w:jc w:val="center"/>
              <w:widowControl w:val="off"/>
              <w:rPr>
                <w:sz w:val="20"/>
                <w:szCs w:val="20"/>
              </w:rPr>
            </w:pPr>
            <w:r>
              <w:rPr>
                <w:rFonts w:ascii="Arial Narrow" w:hAnsi="Arial Narrow" w:cs="Calibri"/>
                <w:sz w:val="20"/>
                <w:szCs w:val="20"/>
              </w:rPr>
              <w:t xml:space="preserve">ПАО «РусГидро»</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77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0/0</w:t>
            </w:r>
            <w:r>
              <w:rPr>
                <w:sz w:val="20"/>
                <w:szCs w:val="20"/>
              </w:rPr>
            </w:r>
            <w:r>
              <w:rPr>
                <w:sz w:val="20"/>
                <w:szCs w:val="20"/>
              </w:rPr>
            </w:r>
          </w:p>
        </w:tc>
      </w:tr>
      <w:tr>
        <w:trPr/>
        <w:tc>
          <w:tcPr>
            <w:shd w:val="clear" w:color="auto" w:fill="ffffff"/>
            <w:tcBorders>
              <w:top w:val="single" w:color="000000" w:sz="4" w:space="0"/>
              <w:left w:val="single" w:color="000000" w:sz="4" w:space="0"/>
              <w:bottom w:val="single" w:color="000000" w:sz="4" w:space="0"/>
              <w:right w:val="single" w:color="000000" w:sz="4" w:space="0"/>
            </w:tcBorders>
            <w:tcW w:w="41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6</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Холодова</w:t>
            </w:r>
            <w:r>
              <w:rPr>
                <w:sz w:val="20"/>
                <w:szCs w:val="20"/>
              </w:rPr>
            </w:r>
            <w:r>
              <w:rPr>
                <w:sz w:val="20"/>
                <w:szCs w:val="20"/>
              </w:rPr>
            </w:r>
          </w:p>
          <w:p>
            <w:pPr>
              <w:pStyle w:val="1063"/>
              <w:jc w:val="center"/>
              <w:widowControl w:val="off"/>
              <w:rPr>
                <w:sz w:val="20"/>
                <w:szCs w:val="20"/>
              </w:rPr>
            </w:pPr>
            <w:r>
              <w:rPr>
                <w:rFonts w:ascii="Arial Narrow" w:hAnsi="Arial Narrow" w:cs="Calibri"/>
                <w:sz w:val="20"/>
                <w:szCs w:val="20"/>
              </w:rPr>
              <w:t xml:space="preserve">Жанна Геннадьевна</w:t>
            </w:r>
            <w:r>
              <w:rPr>
                <w:sz w:val="20"/>
                <w:szCs w:val="20"/>
              </w:rPr>
            </w:r>
            <w:r>
              <w:rPr>
                <w:sz w:val="20"/>
                <w:szCs w:val="20"/>
              </w:rPr>
            </w:r>
          </w:p>
          <w:p>
            <w:pPr>
              <w:pStyle w:val="1063"/>
              <w:jc w:val="center"/>
              <w:widowControl w:val="off"/>
              <w:rPr>
                <w:sz w:val="20"/>
                <w:szCs w:val="20"/>
              </w:rPr>
            </w:pPr>
            <w:r>
              <w:rPr>
                <w:rFonts w:ascii="Arial Narrow" w:hAnsi="Arial Narrow" w:cs="Calibri"/>
                <w:sz w:val="20"/>
                <w:szCs w:val="20"/>
              </w:rPr>
              <w:t xml:space="preserve">(избрана 30.06.2023 и 27.06.2024)</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84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1976</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213"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Высшее</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2971"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Директор Департамента тарифного регулирования ПАО «РусГидро»</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77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0/0</w:t>
            </w:r>
            <w:r>
              <w:rPr>
                <w:sz w:val="20"/>
                <w:szCs w:val="20"/>
              </w:rPr>
            </w:r>
            <w:r>
              <w:rPr>
                <w:sz w:val="20"/>
                <w:szCs w:val="20"/>
              </w:rPr>
            </w:r>
          </w:p>
        </w:tc>
      </w:tr>
      <w:tr>
        <w:trPr/>
        <w:tc>
          <w:tcPr>
            <w:shd w:val="clear" w:color="auto" w:fill="ffffff"/>
            <w:tcBorders>
              <w:top w:val="single" w:color="000000" w:sz="4" w:space="0"/>
              <w:left w:val="single" w:color="000000" w:sz="4" w:space="0"/>
              <w:bottom w:val="single" w:color="000000" w:sz="4" w:space="0"/>
              <w:right w:val="single" w:color="000000" w:sz="4" w:space="0"/>
            </w:tcBorders>
            <w:tcW w:w="41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7</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2835"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Исаков</w:t>
            </w:r>
            <w:r>
              <w:rPr>
                <w:sz w:val="20"/>
                <w:szCs w:val="20"/>
              </w:rPr>
            </w:r>
            <w:r>
              <w:rPr>
                <w:sz w:val="20"/>
                <w:szCs w:val="20"/>
              </w:rPr>
            </w:r>
          </w:p>
          <w:p>
            <w:pPr>
              <w:pStyle w:val="1063"/>
              <w:jc w:val="center"/>
              <w:widowControl w:val="off"/>
              <w:rPr>
                <w:sz w:val="20"/>
                <w:szCs w:val="20"/>
              </w:rPr>
            </w:pPr>
            <w:r>
              <w:rPr>
                <w:rFonts w:ascii="Arial Narrow" w:hAnsi="Arial Narrow" w:cs="Calibri"/>
                <w:sz w:val="20"/>
                <w:szCs w:val="20"/>
              </w:rPr>
              <w:t xml:space="preserve">Александр Юрьевич</w:t>
            </w:r>
            <w:r>
              <w:rPr>
                <w:sz w:val="20"/>
                <w:szCs w:val="20"/>
              </w:rPr>
            </w:r>
            <w:r>
              <w:rPr>
                <w:sz w:val="20"/>
                <w:szCs w:val="20"/>
              </w:rPr>
            </w:r>
          </w:p>
          <w:p>
            <w:pPr>
              <w:pStyle w:val="1063"/>
              <w:jc w:val="center"/>
              <w:widowControl w:val="off"/>
              <w:rPr>
                <w:sz w:val="20"/>
                <w:szCs w:val="20"/>
              </w:rPr>
            </w:pPr>
            <w:r>
              <w:rPr>
                <w:rFonts w:ascii="Arial Narrow" w:hAnsi="Arial Narrow" w:cs="Calibri"/>
                <w:sz w:val="20"/>
                <w:szCs w:val="20"/>
              </w:rPr>
              <w:t xml:space="preserve">(избран 30.06.2023 и 27.06.2024)</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842"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1980</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213"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Высшее</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2971"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Заместитель директора Департамента корпоративного управления ПАО «РусГидро»</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77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0/0</w:t>
            </w:r>
            <w:r>
              <w:rPr>
                <w:sz w:val="20"/>
                <w:szCs w:val="20"/>
              </w:rPr>
            </w:r>
            <w:r>
              <w:rPr>
                <w:sz w:val="20"/>
                <w:szCs w:val="20"/>
              </w:rPr>
            </w:r>
          </w:p>
        </w:tc>
      </w:tr>
    </w:tbl>
    <w:p>
      <w:pPr>
        <w:pStyle w:val="1063"/>
        <w:ind w:firstLine="567"/>
        <w:jc w:val="both"/>
      </w:pPr>
      <w:r>
        <w:rPr>
          <w:rFonts w:ascii="Arial Narrow" w:hAnsi="Arial Narrow" w:cs="Calibri"/>
        </w:rPr>
        <w:t xml:space="preserve">В течение 2024 года членами Совета директоров Общества сделки с акциями Общества не совершались.</w:t>
      </w:r>
      <w:r/>
    </w:p>
    <w:p>
      <w:pPr>
        <w:pStyle w:val="1063"/>
        <w:ind w:firstLine="567"/>
        <w:jc w:val="both"/>
        <w:rPr>
          <w:rFonts w:ascii="Arial Narrow" w:hAnsi="Arial Narrow" w:cs="Calibri"/>
          <w:sz w:val="12"/>
          <w:szCs w:val="12"/>
        </w:rPr>
      </w:pPr>
      <w:r>
        <w:rPr>
          <w:rFonts w:ascii="Arial Narrow" w:hAnsi="Arial Narrow" w:cs="Calibri"/>
          <w:sz w:val="12"/>
          <w:szCs w:val="12"/>
        </w:rPr>
      </w:r>
      <w:r>
        <w:rPr>
          <w:rFonts w:ascii="Arial Narrow" w:hAnsi="Arial Narrow" w:cs="Calibri"/>
          <w:sz w:val="12"/>
          <w:szCs w:val="12"/>
        </w:rPr>
      </w:r>
      <w:r>
        <w:rPr>
          <w:rFonts w:ascii="Arial Narrow" w:hAnsi="Arial Narrow" w:cs="Calibri"/>
          <w:sz w:val="12"/>
          <w:szCs w:val="12"/>
        </w:rPr>
      </w:r>
    </w:p>
    <w:p>
      <w:pPr>
        <w:pStyle w:val="1063"/>
        <w:ind w:firstLine="567"/>
        <w:jc w:val="both"/>
      </w:pPr>
      <w:r>
        <w:rPr>
          <w:rFonts w:ascii="Arial Narrow" w:hAnsi="Arial Narrow" w:cs="Calibri"/>
          <w:color w:val="0f0d29"/>
        </w:rPr>
        <w:t xml:space="preserve">В соответствии с требованиями действующего законодательства РФ с целью предварительного рассмотрения вопросов, связанных с контролем за финансово-хозяйственной деятельностью, в Обществе сформирован Комитет по аудиту при Совете директоров (далее – Комитет).</w:t>
      </w:r>
      <w:r/>
    </w:p>
    <w:p>
      <w:pPr>
        <w:pStyle w:val="1063"/>
        <w:ind w:firstLine="567"/>
        <w:jc w:val="both"/>
      </w:pPr>
      <w:r>
        <w:rPr>
          <w:rFonts w:ascii="Arial Narrow" w:hAnsi="Arial Narrow" w:cs="Arial Narrow"/>
          <w:color w:val="0f0d29"/>
        </w:rPr>
        <w:t xml:space="preserve">Решением Совета директоров Общества 20.09.2024 (протокол от 20.09.2024 № 4) утвержден персональный состав Комитета, избран Председатель Комитета, а также утверждено Положение о Комитете.</w:t>
      </w:r>
      <w:r/>
    </w:p>
    <w:p>
      <w:pPr>
        <w:pStyle w:val="1063"/>
        <w:ind w:firstLine="567"/>
        <w:jc w:val="both"/>
        <w:rPr>
          <w:rFonts w:ascii="Arial Narrow" w:hAnsi="Arial Narrow" w:cs="Calibri"/>
          <w:sz w:val="8"/>
        </w:rPr>
      </w:pPr>
      <w:r>
        <w:rPr>
          <w:rFonts w:ascii="Arial Narrow" w:hAnsi="Arial Narrow" w:cs="Calibri"/>
          <w:sz w:val="8"/>
        </w:rPr>
      </w:r>
      <w:r>
        <w:rPr>
          <w:rFonts w:ascii="Arial Narrow" w:hAnsi="Arial Narrow" w:cs="Calibri"/>
          <w:sz w:val="8"/>
        </w:rPr>
      </w:r>
      <w:r>
        <w:rPr>
          <w:rFonts w:ascii="Arial Narrow" w:hAnsi="Arial Narrow" w:cs="Calibri"/>
          <w:sz w:val="8"/>
        </w:rPr>
      </w:r>
    </w:p>
    <w:p>
      <w:pPr>
        <w:pStyle w:val="1063"/>
        <w:jc w:val="both"/>
        <w:spacing w:after="120"/>
        <w:rPr>
          <w:b/>
        </w:rPr>
      </w:pPr>
      <w:r>
        <w:rPr>
          <w:rFonts w:ascii="Arial Narrow" w:hAnsi="Arial Narrow" w:eastAsia="Calibri" w:cs="Calibri"/>
          <w:b/>
          <w:color w:val="314e87"/>
          <w:lang w:eastAsia="ja-JP"/>
        </w:rPr>
        <w:t xml:space="preserve">Отчет о работе Совета директоров</w:t>
      </w:r>
      <w:r>
        <w:rPr>
          <w:b/>
        </w:rPr>
      </w:r>
      <w:r>
        <w:rPr>
          <w:b/>
        </w:rPr>
      </w:r>
    </w:p>
    <w:p>
      <w:pPr>
        <w:pStyle w:val="1063"/>
        <w:ind w:firstLine="567"/>
        <w:jc w:val="both"/>
        <w:rPr>
          <w:rFonts w:ascii="Arial Narrow" w:hAnsi="Arial Narrow" w:cs="Calibri"/>
        </w:rPr>
      </w:pPr>
      <w:r>
        <w:rPr>
          <w:rFonts w:ascii="Arial Narrow" w:hAnsi="Arial Narrow" w:cs="Calibri"/>
        </w:rPr>
        <w:t xml:space="preserve">В 2024 году проведено 18 заседаний Совета директоров в форме заочного голосования (опросным путем), на которых было рассмотрено 94 вопроса.</w:t>
      </w:r>
      <w:r>
        <w:rPr>
          <w:rFonts w:ascii="Arial Narrow" w:hAnsi="Arial Narrow" w:cs="Calibri"/>
        </w:rPr>
      </w:r>
      <w:r>
        <w:rPr>
          <w:rFonts w:ascii="Arial Narrow" w:hAnsi="Arial Narrow" w:cs="Calibri"/>
        </w:rPr>
      </w:r>
    </w:p>
    <w:p>
      <w:pPr>
        <w:pStyle w:val="1063"/>
        <w:ind w:firstLine="567"/>
        <w:jc w:val="both"/>
      </w:pPr>
      <w:r>
        <w:rPr>
          <w:rFonts w:ascii="Arial Narrow" w:hAnsi="Arial Narrow" w:cs="Calibri"/>
        </w:rPr>
        <w:t xml:space="preserve">Персональное участие членов Совета директоров в заседаниях Совета директоров Общества </w:t>
      </w:r>
      <w:r>
        <w:rPr>
          <w:rFonts w:ascii="Arial Narrow" w:hAnsi="Arial Narrow" w:cs="Calibri"/>
        </w:rPr>
        <w:br/>
        <w:t xml:space="preserve">в 2024 году:</w:t>
      </w:r>
      <w:r/>
    </w:p>
    <w:p>
      <w:pPr>
        <w:pStyle w:val="1063"/>
        <w:jc w:val="right"/>
        <w:rPr>
          <w:lang w:val="en-US"/>
        </w:rPr>
      </w:pPr>
      <w:r>
        <w:rPr>
          <w:rFonts w:ascii="Arial Narrow" w:hAnsi="Arial Narrow" w:eastAsia="Calibri" w:cs="Calibri"/>
          <w:i/>
          <w:lang w:eastAsia="ja-JP"/>
        </w:rPr>
        <w:t xml:space="preserve">Таблица № 50</w:t>
      </w:r>
      <w:r>
        <w:rPr>
          <w:lang w:val="en-US"/>
        </w:rPr>
      </w:r>
      <w:r>
        <w:rPr>
          <w:lang w:val="en-US"/>
        </w:rPr>
      </w:r>
    </w:p>
    <w:tbl>
      <w:tblPr>
        <w:tblW w:w="10200" w:type="dxa"/>
        <w:jc w:val="center"/>
        <w:tblLayout w:type="fixed"/>
        <w:tblLook w:val="04A0" w:firstRow="1" w:lastRow="0" w:firstColumn="1" w:lastColumn="0" w:noHBand="0" w:noVBand="1"/>
      </w:tblPr>
      <w:tblGrid>
        <w:gridCol w:w="565"/>
        <w:gridCol w:w="3541"/>
        <w:gridCol w:w="3828"/>
        <w:gridCol w:w="2266"/>
      </w:tblGrid>
      <w:tr>
        <w:trPr>
          <w:jc w:val="center"/>
          <w:trHeight w:val="308"/>
          <w:tblHeader/>
        </w:trPr>
        <w:tc>
          <w:tcPr>
            <w:shd w:val="clear" w:color="auto" w:fill="ffffff"/>
            <w:tcBorders>
              <w:top w:val="single" w:color="000000" w:sz="4" w:space="0"/>
              <w:left w:val="single" w:color="000000" w:sz="4" w:space="0"/>
              <w:bottom w:val="single" w:color="000000" w:sz="4" w:space="0"/>
              <w:right w:val="single" w:color="000000" w:sz="4" w:space="0"/>
            </w:tcBorders>
            <w:tcW w:w="56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w:t>
            </w:r>
            <w:r>
              <w:rPr>
                <w:sz w:val="20"/>
                <w:szCs w:val="20"/>
              </w:rPr>
            </w:r>
            <w:r>
              <w:rPr>
                <w:sz w:val="20"/>
                <w:szCs w:val="20"/>
              </w:rPr>
            </w:r>
          </w:p>
          <w:p>
            <w:pPr>
              <w:pStyle w:val="1063"/>
              <w:jc w:val="center"/>
              <w:widowControl w:val="off"/>
              <w:rPr>
                <w:sz w:val="20"/>
                <w:szCs w:val="20"/>
              </w:rPr>
            </w:pPr>
            <w:r>
              <w:rPr>
                <w:rFonts w:ascii="Arial Narrow" w:hAnsi="Arial Narrow" w:cs="Calibri"/>
                <w:sz w:val="20"/>
                <w:szCs w:val="20"/>
              </w:rPr>
              <w:t xml:space="preserve">п/п</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3541"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Фамилия, имя, отчество</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382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Всего заседаний/участие в заседаниях</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226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 участия в заседаниях</w:t>
            </w:r>
            <w:r>
              <w:rPr>
                <w:sz w:val="20"/>
                <w:szCs w:val="20"/>
              </w:rPr>
            </w:r>
            <w:r>
              <w:rPr>
                <w:sz w:val="20"/>
                <w:szCs w:val="20"/>
              </w:rPr>
            </w:r>
          </w:p>
        </w:tc>
      </w:tr>
      <w:tr>
        <w:trPr>
          <w:jc w:val="center"/>
          <w:trHeight w:val="234"/>
        </w:trPr>
        <w:tc>
          <w:tcPr>
            <w:shd w:val="clear" w:color="auto" w:fill="ffffff"/>
            <w:tcBorders>
              <w:top w:val="single" w:color="000000" w:sz="4" w:space="0"/>
              <w:left w:val="single" w:color="000000" w:sz="4" w:space="0"/>
              <w:bottom w:val="single" w:color="000000" w:sz="4" w:space="0"/>
              <w:right w:val="single" w:color="000000" w:sz="4" w:space="0"/>
            </w:tcBorders>
            <w:tcW w:w="56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3541"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Малков Денис Александрович</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382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18/18</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226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100</w:t>
            </w:r>
            <w:r>
              <w:rPr>
                <w:sz w:val="20"/>
                <w:szCs w:val="20"/>
              </w:rPr>
            </w:r>
            <w:r>
              <w:rPr>
                <w:sz w:val="20"/>
                <w:szCs w:val="20"/>
              </w:rPr>
            </w:r>
          </w:p>
        </w:tc>
      </w:tr>
      <w:tr>
        <w:trPr>
          <w:jc w:val="center"/>
        </w:trPr>
        <w:tc>
          <w:tcPr>
            <w:shd w:val="clear" w:color="auto" w:fill="ffffff"/>
            <w:tcBorders>
              <w:top w:val="single" w:color="000000" w:sz="4" w:space="0"/>
              <w:left w:val="single" w:color="000000" w:sz="4" w:space="0"/>
              <w:bottom w:val="single" w:color="000000" w:sz="4" w:space="0"/>
              <w:right w:val="single" w:color="000000" w:sz="4" w:space="0"/>
            </w:tcBorders>
            <w:tcW w:w="56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2</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3541"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Новиков Алексей Николаевич</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382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18/18</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226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100</w:t>
            </w:r>
            <w:r>
              <w:rPr>
                <w:sz w:val="20"/>
                <w:szCs w:val="20"/>
              </w:rPr>
            </w:r>
            <w:r>
              <w:rPr>
                <w:sz w:val="20"/>
                <w:szCs w:val="20"/>
              </w:rPr>
            </w:r>
          </w:p>
        </w:tc>
      </w:tr>
      <w:tr>
        <w:trPr>
          <w:jc w:val="center"/>
        </w:trPr>
        <w:tc>
          <w:tcPr>
            <w:shd w:val="clear" w:color="auto" w:fill="ffffff"/>
            <w:tcBorders>
              <w:top w:val="single" w:color="000000" w:sz="4" w:space="0"/>
              <w:left w:val="single" w:color="000000" w:sz="4" w:space="0"/>
              <w:bottom w:val="single" w:color="000000" w:sz="4" w:space="0"/>
              <w:right w:val="single" w:color="000000" w:sz="4" w:space="0"/>
            </w:tcBorders>
            <w:tcW w:w="56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3</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3541"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Коптяков Станислав Сергеевич</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382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18/18</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226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100</w:t>
            </w:r>
            <w:r>
              <w:rPr>
                <w:sz w:val="20"/>
                <w:szCs w:val="20"/>
              </w:rPr>
            </w:r>
            <w:r>
              <w:rPr>
                <w:sz w:val="20"/>
                <w:szCs w:val="20"/>
              </w:rPr>
            </w:r>
          </w:p>
        </w:tc>
      </w:tr>
      <w:tr>
        <w:trPr>
          <w:jc w:val="center"/>
        </w:trPr>
        <w:tc>
          <w:tcPr>
            <w:shd w:val="clear" w:color="auto" w:fill="ffffff"/>
            <w:tcBorders>
              <w:top w:val="single" w:color="000000" w:sz="4" w:space="0"/>
              <w:left w:val="single" w:color="000000" w:sz="4" w:space="0"/>
              <w:bottom w:val="single" w:color="000000" w:sz="4" w:space="0"/>
              <w:right w:val="single" w:color="000000" w:sz="4" w:space="0"/>
            </w:tcBorders>
            <w:tcW w:w="56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4</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3541"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Ткачева Наталья Николаевна</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382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18/18</w:t>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226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100</w:t>
            </w:r>
            <w:r>
              <w:rPr>
                <w:sz w:val="20"/>
                <w:szCs w:val="20"/>
              </w:rPr>
            </w:r>
            <w:r>
              <w:rPr>
                <w:sz w:val="20"/>
                <w:szCs w:val="20"/>
              </w:rPr>
            </w:r>
          </w:p>
        </w:tc>
      </w:tr>
      <w:tr>
        <w:trPr>
          <w:jc w:val="center"/>
        </w:trPr>
        <w:tc>
          <w:tcPr>
            <w:tcBorders>
              <w:top w:val="single" w:color="000000" w:sz="4" w:space="0"/>
              <w:left w:val="single" w:color="000000" w:sz="4" w:space="0"/>
              <w:bottom w:val="single" w:color="000000" w:sz="4" w:space="0"/>
              <w:right w:val="single" w:color="000000" w:sz="4" w:space="0"/>
            </w:tcBorders>
            <w:tcW w:w="56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5</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541"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Корнева Дарья Геннадьевна</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82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18/18</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226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100</w:t>
            </w:r>
            <w:r>
              <w:rPr>
                <w:sz w:val="20"/>
                <w:szCs w:val="20"/>
              </w:rPr>
            </w:r>
            <w:r>
              <w:rPr>
                <w:sz w:val="20"/>
                <w:szCs w:val="20"/>
              </w:rPr>
            </w:r>
          </w:p>
        </w:tc>
      </w:tr>
      <w:tr>
        <w:trPr>
          <w:jc w:val="center"/>
        </w:trPr>
        <w:tc>
          <w:tcPr>
            <w:tcBorders>
              <w:top w:val="single" w:color="000000" w:sz="4" w:space="0"/>
              <w:left w:val="single" w:color="000000" w:sz="4" w:space="0"/>
              <w:bottom w:val="single" w:color="000000" w:sz="4" w:space="0"/>
              <w:right w:val="single" w:color="000000" w:sz="4" w:space="0"/>
            </w:tcBorders>
            <w:tcW w:w="56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6</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541"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Холодова Жанна Геннадьевна</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82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18/18</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226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100</w:t>
            </w:r>
            <w:r>
              <w:rPr>
                <w:sz w:val="20"/>
                <w:szCs w:val="20"/>
              </w:rPr>
            </w:r>
            <w:r>
              <w:rPr>
                <w:sz w:val="20"/>
                <w:szCs w:val="20"/>
              </w:rPr>
            </w:r>
          </w:p>
        </w:tc>
      </w:tr>
      <w:tr>
        <w:trPr>
          <w:jc w:val="center"/>
        </w:trPr>
        <w:tc>
          <w:tcPr>
            <w:tcBorders>
              <w:top w:val="single" w:color="000000" w:sz="4" w:space="0"/>
              <w:left w:val="single" w:color="000000" w:sz="4" w:space="0"/>
              <w:bottom w:val="single" w:color="000000" w:sz="4" w:space="0"/>
              <w:right w:val="single" w:color="000000" w:sz="4" w:space="0"/>
            </w:tcBorders>
            <w:tcW w:w="564"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7</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541"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Исаков Александр Юрьевич</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3828"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18/18</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2266" w:type="dxa"/>
            <w:vAlign w:val="center"/>
            <w:textDirection w:val="lrTb"/>
            <w:noWrap w:val="false"/>
          </w:tcPr>
          <w:p>
            <w:pPr>
              <w:pStyle w:val="1063"/>
              <w:jc w:val="center"/>
              <w:widowControl w:val="off"/>
              <w:rPr>
                <w:sz w:val="20"/>
                <w:szCs w:val="20"/>
              </w:rPr>
            </w:pPr>
            <w:r>
              <w:rPr>
                <w:rFonts w:ascii="Arial Narrow" w:hAnsi="Arial Narrow" w:cs="Calibri"/>
                <w:sz w:val="20"/>
                <w:szCs w:val="20"/>
              </w:rPr>
              <w:t xml:space="preserve">100</w:t>
            </w:r>
            <w:r>
              <w:rPr>
                <w:sz w:val="20"/>
                <w:szCs w:val="20"/>
              </w:rPr>
            </w:r>
            <w:r>
              <w:rPr>
                <w:sz w:val="20"/>
                <w:szCs w:val="20"/>
              </w:rPr>
            </w:r>
          </w:p>
        </w:tc>
      </w:tr>
    </w:tbl>
    <w:p>
      <w:pPr>
        <w:pStyle w:val="1063"/>
        <w:ind w:firstLine="567"/>
        <w:jc w:val="both"/>
        <w:rPr>
          <w:rFonts w:ascii="Arial Narrow" w:hAnsi="Arial Narrow" w:cs="Calibri"/>
          <w:sz w:val="10"/>
          <w:szCs w:val="10"/>
        </w:rPr>
      </w:pPr>
      <w:r>
        <w:rPr>
          <w:rFonts w:ascii="Arial Narrow" w:hAnsi="Arial Narrow" w:cs="Calibri"/>
          <w:sz w:val="10"/>
          <w:szCs w:val="10"/>
        </w:rPr>
      </w:r>
      <w:r>
        <w:rPr>
          <w:rFonts w:ascii="Arial Narrow" w:hAnsi="Arial Narrow" w:cs="Calibri"/>
          <w:sz w:val="10"/>
          <w:szCs w:val="10"/>
        </w:rPr>
      </w:r>
      <w:r>
        <w:rPr>
          <w:rFonts w:ascii="Arial Narrow" w:hAnsi="Arial Narrow" w:cs="Calibri"/>
          <w:sz w:val="10"/>
          <w:szCs w:val="10"/>
        </w:rPr>
      </w:r>
    </w:p>
    <w:p>
      <w:pPr>
        <w:pStyle w:val="1063"/>
        <w:ind w:firstLine="567"/>
        <w:jc w:val="both"/>
      </w:pPr>
      <w:r>
        <w:rPr>
          <w:rFonts w:ascii="Arial Narrow" w:hAnsi="Arial Narrow" w:cs="Calibri"/>
          <w:color w:val="000000"/>
        </w:rPr>
        <w:t xml:space="preserve">Среди наиболее значимых вопросов, рассмотренных Советом директоров Общества, являлись:</w:t>
      </w:r>
      <w:r/>
    </w:p>
    <w:p>
      <w:pPr>
        <w:pStyle w:val="1093"/>
        <w:numPr>
          <w:ilvl w:val="0"/>
          <w:numId w:val="4"/>
        </w:numPr>
        <w:ind w:left="0" w:firstLine="567"/>
        <w:jc w:val="both"/>
        <w:spacing w:before="0" w:after="0" w:line="276" w:lineRule="auto"/>
        <w:tabs>
          <w:tab w:val="left" w:pos="993" w:leader="none"/>
        </w:tabs>
      </w:pPr>
      <w:r>
        <w:rPr>
          <w:rFonts w:ascii="Arial Narrow" w:hAnsi="Arial Narrow" w:cs="Calibri"/>
          <w:bCs/>
          <w:color w:val="0f0d29"/>
          <w:sz w:val="24"/>
          <w:szCs w:val="24"/>
        </w:rPr>
        <w:t xml:space="preserve">утверждение </w:t>
      </w:r>
      <w:r>
        <w:rPr>
          <w:rFonts w:ascii="Arial Narrow" w:hAnsi="Arial Narrow"/>
          <w:bCs/>
          <w:color w:val="0f0d29"/>
          <w:sz w:val="24"/>
          <w:szCs w:val="24"/>
        </w:rPr>
        <w:t xml:space="preserve">скорректированного бизнес-плана ПАО «Камчатскэнерго» на 2024 год в части изменения параметров инвестиционной программы;</w:t>
      </w:r>
      <w:r/>
    </w:p>
    <w:p>
      <w:pPr>
        <w:pStyle w:val="1093"/>
        <w:numPr>
          <w:ilvl w:val="0"/>
          <w:numId w:val="4"/>
        </w:numPr>
        <w:ind w:left="0" w:firstLine="567"/>
        <w:jc w:val="both"/>
        <w:spacing w:before="0" w:after="0" w:line="276" w:lineRule="auto"/>
        <w:tabs>
          <w:tab w:val="left" w:pos="993" w:leader="none"/>
        </w:tabs>
      </w:pPr>
      <w:r>
        <w:rPr>
          <w:rFonts w:ascii="Arial Narrow" w:hAnsi="Arial Narrow" w:cs="Calibri"/>
          <w:color w:val="0f0d29"/>
          <w:sz w:val="24"/>
          <w:szCs w:val="24"/>
        </w:rPr>
        <w:t xml:space="preserve">утверждение перечня инвестиционных проектов, реализуемых и планируемых к реализации в рамках инвестиционной программы для проведения публичного технологического и ценового аудита </w:t>
      </w:r>
      <w:r>
        <w:rPr>
          <w:rFonts w:ascii="Arial Narrow" w:hAnsi="Arial Narrow" w:cs="Calibri"/>
          <w:color w:val="0f0d29"/>
          <w:sz w:val="24"/>
          <w:szCs w:val="24"/>
        </w:rPr>
        <w:br/>
        <w:t xml:space="preserve">в 2024-2025 годах;</w:t>
      </w:r>
      <w:r/>
    </w:p>
    <w:p>
      <w:pPr>
        <w:pStyle w:val="1093"/>
        <w:numPr>
          <w:ilvl w:val="0"/>
          <w:numId w:val="4"/>
        </w:numPr>
        <w:ind w:left="0" w:firstLine="567"/>
        <w:jc w:val="both"/>
        <w:spacing w:before="0" w:after="0" w:line="276" w:lineRule="auto"/>
        <w:tabs>
          <w:tab w:val="left" w:pos="993" w:leader="none"/>
        </w:tabs>
      </w:pPr>
      <w:r>
        <w:rPr>
          <w:rFonts w:ascii="Arial Narrow" w:hAnsi="Arial Narrow" w:cs="Calibri"/>
          <w:color w:val="0f0d29"/>
          <w:sz w:val="24"/>
          <w:szCs w:val="24"/>
        </w:rPr>
        <w:t xml:space="preserve">присоединение к Единому положению о порядке формирования отчетности по закупочной деятельности в Группе РусГидро;</w:t>
      </w:r>
      <w:r/>
    </w:p>
    <w:p>
      <w:pPr>
        <w:pStyle w:val="1093"/>
        <w:numPr>
          <w:ilvl w:val="0"/>
          <w:numId w:val="4"/>
        </w:numPr>
        <w:ind w:left="0" w:firstLine="567"/>
        <w:jc w:val="both"/>
        <w:spacing w:before="0" w:after="0" w:line="276" w:lineRule="auto"/>
        <w:tabs>
          <w:tab w:val="left" w:pos="993" w:leader="none"/>
        </w:tabs>
      </w:pPr>
      <w:r>
        <w:rPr>
          <w:rFonts w:ascii="Arial Narrow" w:hAnsi="Arial Narrow" w:cs="Calibri"/>
          <w:color w:val="0f0d29"/>
          <w:sz w:val="24"/>
          <w:szCs w:val="24"/>
        </w:rPr>
        <w:t xml:space="preserve">продление полномочий Генерального директора ПАО «Камчатскэнерго»;</w:t>
      </w:r>
      <w:r/>
    </w:p>
    <w:p>
      <w:pPr>
        <w:pStyle w:val="1093"/>
        <w:numPr>
          <w:ilvl w:val="0"/>
          <w:numId w:val="4"/>
        </w:numPr>
        <w:ind w:left="0" w:firstLine="567"/>
        <w:jc w:val="both"/>
        <w:spacing w:before="0" w:after="0" w:line="276" w:lineRule="auto"/>
        <w:tabs>
          <w:tab w:val="left" w:pos="993" w:leader="none"/>
        </w:tabs>
      </w:pPr>
      <w:r>
        <w:rPr>
          <w:rFonts w:ascii="Arial Narrow" w:hAnsi="Arial Narrow" w:cs="Calibri"/>
          <w:bCs/>
          <w:color w:val="0f0d29"/>
          <w:sz w:val="24"/>
          <w:szCs w:val="24"/>
        </w:rPr>
        <w:t xml:space="preserve">присоединение к Стратегии цифровой трансформации Группы РусГидро на период </w:t>
      </w:r>
      <w:r>
        <w:rPr>
          <w:rFonts w:ascii="Arial Narrow" w:hAnsi="Arial Narrow" w:cs="Calibri"/>
          <w:bCs/>
          <w:color w:val="0f0d29"/>
          <w:sz w:val="24"/>
          <w:szCs w:val="24"/>
        </w:rPr>
        <w:br/>
        <w:t xml:space="preserve">2022 — 2024 годы;</w:t>
      </w:r>
      <w:r/>
    </w:p>
    <w:p>
      <w:pPr>
        <w:pStyle w:val="1093"/>
        <w:numPr>
          <w:ilvl w:val="0"/>
          <w:numId w:val="4"/>
        </w:numPr>
        <w:ind w:left="0" w:firstLine="567"/>
        <w:jc w:val="both"/>
        <w:spacing w:before="0" w:after="0" w:line="276" w:lineRule="auto"/>
        <w:tabs>
          <w:tab w:val="left" w:pos="993" w:leader="none"/>
        </w:tabs>
      </w:pPr>
      <w:r>
        <w:rPr>
          <w:rFonts w:ascii="Arial Narrow" w:hAnsi="Arial Narrow" w:cs="Calibri"/>
          <w:bCs/>
          <w:color w:val="0f0d29"/>
          <w:sz w:val="24"/>
          <w:szCs w:val="24"/>
        </w:rPr>
        <w:t xml:space="preserve">присоединение к Технической политике группы РусГидро в области информационных технологий;</w:t>
      </w:r>
      <w:r/>
    </w:p>
    <w:p>
      <w:pPr>
        <w:pStyle w:val="1093"/>
        <w:numPr>
          <w:ilvl w:val="0"/>
          <w:numId w:val="4"/>
        </w:numPr>
        <w:ind w:left="0" w:firstLine="567"/>
        <w:jc w:val="both"/>
        <w:spacing w:before="0" w:after="0" w:line="276" w:lineRule="auto"/>
        <w:tabs>
          <w:tab w:val="left" w:pos="993" w:leader="none"/>
        </w:tabs>
      </w:pPr>
      <w:r>
        <w:rPr>
          <w:rFonts w:ascii="Arial Narrow" w:hAnsi="Arial Narrow" w:cs="Calibri"/>
          <w:bCs/>
          <w:color w:val="0f0d29"/>
          <w:sz w:val="24"/>
          <w:szCs w:val="24"/>
        </w:rPr>
        <w:t xml:space="preserve">присоединение к Единому положению о порядке планирования закупок в Группе РусГидро;</w:t>
      </w:r>
      <w:r/>
    </w:p>
    <w:p>
      <w:pPr>
        <w:pStyle w:val="1093"/>
        <w:numPr>
          <w:ilvl w:val="0"/>
          <w:numId w:val="4"/>
        </w:numPr>
        <w:ind w:left="0" w:firstLine="567"/>
        <w:jc w:val="both"/>
        <w:spacing w:before="0" w:after="0" w:line="276" w:lineRule="auto"/>
        <w:tabs>
          <w:tab w:val="left" w:pos="993" w:leader="none"/>
        </w:tabs>
      </w:pPr>
      <w:r>
        <w:rPr>
          <w:rFonts w:ascii="Arial Narrow" w:hAnsi="Arial Narrow" w:cs="Calibri"/>
          <w:bCs/>
          <w:color w:val="0f0d29"/>
          <w:sz w:val="24"/>
          <w:szCs w:val="24"/>
        </w:rPr>
        <w:t xml:space="preserve">утверждение показателей Системы ключевых показателей эффективности (КПЭ) </w:t>
      </w:r>
      <w:r>
        <w:rPr>
          <w:rFonts w:ascii="Arial Narrow" w:hAnsi="Arial Narrow" w:cs="Calibri"/>
          <w:bCs/>
          <w:color w:val="0f0d29"/>
          <w:sz w:val="24"/>
          <w:szCs w:val="24"/>
        </w:rPr>
        <w:br/>
        <w:t xml:space="preserve">на 2024-2026 годы;</w:t>
      </w:r>
      <w:r/>
    </w:p>
    <w:p>
      <w:pPr>
        <w:pStyle w:val="1093"/>
        <w:numPr>
          <w:ilvl w:val="0"/>
          <w:numId w:val="4"/>
        </w:numPr>
        <w:ind w:left="0" w:firstLine="567"/>
        <w:jc w:val="both"/>
        <w:spacing w:before="0" w:after="0" w:line="276" w:lineRule="auto"/>
        <w:tabs>
          <w:tab w:val="left" w:pos="993" w:leader="none"/>
        </w:tabs>
      </w:pPr>
      <w:r>
        <w:rPr>
          <w:rFonts w:ascii="Arial Narrow" w:hAnsi="Arial Narrow" w:cs="Calibri"/>
          <w:bCs/>
          <w:color w:val="0f0d29"/>
          <w:sz w:val="24"/>
          <w:szCs w:val="24"/>
        </w:rPr>
        <w:t xml:space="preserve">присоединение к порядку расчета показателей Системы КПЭ подконтрольных организаций ПАО «РусГидро» в новой редакции;</w:t>
      </w:r>
      <w:r/>
    </w:p>
    <w:p>
      <w:pPr>
        <w:pStyle w:val="1093"/>
        <w:numPr>
          <w:ilvl w:val="0"/>
          <w:numId w:val="4"/>
        </w:numPr>
        <w:ind w:left="0" w:firstLine="567"/>
        <w:jc w:val="both"/>
        <w:spacing w:before="0" w:after="0" w:line="276" w:lineRule="auto"/>
        <w:tabs>
          <w:tab w:val="left" w:pos="993" w:leader="none"/>
        </w:tabs>
      </w:pPr>
      <w:r>
        <w:rPr>
          <w:rFonts w:ascii="Arial Narrow" w:hAnsi="Arial Narrow" w:cs="Calibri"/>
          <w:bCs/>
          <w:color w:val="0f0d29"/>
          <w:sz w:val="24"/>
          <w:szCs w:val="24"/>
        </w:rPr>
        <w:t xml:space="preserve">утверждение Кодекса корпоративной этики ПАО «Камчатскэнерго»;</w:t>
      </w:r>
      <w:r/>
    </w:p>
    <w:p>
      <w:pPr>
        <w:pStyle w:val="1093"/>
        <w:numPr>
          <w:ilvl w:val="0"/>
          <w:numId w:val="4"/>
        </w:numPr>
        <w:ind w:left="0" w:firstLine="567"/>
        <w:jc w:val="both"/>
        <w:spacing w:before="0" w:after="0" w:line="276" w:lineRule="auto"/>
        <w:tabs>
          <w:tab w:val="left" w:pos="993" w:leader="none"/>
        </w:tabs>
      </w:pPr>
      <w:r>
        <w:rPr>
          <w:rFonts w:ascii="Arial Narrow" w:hAnsi="Arial Narrow" w:cs="Calibri"/>
          <w:bCs/>
          <w:color w:val="0f0d29"/>
          <w:sz w:val="24"/>
          <w:szCs w:val="24"/>
        </w:rPr>
        <w:t xml:space="preserve">утверждение Плана мероприятий и перехода на преимущественное использование отечественного программного обеспечения ПАО «Камчатскэнерго» на период 2024 - 2026 годов;</w:t>
      </w:r>
      <w:r/>
    </w:p>
    <w:p>
      <w:pPr>
        <w:pStyle w:val="1093"/>
        <w:numPr>
          <w:ilvl w:val="0"/>
          <w:numId w:val="4"/>
        </w:numPr>
        <w:ind w:left="0" w:firstLine="567"/>
        <w:jc w:val="both"/>
        <w:spacing w:before="0" w:after="0" w:line="276" w:lineRule="auto"/>
        <w:tabs>
          <w:tab w:val="left" w:pos="993" w:leader="none"/>
        </w:tabs>
      </w:pPr>
      <w:r>
        <w:rPr>
          <w:rFonts w:ascii="Arial Narrow" w:hAnsi="Arial Narrow" w:cs="Calibri"/>
          <w:bCs/>
          <w:color w:val="0f0d29"/>
          <w:sz w:val="24"/>
          <w:szCs w:val="24"/>
        </w:rPr>
        <w:t xml:space="preserve">утверждение Плана мероприятий и перехода на преимущественное использование отечественного радиоэлектронного оборудования ПАО «Камчатскэнерго» на период 2024 - 2026 годов;</w:t>
      </w:r>
      <w:r/>
    </w:p>
    <w:p>
      <w:pPr>
        <w:pStyle w:val="1093"/>
        <w:numPr>
          <w:ilvl w:val="0"/>
          <w:numId w:val="4"/>
        </w:numPr>
        <w:ind w:left="0" w:firstLine="567"/>
        <w:jc w:val="both"/>
        <w:spacing w:before="0" w:after="0" w:line="276" w:lineRule="auto"/>
        <w:tabs>
          <w:tab w:val="left" w:pos="993" w:leader="none"/>
        </w:tabs>
      </w:pPr>
      <w:r>
        <w:rPr>
          <w:rFonts w:ascii="Arial Narrow" w:hAnsi="Arial Narrow" w:cs="Calibri"/>
          <w:bCs/>
          <w:color w:val="0f0d29"/>
          <w:sz w:val="24"/>
          <w:szCs w:val="24"/>
        </w:rPr>
        <w:t xml:space="preserve">создание Комитета по аудиту при Совете директоров;</w:t>
      </w:r>
      <w:r/>
    </w:p>
    <w:p>
      <w:pPr>
        <w:pStyle w:val="1093"/>
        <w:numPr>
          <w:ilvl w:val="0"/>
          <w:numId w:val="4"/>
        </w:numPr>
        <w:ind w:left="0" w:firstLine="567"/>
        <w:jc w:val="both"/>
        <w:spacing w:before="0" w:after="0" w:line="276" w:lineRule="auto"/>
        <w:tabs>
          <w:tab w:val="left" w:pos="993" w:leader="none"/>
        </w:tabs>
      </w:pPr>
      <w:r>
        <w:rPr>
          <w:rFonts w:ascii="Arial Narrow" w:hAnsi="Arial Narrow" w:cs="Calibri"/>
          <w:bCs/>
          <w:color w:val="0f0d29"/>
          <w:sz w:val="24"/>
          <w:szCs w:val="24"/>
        </w:rPr>
        <w:t xml:space="preserve">утверждение Программы мероприятий по ликвидации сверхнормативных потерь тепловой энергии и теплоносителя на 2022 - 2025 годы;</w:t>
      </w:r>
      <w:r/>
    </w:p>
    <w:p>
      <w:pPr>
        <w:pStyle w:val="1093"/>
        <w:numPr>
          <w:ilvl w:val="0"/>
          <w:numId w:val="4"/>
        </w:numPr>
        <w:ind w:left="0" w:firstLine="567"/>
        <w:jc w:val="both"/>
        <w:spacing w:before="0" w:after="0" w:line="276" w:lineRule="auto"/>
        <w:tabs>
          <w:tab w:val="left" w:pos="993" w:leader="none"/>
        </w:tabs>
      </w:pPr>
      <w:r>
        <w:rPr>
          <w:rFonts w:ascii="Arial Narrow" w:hAnsi="Arial Narrow" w:cs="Calibri"/>
          <w:bCs/>
          <w:color w:val="0f0d29"/>
          <w:sz w:val="24"/>
          <w:szCs w:val="24"/>
        </w:rPr>
        <w:t xml:space="preserve">участие ПАО «Камчатскэнерго» в другой организации - ООО «Геотермальная энергетика»;</w:t>
      </w:r>
      <w:r/>
    </w:p>
    <w:p>
      <w:pPr>
        <w:pStyle w:val="1093"/>
        <w:numPr>
          <w:ilvl w:val="0"/>
          <w:numId w:val="4"/>
        </w:numPr>
        <w:ind w:left="0" w:firstLine="567"/>
        <w:jc w:val="both"/>
        <w:spacing w:before="0" w:after="0" w:line="276" w:lineRule="auto"/>
        <w:tabs>
          <w:tab w:val="left" w:pos="993" w:leader="none"/>
        </w:tabs>
      </w:pPr>
      <w:r>
        <w:rPr>
          <w:rFonts w:ascii="Arial Narrow" w:hAnsi="Arial Narrow" w:cs="Calibri"/>
          <w:bCs/>
          <w:color w:val="0f0d29"/>
          <w:sz w:val="24"/>
          <w:szCs w:val="24"/>
        </w:rPr>
        <w:t xml:space="preserve">заключение Договора купли-продажи ценных бумаг между ПАО «Камчатскэнерго»;</w:t>
      </w:r>
      <w:r/>
    </w:p>
    <w:p>
      <w:pPr>
        <w:pStyle w:val="1093"/>
        <w:numPr>
          <w:ilvl w:val="0"/>
          <w:numId w:val="4"/>
        </w:numPr>
        <w:ind w:left="0" w:firstLine="567"/>
        <w:jc w:val="both"/>
        <w:spacing w:before="0" w:after="0" w:line="276" w:lineRule="auto"/>
        <w:tabs>
          <w:tab w:val="left" w:pos="993" w:leader="none"/>
        </w:tabs>
      </w:pPr>
      <w:r>
        <w:rPr>
          <w:rFonts w:ascii="Arial Narrow" w:hAnsi="Arial Narrow" w:cs="Calibri"/>
          <w:bCs/>
          <w:color w:val="0f0d29"/>
          <w:sz w:val="24"/>
          <w:szCs w:val="24"/>
        </w:rPr>
        <w:t xml:space="preserve">заключение Договора оказания услуг на осуществление функций энергосбытовые деятельности (энергоресурсы, в т.ч. электро-, тепловая энергия и ГВС (услуги) физическим и юридическим лицам, расположенным на территории Камчатского края;</w:t>
      </w:r>
      <w:r/>
    </w:p>
    <w:p>
      <w:pPr>
        <w:pStyle w:val="1093"/>
        <w:numPr>
          <w:ilvl w:val="0"/>
          <w:numId w:val="4"/>
        </w:numPr>
        <w:ind w:left="0" w:firstLine="567"/>
        <w:jc w:val="both"/>
        <w:spacing w:before="0" w:after="0" w:line="276" w:lineRule="auto"/>
        <w:tabs>
          <w:tab w:val="left" w:pos="993" w:leader="none"/>
        </w:tabs>
      </w:pPr>
      <w:r>
        <w:rPr>
          <w:rFonts w:ascii="Arial Narrow" w:hAnsi="Arial Narrow" w:cs="Calibri"/>
          <w:bCs/>
          <w:color w:val="0f0d29"/>
          <w:sz w:val="24"/>
          <w:szCs w:val="24"/>
        </w:rPr>
        <w:t xml:space="preserve">утверждение Программы страховой защиты ПАО «Камчатскэнерго» на 2025 год;</w:t>
      </w:r>
      <w:r/>
    </w:p>
    <w:p>
      <w:pPr>
        <w:pStyle w:val="1093"/>
        <w:numPr>
          <w:ilvl w:val="0"/>
          <w:numId w:val="4"/>
        </w:numPr>
        <w:ind w:left="0" w:firstLine="567"/>
        <w:jc w:val="both"/>
        <w:spacing w:before="0" w:after="0" w:line="276" w:lineRule="auto"/>
        <w:tabs>
          <w:tab w:val="left" w:pos="993" w:leader="none"/>
        </w:tabs>
      </w:pPr>
      <w:r>
        <w:rPr>
          <w:rFonts w:ascii="Arial Narrow" w:hAnsi="Arial Narrow" w:cs="Calibri"/>
          <w:bCs/>
          <w:color w:val="0f0d29"/>
          <w:sz w:val="24"/>
          <w:szCs w:val="24"/>
        </w:rPr>
        <w:t xml:space="preserve">утверждение страховщиков ПАО «Камчатскэнерго» на 2025 год;</w:t>
      </w:r>
      <w:r/>
    </w:p>
    <w:p>
      <w:pPr>
        <w:pStyle w:val="1093"/>
        <w:numPr>
          <w:ilvl w:val="0"/>
          <w:numId w:val="4"/>
        </w:numPr>
        <w:ind w:left="0" w:firstLine="567"/>
        <w:jc w:val="both"/>
        <w:spacing w:before="0" w:after="0" w:line="276" w:lineRule="auto"/>
        <w:tabs>
          <w:tab w:val="left" w:pos="993" w:leader="none"/>
        </w:tabs>
      </w:pPr>
      <w:r>
        <w:rPr>
          <w:rFonts w:ascii="Arial Narrow" w:hAnsi="Arial Narrow" w:cs="Calibri"/>
          <w:bCs/>
          <w:color w:val="0f0d29"/>
          <w:sz w:val="24"/>
          <w:szCs w:val="24"/>
        </w:rPr>
        <w:t xml:space="preserve">присоединение к Единому положению о центральных закупочных комиссиях Группы РусГидро и Единому положению о закупочных комиссиях Группы РусГидро.</w:t>
      </w:r>
      <w:r/>
    </w:p>
    <w:p>
      <w:pPr>
        <w:pStyle w:val="1093"/>
        <w:jc w:val="both"/>
        <w:spacing w:before="0" w:after="0" w:line="276" w:lineRule="auto"/>
        <w:tabs>
          <w:tab w:val="left" w:pos="993" w:leader="none"/>
        </w:tabs>
        <w:rPr>
          <w:rFonts w:ascii="Arial Narrow" w:hAnsi="Arial Narrow"/>
          <w:sz w:val="14"/>
          <w:szCs w:val="14"/>
          <w:lang w:bidi="ru-RU"/>
        </w:rPr>
      </w:pPr>
      <w:r>
        <w:rPr>
          <w:rFonts w:ascii="Arial Narrow" w:hAnsi="Arial Narrow"/>
          <w:sz w:val="14"/>
          <w:szCs w:val="14"/>
          <w:lang w:bidi="ru-RU"/>
        </w:rPr>
      </w:r>
      <w:r>
        <w:rPr>
          <w:rFonts w:ascii="Arial Narrow" w:hAnsi="Arial Narrow"/>
          <w:sz w:val="14"/>
          <w:szCs w:val="14"/>
          <w:lang w:bidi="ru-RU"/>
        </w:rPr>
      </w:r>
      <w:r>
        <w:rPr>
          <w:rFonts w:ascii="Arial Narrow" w:hAnsi="Arial Narrow"/>
          <w:sz w:val="14"/>
          <w:szCs w:val="14"/>
          <w:lang w:bidi="ru-RU"/>
        </w:rPr>
      </w:r>
    </w:p>
    <w:p>
      <w:pPr>
        <w:pStyle w:val="1063"/>
        <w:jc w:val="both"/>
        <w:rPr>
          <w:rFonts w:ascii="Arial Narrow" w:hAnsi="Arial Narrow" w:eastAsia="Calibri" w:cs="Calibri"/>
          <w:b/>
          <w:color w:val="314e87"/>
          <w:lang w:eastAsia="ja-JP"/>
        </w:rPr>
      </w:pPr>
      <w:r>
        <w:rPr>
          <w:rFonts w:ascii="Arial Narrow" w:hAnsi="Arial Narrow" w:eastAsia="Calibri" w:cs="Calibri"/>
          <w:b/>
          <w:color w:val="314e87"/>
          <w:lang w:eastAsia="ja-JP"/>
        </w:rPr>
        <w:t xml:space="preserve">Исполнительные органы</w:t>
      </w:r>
      <w:r>
        <w:rPr>
          <w:rFonts w:ascii="Arial Narrow" w:hAnsi="Arial Narrow" w:eastAsia="Calibri" w:cs="Calibri"/>
          <w:b/>
          <w:color w:val="314e87"/>
          <w:lang w:eastAsia="ja-JP"/>
        </w:rPr>
      </w:r>
      <w:r>
        <w:rPr>
          <w:rFonts w:ascii="Arial Narrow" w:hAnsi="Arial Narrow" w:eastAsia="Calibri" w:cs="Calibri"/>
          <w:b/>
          <w:color w:val="314e87"/>
          <w:lang w:eastAsia="ja-JP"/>
        </w:rPr>
      </w:r>
    </w:p>
    <w:p>
      <w:pPr>
        <w:pStyle w:val="1063"/>
        <w:jc w:val="both"/>
        <w:rPr>
          <w:rFonts w:ascii="Arial Narrow" w:hAnsi="Arial Narrow" w:eastAsia="Calibri" w:cs="Calibri"/>
          <w:b/>
          <w:color w:val="314e87"/>
          <w:lang w:eastAsia="ja-JP"/>
        </w:rPr>
      </w:pPr>
      <w:r>
        <w:rPr>
          <w:rFonts w:ascii="Arial Narrow" w:hAnsi="Arial Narrow" w:eastAsia="Calibri" w:cs="Calibri"/>
          <w:b/>
          <w:color w:val="314e87"/>
          <w:lang w:eastAsia="ja-JP"/>
        </w:rPr>
        <w:t xml:space="preserve">Единоличный исполнительный орган</w:t>
      </w:r>
      <w:r>
        <w:rPr>
          <w:rFonts w:ascii="Arial Narrow" w:hAnsi="Arial Narrow" w:eastAsia="Calibri" w:cs="Calibri"/>
          <w:b/>
          <w:color w:val="314e87"/>
          <w:lang w:eastAsia="ja-JP"/>
        </w:rPr>
      </w:r>
      <w:r>
        <w:rPr>
          <w:rFonts w:ascii="Arial Narrow" w:hAnsi="Arial Narrow" w:eastAsia="Calibri" w:cs="Calibri"/>
          <w:b/>
          <w:color w:val="314e87"/>
          <w:lang w:eastAsia="ja-JP"/>
        </w:rPr>
      </w:r>
    </w:p>
    <w:p>
      <w:pPr>
        <w:pStyle w:val="1063"/>
        <w:ind w:firstLine="567"/>
        <w:jc w:val="both"/>
        <w:rPr>
          <w:rFonts w:ascii="Arial Narrow" w:hAnsi="Arial Narrow" w:cs="Calibri"/>
          <w:color w:val="0f0d29"/>
          <w:sz w:val="12"/>
          <w:szCs w:val="12"/>
        </w:rPr>
      </w:pPr>
      <w:r>
        <w:rPr>
          <w:rFonts w:ascii="Arial Narrow" w:hAnsi="Arial Narrow" w:cs="Calibri"/>
          <w:color w:val="0f0d29"/>
          <w:sz w:val="12"/>
          <w:szCs w:val="12"/>
        </w:rPr>
      </w:r>
      <w:r>
        <w:rPr>
          <w:rFonts w:ascii="Arial Narrow" w:hAnsi="Arial Narrow" w:cs="Calibri"/>
          <w:color w:val="0f0d29"/>
          <w:sz w:val="12"/>
          <w:szCs w:val="12"/>
        </w:rPr>
      </w:r>
      <w:r>
        <w:rPr>
          <w:rFonts w:ascii="Arial Narrow" w:hAnsi="Arial Narrow" w:cs="Calibri"/>
          <w:color w:val="0f0d29"/>
          <w:sz w:val="12"/>
          <w:szCs w:val="12"/>
        </w:rPr>
      </w:r>
    </w:p>
    <w:p>
      <w:pPr>
        <w:pStyle w:val="1063"/>
        <w:ind w:firstLine="567"/>
        <w:jc w:val="both"/>
      </w:pPr>
      <w:r>
        <w:rPr>
          <w:rFonts w:ascii="Arial Narrow" w:hAnsi="Arial Narrow" w:cs="Calibri"/>
          <w:color w:val="0f0d29"/>
        </w:rPr>
        <w:t xml:space="preserve">В соответствии с Уставом Общества, полномочия единоличного исполнительного органа осуществляет Генеральный директор Общества.</w:t>
      </w:r>
      <w:r/>
    </w:p>
    <w:p>
      <w:pPr>
        <w:pStyle w:val="1063"/>
        <w:ind w:firstLine="567"/>
        <w:jc w:val="both"/>
      </w:pPr>
      <w:r>
        <w:rPr>
          <w:rFonts w:ascii="Arial Narrow" w:hAnsi="Arial Narrow" w:cs="Calibri"/>
          <w:color w:val="0f0d29"/>
        </w:rPr>
        <w:t xml:space="preserve">Коллегиальный исполнительный орган Общества предусмотрен (Правление).</w:t>
      </w:r>
      <w:r/>
    </w:p>
    <w:p>
      <w:pPr>
        <w:pStyle w:val="1063"/>
        <w:ind w:right="142" w:firstLine="567"/>
        <w:jc w:val="both"/>
      </w:pPr>
      <w:r>
        <w:rPr>
          <w:rFonts w:ascii="Arial Narrow" w:hAnsi="Arial Narrow" w:cs="Calibri"/>
          <w:color w:val="0f0d29"/>
        </w:rPr>
        <w:t xml:space="preserve">В отчетном периоде Генеральным директором Общества на основании решений Совета директоров 27.10.2021 (протокол от 27.10.2021 № 7 -  избрание), 28.05.2024 (протокол от 28.05.2024 № 16 – продление полномочий) является:</w:t>
      </w:r>
      <w:r/>
    </w:p>
    <w:p>
      <w:pPr>
        <w:pStyle w:val="1063"/>
        <w:ind w:firstLine="567"/>
        <w:jc w:val="both"/>
      </w:pPr>
      <w:r>
        <w:rPr>
          <w:rFonts w:ascii="Arial Narrow" w:hAnsi="Arial Narrow" w:cs="Calibri"/>
          <w:color w:val="0f0d29"/>
        </w:rPr>
        <w:t xml:space="preserve">Новиков Алексей Николаевич</w:t>
      </w:r>
      <w:r/>
    </w:p>
    <w:p>
      <w:pPr>
        <w:pStyle w:val="1063"/>
        <w:ind w:firstLine="567"/>
        <w:jc w:val="both"/>
      </w:pPr>
      <w:r>
        <w:rPr>
          <w:rFonts w:ascii="Arial Narrow" w:hAnsi="Arial Narrow" w:cs="Calibri"/>
          <w:color w:val="0f0d29"/>
        </w:rPr>
        <w:t xml:space="preserve">Год рождения: 1973</w:t>
      </w:r>
      <w:r/>
    </w:p>
    <w:p>
      <w:pPr>
        <w:pStyle w:val="1063"/>
        <w:ind w:firstLine="567"/>
        <w:jc w:val="both"/>
      </w:pPr>
      <w:r>
        <w:rPr>
          <w:rFonts w:ascii="Arial Narrow" w:hAnsi="Arial Narrow" w:cs="Calibri"/>
          <w:color w:val="0f0d29"/>
        </w:rPr>
        <w:t xml:space="preserve">Сведения об образовании: Высшее</w:t>
      </w:r>
      <w:r/>
    </w:p>
    <w:p>
      <w:pPr>
        <w:pStyle w:val="1063"/>
        <w:ind w:firstLine="567"/>
        <w:jc w:val="both"/>
      </w:pPr>
      <w:r>
        <w:rPr>
          <w:rFonts w:ascii="Arial Narrow" w:hAnsi="Arial Narrow" w:cs="Calibri"/>
          <w:color w:val="0f0d29"/>
        </w:rPr>
        <w:t xml:space="preserve">Доля в уставном капитале / Доля принадлежащих лицу обыкновенных акций Общества: </w:t>
      </w:r>
      <w:r>
        <w:rPr>
          <w:rFonts w:ascii="Arial Narrow" w:hAnsi="Arial Narrow" w:cs="Calibri"/>
          <w:color w:val="0f0d29"/>
        </w:rPr>
        <w:br/>
        <w:t xml:space="preserve">0,00001% / 0%.</w:t>
      </w:r>
      <w:r/>
    </w:p>
    <w:p>
      <w:pPr>
        <w:pStyle w:val="1063"/>
        <w:ind w:firstLine="567"/>
        <w:jc w:val="both"/>
        <w:rPr>
          <w:rFonts w:ascii="Arial Narrow" w:hAnsi="Arial Narrow" w:cs="Calibri"/>
          <w:sz w:val="12"/>
          <w:szCs w:val="12"/>
        </w:rPr>
      </w:pPr>
      <w:r>
        <w:rPr>
          <w:rFonts w:ascii="Arial Narrow" w:hAnsi="Arial Narrow" w:cs="Calibri"/>
          <w:sz w:val="12"/>
          <w:szCs w:val="12"/>
        </w:rPr>
      </w:r>
      <w:r>
        <w:rPr>
          <w:rFonts w:ascii="Arial Narrow" w:hAnsi="Arial Narrow" w:cs="Calibri"/>
          <w:sz w:val="12"/>
          <w:szCs w:val="12"/>
        </w:rPr>
      </w:r>
      <w:r>
        <w:rPr>
          <w:rFonts w:ascii="Arial Narrow" w:hAnsi="Arial Narrow" w:cs="Calibri"/>
          <w:sz w:val="12"/>
          <w:szCs w:val="12"/>
        </w:rPr>
      </w:r>
    </w:p>
    <w:p>
      <w:pPr>
        <w:pStyle w:val="1063"/>
        <w:jc w:val="both"/>
        <w:rPr>
          <w:rFonts w:ascii="Arial Narrow" w:hAnsi="Arial Narrow" w:eastAsia="Calibri" w:cs="Calibri"/>
          <w:b/>
          <w:color w:val="314e87"/>
          <w:lang w:eastAsia="ja-JP"/>
        </w:rPr>
      </w:pPr>
      <w:r>
        <w:rPr>
          <w:rFonts w:ascii="Arial Narrow" w:hAnsi="Arial Narrow" w:eastAsia="Calibri" w:cs="Calibri"/>
          <w:b/>
          <w:color w:val="314e87"/>
          <w:lang w:eastAsia="ja-JP"/>
        </w:rPr>
        <w:t xml:space="preserve">Коллегиальный исполнительный орган</w:t>
      </w:r>
      <w:r>
        <w:rPr>
          <w:rFonts w:ascii="Arial Narrow" w:hAnsi="Arial Narrow" w:eastAsia="Calibri" w:cs="Calibri"/>
          <w:b/>
          <w:color w:val="314e87"/>
          <w:lang w:eastAsia="ja-JP"/>
        </w:rPr>
      </w:r>
      <w:r>
        <w:rPr>
          <w:rFonts w:ascii="Arial Narrow" w:hAnsi="Arial Narrow" w:eastAsia="Calibri" w:cs="Calibri"/>
          <w:b/>
          <w:color w:val="314e87"/>
          <w:lang w:eastAsia="ja-JP"/>
        </w:rPr>
      </w:r>
    </w:p>
    <w:p>
      <w:pPr>
        <w:pStyle w:val="1063"/>
        <w:jc w:val="both"/>
        <w:rPr>
          <w:rFonts w:ascii="Arial Narrow" w:hAnsi="Arial Narrow" w:eastAsia="Calibri" w:cs="Calibri"/>
          <w:b/>
          <w:color w:val="314e87"/>
          <w:lang w:eastAsia="ja-JP"/>
        </w:rPr>
      </w:pPr>
      <w:r>
        <w:rPr>
          <w:rFonts w:ascii="Arial Narrow" w:hAnsi="Arial Narrow" w:eastAsia="Calibri" w:cs="Calibri"/>
          <w:b/>
          <w:color w:val="314e87"/>
          <w:lang w:eastAsia="ja-JP"/>
        </w:rPr>
      </w:r>
      <w:r>
        <w:rPr>
          <w:rFonts w:ascii="Arial Narrow" w:hAnsi="Arial Narrow" w:eastAsia="Calibri" w:cs="Calibri"/>
          <w:b/>
          <w:color w:val="314e87"/>
          <w:lang w:eastAsia="ja-JP"/>
        </w:rPr>
      </w:r>
      <w:r>
        <w:rPr>
          <w:rFonts w:ascii="Arial Narrow" w:hAnsi="Arial Narrow" w:eastAsia="Calibri" w:cs="Calibri"/>
          <w:b/>
          <w:color w:val="314e87"/>
          <w:lang w:eastAsia="ja-JP"/>
        </w:rPr>
      </w:r>
    </w:p>
    <w:p>
      <w:pPr>
        <w:pStyle w:val="1063"/>
        <w:jc w:val="both"/>
      </w:pPr>
      <w:r>
        <w:rPr>
          <w:rFonts w:ascii="Arial Narrow" w:hAnsi="Arial Narrow" w:eastAsia="Calibri" w:cs="Calibri"/>
          <w:b/>
          <w:color w:val="314e87"/>
          <w:lang w:eastAsia="ja-JP"/>
        </w:rPr>
        <w:t xml:space="preserve">Членами коллегиального исполнительного органа являются:</w:t>
      </w:r>
      <w:r/>
    </w:p>
    <w:p>
      <w:pPr>
        <w:pStyle w:val="1063"/>
        <w:jc w:val="right"/>
      </w:pPr>
      <w:r>
        <w:rPr>
          <w:rFonts w:ascii="Arial Narrow" w:hAnsi="Arial Narrow" w:eastAsia="Calibri" w:cs="Calibri"/>
          <w:i/>
          <w:lang w:eastAsia="ja-JP"/>
        </w:rPr>
        <w:t xml:space="preserve">Таблица № </w:t>
      </w:r>
      <w:r>
        <w:rPr>
          <w:rFonts w:ascii="Arial Narrow" w:hAnsi="Arial Narrow" w:eastAsia="Calibri" w:cs="Calibri"/>
          <w:i/>
          <w:lang w:val="en-US" w:eastAsia="ja-JP"/>
        </w:rPr>
        <w:t xml:space="preserve">5</w:t>
      </w:r>
      <w:r>
        <w:rPr>
          <w:rFonts w:ascii="Arial Narrow" w:hAnsi="Arial Narrow" w:eastAsia="Calibri" w:cs="Calibri"/>
          <w:i/>
          <w:lang w:eastAsia="ja-JP"/>
        </w:rPr>
        <w:t xml:space="preserve">1</w:t>
      </w:r>
      <w:r/>
    </w:p>
    <w:tbl>
      <w:tblPr>
        <w:tblW w:w="10059" w:type="dxa"/>
        <w:tblInd w:w="118" w:type="dxa"/>
        <w:tblLayout w:type="fixed"/>
        <w:tblLook w:val="04A0" w:firstRow="1" w:lastRow="0" w:firstColumn="1" w:lastColumn="0" w:noHBand="0" w:noVBand="1"/>
      </w:tblPr>
      <w:tblGrid>
        <w:gridCol w:w="425"/>
        <w:gridCol w:w="2409"/>
        <w:gridCol w:w="842"/>
        <w:gridCol w:w="1281"/>
        <w:gridCol w:w="3255"/>
        <w:gridCol w:w="1847"/>
      </w:tblGrid>
      <w:tr>
        <w:trPr>
          <w:tblHeader/>
        </w:trPr>
        <w:tc>
          <w:tcPr>
            <w:shd w:val="clear" w:color="auto" w:fill="ffffff"/>
            <w:tcBorders>
              <w:top w:val="single" w:color="000000" w:sz="4" w:space="0"/>
              <w:left w:val="single" w:color="000000" w:sz="4" w:space="0"/>
              <w:bottom w:val="single" w:color="000000" w:sz="4" w:space="0"/>
              <w:right w:val="single" w:color="000000" w:sz="4" w:space="0"/>
            </w:tcBorders>
            <w:tcW w:w="425" w:type="dxa"/>
            <w:vAlign w:val="center"/>
            <w:textDirection w:val="lrTb"/>
            <w:noWrap w:val="false"/>
          </w:tcPr>
          <w:p>
            <w:pPr>
              <w:pStyle w:val="1063"/>
              <w:ind w:left="-114" w:right="-106"/>
              <w:jc w:val="center"/>
              <w:widowControl w:val="off"/>
            </w:pPr>
            <w:r>
              <w:rPr>
                <w:rFonts w:ascii="Arial Narrow" w:hAnsi="Arial Narrow" w:cs="Calibri"/>
                <w:color w:val="0f0d29"/>
                <w:sz w:val="20"/>
                <w:szCs w:val="20"/>
              </w:rPr>
              <w:t xml:space="preserve">№ п/п</w:t>
            </w:r>
            <w:r/>
          </w:p>
        </w:tc>
        <w:tc>
          <w:tcPr>
            <w:shd w:val="clear" w:color="auto" w:fill="ffffff"/>
            <w:tcBorders>
              <w:top w:val="single" w:color="000000" w:sz="4" w:space="0"/>
              <w:left w:val="single" w:color="000000" w:sz="4" w:space="0"/>
              <w:bottom w:val="single" w:color="000000" w:sz="4" w:space="0"/>
              <w:right w:val="single" w:color="000000" w:sz="4" w:space="0"/>
            </w:tcBorders>
            <w:tcW w:w="2409" w:type="dxa"/>
            <w:vAlign w:val="center"/>
            <w:textDirection w:val="lrTb"/>
            <w:noWrap w:val="false"/>
          </w:tcPr>
          <w:p>
            <w:pPr>
              <w:pStyle w:val="1063"/>
              <w:jc w:val="center"/>
              <w:widowControl w:val="off"/>
            </w:pPr>
            <w:r>
              <w:rPr>
                <w:rFonts w:ascii="Arial Narrow" w:hAnsi="Arial Narrow" w:cs="Calibri"/>
                <w:color w:val="0f0d29"/>
                <w:sz w:val="20"/>
                <w:szCs w:val="20"/>
              </w:rPr>
              <w:t xml:space="preserve">Фамилия, имя, отчество</w:t>
            </w:r>
            <w:r/>
          </w:p>
        </w:tc>
        <w:tc>
          <w:tcPr>
            <w:shd w:val="clear" w:color="auto" w:fill="ffffff"/>
            <w:tcBorders>
              <w:top w:val="single" w:color="000000" w:sz="4" w:space="0"/>
              <w:left w:val="single" w:color="000000" w:sz="4" w:space="0"/>
              <w:bottom w:val="single" w:color="000000" w:sz="4" w:space="0"/>
              <w:right w:val="single" w:color="000000" w:sz="4" w:space="0"/>
            </w:tcBorders>
            <w:tcW w:w="842" w:type="dxa"/>
            <w:vAlign w:val="center"/>
            <w:textDirection w:val="lrTb"/>
            <w:noWrap w:val="false"/>
          </w:tcPr>
          <w:p>
            <w:pPr>
              <w:pStyle w:val="1063"/>
              <w:ind w:left="-105" w:right="-108"/>
              <w:jc w:val="center"/>
              <w:widowControl w:val="off"/>
            </w:pPr>
            <w:r>
              <w:rPr>
                <w:rFonts w:ascii="Arial Narrow" w:hAnsi="Arial Narrow" w:cs="Calibri"/>
                <w:color w:val="0f0d29"/>
                <w:sz w:val="20"/>
                <w:szCs w:val="20"/>
              </w:rPr>
              <w:t xml:space="preserve">Год рождения</w:t>
            </w:r>
            <w:r/>
          </w:p>
        </w:tc>
        <w:tc>
          <w:tcPr>
            <w:shd w:val="clear" w:color="auto" w:fill="ffffff"/>
            <w:tcBorders>
              <w:top w:val="single" w:color="000000" w:sz="4" w:space="0"/>
              <w:left w:val="single" w:color="000000" w:sz="4" w:space="0"/>
              <w:bottom w:val="single" w:color="000000" w:sz="4" w:space="0"/>
              <w:right w:val="single" w:color="000000" w:sz="4" w:space="0"/>
            </w:tcBorders>
            <w:tcW w:w="1281" w:type="dxa"/>
            <w:vAlign w:val="center"/>
            <w:textDirection w:val="lrTb"/>
            <w:noWrap w:val="false"/>
          </w:tcPr>
          <w:p>
            <w:pPr>
              <w:pStyle w:val="1063"/>
              <w:ind w:left="-110" w:right="-103"/>
              <w:jc w:val="center"/>
              <w:widowControl w:val="off"/>
            </w:pPr>
            <w:r>
              <w:rPr>
                <w:rFonts w:ascii="Arial Narrow" w:hAnsi="Arial Narrow" w:cs="Calibri"/>
                <w:color w:val="0f0d29"/>
                <w:sz w:val="20"/>
                <w:szCs w:val="20"/>
              </w:rPr>
              <w:t xml:space="preserve">Сведения об образовании</w:t>
            </w:r>
            <w:r/>
          </w:p>
        </w:tc>
        <w:tc>
          <w:tcPr>
            <w:shd w:val="clear" w:color="auto" w:fill="ffffff"/>
            <w:tcBorders>
              <w:top w:val="single" w:color="000000" w:sz="4" w:space="0"/>
              <w:left w:val="single" w:color="000000" w:sz="4" w:space="0"/>
              <w:bottom w:val="single" w:color="000000" w:sz="4" w:space="0"/>
              <w:right w:val="single" w:color="000000" w:sz="4" w:space="0"/>
            </w:tcBorders>
            <w:tcW w:w="3255" w:type="dxa"/>
            <w:vAlign w:val="center"/>
            <w:textDirection w:val="lrTb"/>
            <w:noWrap w:val="false"/>
          </w:tcPr>
          <w:p>
            <w:pPr>
              <w:pStyle w:val="1063"/>
              <w:jc w:val="center"/>
              <w:widowControl w:val="off"/>
            </w:pPr>
            <w:r>
              <w:rPr>
                <w:rFonts w:ascii="Arial Narrow" w:hAnsi="Arial Narrow" w:cs="Calibri"/>
                <w:color w:val="0f0d29"/>
                <w:sz w:val="20"/>
                <w:szCs w:val="20"/>
              </w:rPr>
              <w:t xml:space="preserve">Наименование должности по основному месту работы</w:t>
            </w:r>
            <w:r/>
          </w:p>
        </w:tc>
        <w:tc>
          <w:tcPr>
            <w:shd w:val="clear" w:color="auto" w:fill="ffffff"/>
            <w:tcBorders>
              <w:top w:val="single" w:color="000000" w:sz="4" w:space="0"/>
              <w:left w:val="single" w:color="000000" w:sz="4" w:space="0"/>
              <w:bottom w:val="single" w:color="000000" w:sz="4" w:space="0"/>
              <w:right w:val="single" w:color="000000" w:sz="4" w:space="0"/>
            </w:tcBorders>
            <w:tcW w:w="1844" w:type="dxa"/>
            <w:vAlign w:val="center"/>
            <w:textDirection w:val="lrTb"/>
            <w:noWrap w:val="false"/>
          </w:tcPr>
          <w:p>
            <w:pPr>
              <w:pStyle w:val="1063"/>
              <w:ind w:left="-106" w:right="-98"/>
              <w:jc w:val="center"/>
              <w:widowControl w:val="off"/>
            </w:pPr>
            <w:r>
              <w:rPr>
                <w:rFonts w:ascii="Arial Narrow" w:hAnsi="Arial Narrow" w:cs="Calibri"/>
                <w:color w:val="0f0d29"/>
                <w:sz w:val="19"/>
                <w:szCs w:val="19"/>
              </w:rPr>
              <w:t xml:space="preserve">Доля в уставном капитале/Доля принадлежавших лицу обыкновенных акций Общества, %</w:t>
            </w:r>
            <w:r/>
          </w:p>
        </w:tc>
      </w:tr>
      <w:tr>
        <w:trPr>
          <w:trHeight w:val="218"/>
        </w:trPr>
        <w:tc>
          <w:tcPr>
            <w:gridSpan w:val="6"/>
            <w:shd w:val="clear" w:color="auto" w:fill="ffffff"/>
            <w:tcBorders>
              <w:top w:val="single" w:color="000000" w:sz="4" w:space="0"/>
              <w:left w:val="single" w:color="000000" w:sz="4" w:space="0"/>
              <w:bottom w:val="single" w:color="000000" w:sz="4" w:space="0"/>
              <w:right w:val="single" w:color="000000" w:sz="4" w:space="0"/>
            </w:tcBorders>
            <w:tcW w:w="10059" w:type="dxa"/>
            <w:vAlign w:val="center"/>
            <w:textDirection w:val="lrTb"/>
            <w:noWrap w:val="false"/>
          </w:tcPr>
          <w:p>
            <w:pPr>
              <w:pStyle w:val="1063"/>
              <w:widowControl w:val="off"/>
            </w:pPr>
            <w:r>
              <w:rPr>
                <w:rFonts w:ascii="Arial Narrow" w:hAnsi="Arial Narrow" w:cs="Calibri"/>
                <w:color w:val="0f0d29"/>
                <w:sz w:val="19"/>
                <w:szCs w:val="19"/>
              </w:rPr>
              <w:t xml:space="preserve">Председатель Правления</w:t>
            </w:r>
            <w:r/>
          </w:p>
        </w:tc>
      </w:tr>
      <w:tr>
        <w:trPr/>
        <w:tc>
          <w:tcPr>
            <w:shd w:val="clear" w:color="auto" w:fill="ffffff"/>
            <w:tcBorders>
              <w:top w:val="single" w:color="000000" w:sz="4" w:space="0"/>
              <w:left w:val="single" w:color="000000" w:sz="4" w:space="0"/>
              <w:bottom w:val="single" w:color="000000" w:sz="4" w:space="0"/>
              <w:right w:val="single" w:color="000000" w:sz="4" w:space="0"/>
            </w:tcBorders>
            <w:tcW w:w="425" w:type="dxa"/>
            <w:vAlign w:val="center"/>
            <w:textDirection w:val="lrTb"/>
            <w:noWrap w:val="false"/>
          </w:tcPr>
          <w:p>
            <w:pPr>
              <w:pStyle w:val="1063"/>
              <w:jc w:val="center"/>
              <w:widowControl w:val="off"/>
            </w:pPr>
            <w:r>
              <w:rPr>
                <w:rFonts w:ascii="Arial Narrow" w:hAnsi="Arial Narrow" w:cs="Calibri"/>
                <w:color w:val="0f0d29"/>
                <w:sz w:val="20"/>
                <w:szCs w:val="20"/>
              </w:rPr>
              <w:t xml:space="preserve">1</w:t>
            </w:r>
            <w:r/>
          </w:p>
        </w:tc>
        <w:tc>
          <w:tcPr>
            <w:shd w:val="clear" w:color="auto" w:fill="ffffff"/>
            <w:tcBorders>
              <w:top w:val="single" w:color="000000" w:sz="4" w:space="0"/>
              <w:left w:val="single" w:color="000000" w:sz="4" w:space="0"/>
              <w:bottom w:val="single" w:color="000000" w:sz="4" w:space="0"/>
              <w:right w:val="single" w:color="000000" w:sz="4" w:space="0"/>
            </w:tcBorders>
            <w:tcW w:w="2409" w:type="dxa"/>
            <w:vAlign w:val="center"/>
            <w:textDirection w:val="lrTb"/>
            <w:noWrap w:val="false"/>
          </w:tcPr>
          <w:p>
            <w:pPr>
              <w:pStyle w:val="1063"/>
              <w:jc w:val="center"/>
              <w:widowControl w:val="off"/>
            </w:pPr>
            <w:r>
              <w:rPr>
                <w:rFonts w:ascii="Arial Narrow" w:hAnsi="Arial Narrow" w:cs="Calibri"/>
                <w:color w:val="0f0d29"/>
                <w:sz w:val="20"/>
                <w:szCs w:val="20"/>
              </w:rPr>
              <w:t xml:space="preserve">Новиков</w:t>
            </w:r>
            <w:r/>
          </w:p>
          <w:p>
            <w:pPr>
              <w:pStyle w:val="1063"/>
              <w:jc w:val="center"/>
              <w:widowControl w:val="off"/>
            </w:pPr>
            <w:r>
              <w:rPr>
                <w:rFonts w:ascii="Arial Narrow" w:hAnsi="Arial Narrow" w:cs="Calibri"/>
                <w:color w:val="0f0d29"/>
                <w:sz w:val="20"/>
                <w:szCs w:val="20"/>
              </w:rPr>
              <w:t xml:space="preserve">Алексей Николаевич</w:t>
            </w:r>
            <w:r/>
          </w:p>
        </w:tc>
        <w:tc>
          <w:tcPr>
            <w:shd w:val="clear" w:color="auto" w:fill="ffffff"/>
            <w:tcBorders>
              <w:top w:val="single" w:color="000000" w:sz="4" w:space="0"/>
              <w:left w:val="single" w:color="000000" w:sz="4" w:space="0"/>
              <w:bottom w:val="single" w:color="000000" w:sz="4" w:space="0"/>
              <w:right w:val="single" w:color="000000" w:sz="4" w:space="0"/>
            </w:tcBorders>
            <w:tcW w:w="842" w:type="dxa"/>
            <w:vAlign w:val="center"/>
            <w:textDirection w:val="lrTb"/>
            <w:noWrap w:val="false"/>
          </w:tcPr>
          <w:p>
            <w:pPr>
              <w:pStyle w:val="1063"/>
              <w:jc w:val="center"/>
              <w:widowControl w:val="off"/>
            </w:pPr>
            <w:r>
              <w:rPr>
                <w:rFonts w:ascii="Arial Narrow" w:hAnsi="Arial Narrow" w:cs="Calibri"/>
                <w:color w:val="0f0d29"/>
                <w:sz w:val="20"/>
                <w:szCs w:val="20"/>
              </w:rPr>
              <w:t xml:space="preserve">1973</w:t>
            </w:r>
            <w:r/>
          </w:p>
        </w:tc>
        <w:tc>
          <w:tcPr>
            <w:shd w:val="clear" w:color="auto" w:fill="ffffff"/>
            <w:tcBorders>
              <w:top w:val="single" w:color="000000" w:sz="4" w:space="0"/>
              <w:left w:val="single" w:color="000000" w:sz="4" w:space="0"/>
              <w:bottom w:val="single" w:color="000000" w:sz="4" w:space="0"/>
              <w:right w:val="single" w:color="000000" w:sz="4" w:space="0"/>
            </w:tcBorders>
            <w:tcW w:w="1281" w:type="dxa"/>
            <w:vAlign w:val="center"/>
            <w:textDirection w:val="lrTb"/>
            <w:noWrap w:val="false"/>
          </w:tcPr>
          <w:p>
            <w:pPr>
              <w:pStyle w:val="1063"/>
              <w:jc w:val="center"/>
              <w:widowControl w:val="off"/>
            </w:pPr>
            <w:r>
              <w:rPr>
                <w:rFonts w:ascii="Arial Narrow" w:hAnsi="Arial Narrow" w:cs="Calibri"/>
                <w:color w:val="0f0d29"/>
                <w:sz w:val="20"/>
                <w:szCs w:val="20"/>
              </w:rPr>
              <w:t xml:space="preserve">Высшее</w:t>
            </w:r>
            <w:r/>
          </w:p>
        </w:tc>
        <w:tc>
          <w:tcPr>
            <w:shd w:val="clear" w:color="auto" w:fill="ffffff"/>
            <w:tcBorders>
              <w:top w:val="single" w:color="000000" w:sz="4" w:space="0"/>
              <w:left w:val="single" w:color="000000" w:sz="4" w:space="0"/>
              <w:bottom w:val="single" w:color="000000" w:sz="4" w:space="0"/>
              <w:right w:val="single" w:color="000000" w:sz="4" w:space="0"/>
            </w:tcBorders>
            <w:tcW w:w="3255" w:type="dxa"/>
            <w:vAlign w:val="center"/>
            <w:textDirection w:val="lrTb"/>
            <w:noWrap w:val="false"/>
          </w:tcPr>
          <w:p>
            <w:pPr>
              <w:pStyle w:val="1063"/>
              <w:jc w:val="center"/>
              <w:widowControl w:val="off"/>
            </w:pPr>
            <w:r>
              <w:rPr>
                <w:rFonts w:ascii="Arial Narrow" w:hAnsi="Arial Narrow" w:cs="Calibri"/>
                <w:color w:val="0f0d29"/>
                <w:sz w:val="20"/>
                <w:szCs w:val="20"/>
              </w:rPr>
              <w:t xml:space="preserve">Генеральный директор</w:t>
            </w:r>
            <w:r/>
          </w:p>
          <w:p>
            <w:pPr>
              <w:pStyle w:val="1063"/>
              <w:jc w:val="center"/>
              <w:widowControl w:val="off"/>
            </w:pPr>
            <w:r>
              <w:rPr>
                <w:rFonts w:ascii="Arial Narrow" w:hAnsi="Arial Narrow" w:cs="Calibri"/>
                <w:color w:val="0f0d29"/>
                <w:sz w:val="20"/>
                <w:szCs w:val="20"/>
              </w:rPr>
              <w:t xml:space="preserve">ПАО «Камчатскэнерго»</w:t>
            </w:r>
            <w:r/>
          </w:p>
        </w:tc>
        <w:tc>
          <w:tcPr>
            <w:shd w:val="clear" w:color="auto" w:fill="ffffff"/>
            <w:tcBorders>
              <w:top w:val="single" w:color="000000" w:sz="4" w:space="0"/>
              <w:left w:val="single" w:color="000000" w:sz="4" w:space="0"/>
              <w:bottom w:val="single" w:color="000000" w:sz="4" w:space="0"/>
              <w:right w:val="single" w:color="000000" w:sz="4" w:space="0"/>
            </w:tcBorders>
            <w:tcW w:w="1844" w:type="dxa"/>
            <w:vAlign w:val="center"/>
            <w:textDirection w:val="lrTb"/>
            <w:noWrap w:val="false"/>
          </w:tcPr>
          <w:p>
            <w:pPr>
              <w:pStyle w:val="1063"/>
              <w:jc w:val="center"/>
              <w:widowControl w:val="off"/>
            </w:pPr>
            <w:r>
              <w:rPr>
                <w:rFonts w:ascii="Arial Narrow" w:hAnsi="Arial Narrow" w:cs="Calibri"/>
                <w:color w:val="0f0d29"/>
                <w:sz w:val="19"/>
                <w:szCs w:val="19"/>
              </w:rPr>
              <w:t xml:space="preserve">0,00001/0</w:t>
            </w:r>
            <w:r/>
          </w:p>
        </w:tc>
      </w:tr>
      <w:tr>
        <w:trPr>
          <w:trHeight w:val="229"/>
        </w:trPr>
        <w:tc>
          <w:tcPr>
            <w:gridSpan w:val="6"/>
            <w:shd w:val="clear" w:color="auto" w:fill="ffffff"/>
            <w:tcBorders>
              <w:top w:val="single" w:color="000000" w:sz="4" w:space="0"/>
              <w:left w:val="single" w:color="000000" w:sz="4" w:space="0"/>
              <w:bottom w:val="single" w:color="000000" w:sz="4" w:space="0"/>
              <w:right w:val="single" w:color="000000" w:sz="4" w:space="0"/>
            </w:tcBorders>
            <w:tcW w:w="10059" w:type="dxa"/>
            <w:vAlign w:val="center"/>
            <w:textDirection w:val="lrTb"/>
            <w:noWrap w:val="false"/>
          </w:tcPr>
          <w:p>
            <w:pPr>
              <w:pStyle w:val="1063"/>
              <w:widowControl w:val="off"/>
            </w:pPr>
            <w:r>
              <w:rPr>
                <w:rFonts w:ascii="Arial Narrow" w:hAnsi="Arial Narrow" w:cs="Calibri"/>
                <w:color w:val="0f0d29"/>
                <w:sz w:val="20"/>
                <w:szCs w:val="20"/>
              </w:rPr>
              <w:t xml:space="preserve">Члены Правления</w:t>
            </w:r>
            <w:r/>
          </w:p>
        </w:tc>
      </w:tr>
      <w:tr>
        <w:trPr>
          <w:trHeight w:val="221"/>
        </w:trPr>
        <w:tc>
          <w:tcPr>
            <w:shd w:val="clear" w:color="auto" w:fill="ffffff"/>
            <w:tcBorders>
              <w:top w:val="single" w:color="000000" w:sz="4" w:space="0"/>
              <w:left w:val="single" w:color="000000" w:sz="4" w:space="0"/>
              <w:bottom w:val="single" w:color="000000" w:sz="4" w:space="0"/>
              <w:right w:val="single" w:color="000000" w:sz="4" w:space="0"/>
            </w:tcBorders>
            <w:tcW w:w="425" w:type="dxa"/>
            <w:vAlign w:val="center"/>
            <w:textDirection w:val="lrTb"/>
            <w:noWrap w:val="false"/>
          </w:tcPr>
          <w:p>
            <w:pPr>
              <w:pStyle w:val="1063"/>
              <w:jc w:val="center"/>
              <w:widowControl w:val="off"/>
            </w:pPr>
            <w:r>
              <w:rPr>
                <w:rFonts w:ascii="Arial Narrow" w:hAnsi="Arial Narrow" w:cs="Calibri"/>
                <w:color w:val="0f0d29"/>
                <w:sz w:val="20"/>
                <w:szCs w:val="20"/>
              </w:rPr>
              <w:t xml:space="preserve">2</w:t>
            </w:r>
            <w:r/>
          </w:p>
        </w:tc>
        <w:tc>
          <w:tcPr>
            <w:shd w:val="clear" w:color="auto" w:fill="ffffff"/>
            <w:tcBorders>
              <w:top w:val="single" w:color="000000" w:sz="4" w:space="0"/>
              <w:left w:val="single" w:color="000000" w:sz="4" w:space="0"/>
              <w:bottom w:val="single" w:color="000000" w:sz="4" w:space="0"/>
              <w:right w:val="single" w:color="000000" w:sz="4" w:space="0"/>
            </w:tcBorders>
            <w:tcW w:w="2409" w:type="dxa"/>
            <w:vAlign w:val="center"/>
            <w:textDirection w:val="lrTb"/>
            <w:noWrap w:val="false"/>
          </w:tcPr>
          <w:p>
            <w:pPr>
              <w:pStyle w:val="1063"/>
              <w:ind w:left="-102" w:right="-104"/>
              <w:jc w:val="center"/>
              <w:widowControl w:val="off"/>
            </w:pPr>
            <w:r>
              <w:rPr>
                <w:rFonts w:ascii="Arial Narrow" w:hAnsi="Arial Narrow" w:cs="Calibri"/>
                <w:color w:val="0f0d29"/>
                <w:sz w:val="20"/>
                <w:szCs w:val="20"/>
              </w:rPr>
              <w:t xml:space="preserve">Скворцов</w:t>
            </w:r>
            <w:r/>
          </w:p>
          <w:p>
            <w:pPr>
              <w:pStyle w:val="1063"/>
              <w:jc w:val="center"/>
              <w:widowControl w:val="off"/>
            </w:pPr>
            <w:r>
              <w:rPr>
                <w:rFonts w:ascii="Arial Narrow" w:hAnsi="Arial Narrow" w:cs="Calibri"/>
                <w:color w:val="0f0d29"/>
                <w:sz w:val="20"/>
                <w:szCs w:val="20"/>
              </w:rPr>
              <w:t xml:space="preserve">Владислав Владиславович</w:t>
            </w:r>
            <w:r/>
          </w:p>
        </w:tc>
        <w:tc>
          <w:tcPr>
            <w:shd w:val="clear" w:color="auto" w:fill="ffffff"/>
            <w:tcBorders>
              <w:top w:val="single" w:color="000000" w:sz="4" w:space="0"/>
              <w:left w:val="single" w:color="000000" w:sz="4" w:space="0"/>
              <w:bottom w:val="single" w:color="000000" w:sz="4" w:space="0"/>
              <w:right w:val="single" w:color="000000" w:sz="4" w:space="0"/>
            </w:tcBorders>
            <w:tcW w:w="842" w:type="dxa"/>
            <w:vAlign w:val="center"/>
            <w:textDirection w:val="lrTb"/>
            <w:noWrap w:val="false"/>
          </w:tcPr>
          <w:p>
            <w:pPr>
              <w:pStyle w:val="1063"/>
              <w:jc w:val="center"/>
              <w:widowControl w:val="off"/>
            </w:pPr>
            <w:r>
              <w:rPr>
                <w:rFonts w:ascii="Arial Narrow" w:hAnsi="Arial Narrow" w:cs="Calibri"/>
                <w:color w:val="0f0d29"/>
                <w:sz w:val="20"/>
                <w:szCs w:val="20"/>
              </w:rPr>
              <w:t xml:space="preserve">1988</w:t>
            </w:r>
            <w:r/>
          </w:p>
        </w:tc>
        <w:tc>
          <w:tcPr>
            <w:shd w:val="clear" w:color="auto" w:fill="ffffff"/>
            <w:tcBorders>
              <w:top w:val="single" w:color="000000" w:sz="4" w:space="0"/>
              <w:left w:val="single" w:color="000000" w:sz="4" w:space="0"/>
              <w:bottom w:val="single" w:color="000000" w:sz="4" w:space="0"/>
              <w:right w:val="single" w:color="000000" w:sz="4" w:space="0"/>
            </w:tcBorders>
            <w:tcW w:w="1281" w:type="dxa"/>
            <w:vAlign w:val="center"/>
            <w:textDirection w:val="lrTb"/>
            <w:noWrap w:val="false"/>
          </w:tcPr>
          <w:p>
            <w:pPr>
              <w:pStyle w:val="1063"/>
              <w:jc w:val="center"/>
              <w:widowControl w:val="off"/>
            </w:pPr>
            <w:r>
              <w:rPr>
                <w:rFonts w:ascii="Arial Narrow" w:hAnsi="Arial Narrow" w:cs="Calibri"/>
                <w:color w:val="0f0d29"/>
                <w:sz w:val="20"/>
                <w:szCs w:val="20"/>
              </w:rPr>
              <w:t xml:space="preserve">Высшее</w:t>
            </w:r>
            <w:r/>
          </w:p>
        </w:tc>
        <w:tc>
          <w:tcPr>
            <w:shd w:val="clear" w:color="auto" w:fill="ffffff"/>
            <w:tcBorders>
              <w:top w:val="single" w:color="000000" w:sz="4" w:space="0"/>
              <w:left w:val="single" w:color="000000" w:sz="4" w:space="0"/>
              <w:bottom w:val="single" w:color="000000" w:sz="4" w:space="0"/>
              <w:right w:val="single" w:color="000000" w:sz="4" w:space="0"/>
            </w:tcBorders>
            <w:tcW w:w="3255" w:type="dxa"/>
            <w:vAlign w:val="center"/>
            <w:textDirection w:val="lrTb"/>
            <w:noWrap w:val="false"/>
          </w:tcPr>
          <w:p>
            <w:pPr>
              <w:pStyle w:val="1063"/>
              <w:jc w:val="center"/>
              <w:widowControl w:val="off"/>
            </w:pPr>
            <w:r>
              <w:rPr>
                <w:rFonts w:ascii="Arial Narrow" w:hAnsi="Arial Narrow" w:cs="Calibri"/>
                <w:color w:val="0f0d29"/>
                <w:sz w:val="20"/>
                <w:szCs w:val="20"/>
              </w:rPr>
              <w:t xml:space="preserve">Первый заместитель Генерального директора - главный инженер</w:t>
            </w:r>
            <w:r/>
          </w:p>
          <w:p>
            <w:pPr>
              <w:pStyle w:val="1063"/>
              <w:jc w:val="center"/>
              <w:widowControl w:val="off"/>
            </w:pPr>
            <w:r>
              <w:rPr>
                <w:rFonts w:ascii="Arial Narrow" w:hAnsi="Arial Narrow" w:cs="Calibri"/>
                <w:color w:val="0f0d29"/>
                <w:sz w:val="20"/>
                <w:szCs w:val="20"/>
              </w:rPr>
              <w:t xml:space="preserve">ПАО «Камчатскэнерго»</w:t>
            </w:r>
            <w:r/>
          </w:p>
        </w:tc>
        <w:tc>
          <w:tcPr>
            <w:shd w:val="clear" w:color="auto" w:fill="ffffff"/>
            <w:tcBorders>
              <w:top w:val="single" w:color="000000" w:sz="4" w:space="0"/>
              <w:left w:val="single" w:color="000000" w:sz="4" w:space="0"/>
              <w:bottom w:val="single" w:color="000000" w:sz="4" w:space="0"/>
              <w:right w:val="single" w:color="000000" w:sz="4" w:space="0"/>
            </w:tcBorders>
            <w:tcW w:w="1844" w:type="dxa"/>
            <w:vAlign w:val="center"/>
            <w:textDirection w:val="lrTb"/>
            <w:noWrap w:val="false"/>
          </w:tcPr>
          <w:p>
            <w:pPr>
              <w:pStyle w:val="1063"/>
              <w:jc w:val="center"/>
              <w:widowControl w:val="off"/>
            </w:pPr>
            <w:r>
              <w:rPr>
                <w:rFonts w:ascii="Arial Narrow" w:hAnsi="Arial Narrow" w:cs="Calibri"/>
                <w:color w:val="0f0d29"/>
                <w:sz w:val="20"/>
                <w:szCs w:val="20"/>
              </w:rPr>
              <w:t xml:space="preserve">0/0</w:t>
            </w:r>
            <w:r/>
          </w:p>
        </w:tc>
      </w:tr>
      <w:tr>
        <w:trPr/>
        <w:tc>
          <w:tcPr>
            <w:shd w:val="clear" w:color="auto" w:fill="ffffff"/>
            <w:tcBorders>
              <w:top w:val="single" w:color="000000" w:sz="4" w:space="0"/>
              <w:left w:val="single" w:color="000000" w:sz="4" w:space="0"/>
              <w:bottom w:val="single" w:color="000000" w:sz="4" w:space="0"/>
              <w:right w:val="single" w:color="000000" w:sz="4" w:space="0"/>
            </w:tcBorders>
            <w:tcW w:w="425" w:type="dxa"/>
            <w:vAlign w:val="center"/>
            <w:textDirection w:val="lrTb"/>
            <w:noWrap w:val="false"/>
          </w:tcPr>
          <w:p>
            <w:pPr>
              <w:pStyle w:val="1063"/>
              <w:jc w:val="center"/>
              <w:widowControl w:val="off"/>
            </w:pPr>
            <w:r>
              <w:rPr>
                <w:rFonts w:ascii="Arial Narrow" w:hAnsi="Arial Narrow" w:cs="Calibri"/>
                <w:color w:val="0f0d29"/>
                <w:sz w:val="20"/>
                <w:szCs w:val="20"/>
              </w:rPr>
              <w:t xml:space="preserve">3</w:t>
            </w:r>
            <w:r/>
          </w:p>
        </w:tc>
        <w:tc>
          <w:tcPr>
            <w:shd w:val="clear" w:color="auto" w:fill="ffffff"/>
            <w:tcBorders>
              <w:top w:val="single" w:color="000000" w:sz="4" w:space="0"/>
              <w:left w:val="single" w:color="000000" w:sz="4" w:space="0"/>
              <w:bottom w:val="single" w:color="000000" w:sz="4" w:space="0"/>
              <w:right w:val="single" w:color="000000" w:sz="4" w:space="0"/>
            </w:tcBorders>
            <w:tcW w:w="2409" w:type="dxa"/>
            <w:vAlign w:val="center"/>
            <w:textDirection w:val="lrTb"/>
            <w:noWrap w:val="false"/>
          </w:tcPr>
          <w:p>
            <w:pPr>
              <w:pStyle w:val="1063"/>
              <w:jc w:val="center"/>
              <w:widowControl w:val="off"/>
            </w:pPr>
            <w:r>
              <w:rPr>
                <w:rFonts w:ascii="Arial Narrow" w:hAnsi="Arial Narrow" w:cs="Calibri"/>
                <w:color w:val="0f0d29"/>
                <w:sz w:val="20"/>
                <w:szCs w:val="20"/>
              </w:rPr>
              <w:t xml:space="preserve">Лавриненко</w:t>
            </w:r>
            <w:r/>
          </w:p>
          <w:p>
            <w:pPr>
              <w:pStyle w:val="1063"/>
              <w:jc w:val="center"/>
              <w:widowControl w:val="off"/>
            </w:pPr>
            <w:r>
              <w:rPr>
                <w:rFonts w:ascii="Arial Narrow" w:hAnsi="Arial Narrow" w:cs="Calibri"/>
                <w:color w:val="0f0d29"/>
                <w:sz w:val="20"/>
                <w:szCs w:val="20"/>
              </w:rPr>
              <w:t xml:space="preserve">Юлия Владимировна</w:t>
            </w:r>
            <w:r/>
          </w:p>
        </w:tc>
        <w:tc>
          <w:tcPr>
            <w:shd w:val="clear" w:color="auto" w:fill="ffffff"/>
            <w:tcBorders>
              <w:top w:val="single" w:color="000000" w:sz="4" w:space="0"/>
              <w:left w:val="single" w:color="000000" w:sz="4" w:space="0"/>
              <w:bottom w:val="single" w:color="000000" w:sz="4" w:space="0"/>
              <w:right w:val="single" w:color="000000" w:sz="4" w:space="0"/>
            </w:tcBorders>
            <w:tcW w:w="842" w:type="dxa"/>
            <w:vAlign w:val="center"/>
            <w:textDirection w:val="lrTb"/>
            <w:noWrap w:val="false"/>
          </w:tcPr>
          <w:p>
            <w:pPr>
              <w:pStyle w:val="1063"/>
              <w:jc w:val="center"/>
              <w:widowControl w:val="off"/>
            </w:pPr>
            <w:r>
              <w:rPr>
                <w:rFonts w:ascii="Arial Narrow" w:hAnsi="Arial Narrow" w:cs="Calibri"/>
                <w:color w:val="0f0d29"/>
                <w:sz w:val="20"/>
                <w:szCs w:val="20"/>
              </w:rPr>
              <w:t xml:space="preserve">1976</w:t>
            </w:r>
            <w:r/>
          </w:p>
        </w:tc>
        <w:tc>
          <w:tcPr>
            <w:shd w:val="clear" w:color="auto" w:fill="ffffff"/>
            <w:tcBorders>
              <w:top w:val="single" w:color="000000" w:sz="4" w:space="0"/>
              <w:left w:val="single" w:color="000000" w:sz="4" w:space="0"/>
              <w:bottom w:val="single" w:color="000000" w:sz="4" w:space="0"/>
              <w:right w:val="single" w:color="000000" w:sz="4" w:space="0"/>
            </w:tcBorders>
            <w:tcW w:w="1281" w:type="dxa"/>
            <w:vAlign w:val="center"/>
            <w:textDirection w:val="lrTb"/>
            <w:noWrap w:val="false"/>
          </w:tcPr>
          <w:p>
            <w:pPr>
              <w:pStyle w:val="1063"/>
              <w:jc w:val="center"/>
              <w:widowControl w:val="off"/>
            </w:pPr>
            <w:r>
              <w:rPr>
                <w:rFonts w:ascii="Arial Narrow" w:hAnsi="Arial Narrow" w:cs="Calibri"/>
                <w:color w:val="0f0d29"/>
                <w:sz w:val="20"/>
                <w:szCs w:val="20"/>
              </w:rPr>
              <w:t xml:space="preserve">Высшее</w:t>
            </w:r>
            <w:r/>
          </w:p>
        </w:tc>
        <w:tc>
          <w:tcPr>
            <w:shd w:val="clear" w:color="auto" w:fill="ffffff"/>
            <w:tcBorders>
              <w:top w:val="single" w:color="000000" w:sz="4" w:space="0"/>
              <w:left w:val="single" w:color="000000" w:sz="4" w:space="0"/>
              <w:bottom w:val="single" w:color="000000" w:sz="4" w:space="0"/>
              <w:right w:val="single" w:color="000000" w:sz="4" w:space="0"/>
            </w:tcBorders>
            <w:tcW w:w="3255" w:type="dxa"/>
            <w:vAlign w:val="center"/>
            <w:textDirection w:val="lrTb"/>
            <w:noWrap w:val="false"/>
          </w:tcPr>
          <w:p>
            <w:pPr>
              <w:pStyle w:val="1063"/>
              <w:jc w:val="center"/>
              <w:widowControl w:val="off"/>
            </w:pPr>
            <w:r>
              <w:rPr>
                <w:rFonts w:ascii="Arial Narrow" w:hAnsi="Arial Narrow" w:cs="Calibri"/>
                <w:color w:val="0f0d29"/>
                <w:sz w:val="20"/>
                <w:szCs w:val="20"/>
              </w:rPr>
              <w:t xml:space="preserve">Заместитель Генерального директора</w:t>
            </w:r>
            <w:r/>
          </w:p>
          <w:p>
            <w:pPr>
              <w:pStyle w:val="1063"/>
              <w:jc w:val="center"/>
              <w:widowControl w:val="off"/>
            </w:pPr>
            <w:r>
              <w:rPr>
                <w:rFonts w:ascii="Arial Narrow" w:hAnsi="Arial Narrow" w:cs="Calibri"/>
                <w:color w:val="0f0d29"/>
                <w:sz w:val="20"/>
                <w:szCs w:val="20"/>
              </w:rPr>
              <w:t xml:space="preserve">по экономике и финансам</w:t>
            </w:r>
            <w:r/>
          </w:p>
          <w:p>
            <w:pPr>
              <w:pStyle w:val="1063"/>
              <w:jc w:val="center"/>
              <w:widowControl w:val="off"/>
            </w:pPr>
            <w:r>
              <w:rPr>
                <w:rFonts w:ascii="Arial Narrow" w:hAnsi="Arial Narrow" w:cs="Calibri"/>
                <w:color w:val="0f0d29"/>
                <w:sz w:val="20"/>
                <w:szCs w:val="20"/>
              </w:rPr>
              <w:t xml:space="preserve">ПАО «Камчатскэнерго»</w:t>
            </w:r>
            <w:r/>
          </w:p>
        </w:tc>
        <w:tc>
          <w:tcPr>
            <w:shd w:val="clear" w:color="auto" w:fill="ffffff"/>
            <w:tcBorders>
              <w:top w:val="single" w:color="000000" w:sz="4" w:space="0"/>
              <w:left w:val="single" w:color="000000" w:sz="4" w:space="0"/>
              <w:bottom w:val="single" w:color="000000" w:sz="4" w:space="0"/>
              <w:right w:val="single" w:color="000000" w:sz="4" w:space="0"/>
            </w:tcBorders>
            <w:tcW w:w="1844" w:type="dxa"/>
            <w:vAlign w:val="center"/>
            <w:textDirection w:val="lrTb"/>
            <w:noWrap w:val="false"/>
          </w:tcPr>
          <w:p>
            <w:pPr>
              <w:pStyle w:val="1063"/>
              <w:jc w:val="center"/>
              <w:widowControl w:val="off"/>
            </w:pPr>
            <w:r>
              <w:rPr>
                <w:rFonts w:ascii="Arial Narrow" w:hAnsi="Arial Narrow" w:cs="Calibri"/>
                <w:color w:val="0f0d29"/>
                <w:sz w:val="20"/>
                <w:szCs w:val="20"/>
              </w:rPr>
              <w:t xml:space="preserve">0/0</w:t>
            </w:r>
            <w:r/>
          </w:p>
        </w:tc>
      </w:tr>
      <w:tr>
        <w:trPr/>
        <w:tc>
          <w:tcPr>
            <w:shd w:val="clear" w:color="auto" w:fill="ffffff"/>
            <w:tcBorders>
              <w:top w:val="single" w:color="000000" w:sz="4" w:space="0"/>
              <w:left w:val="single" w:color="000000" w:sz="4" w:space="0"/>
              <w:bottom w:val="single" w:color="000000" w:sz="4" w:space="0"/>
              <w:right w:val="single" w:color="000000" w:sz="4" w:space="0"/>
            </w:tcBorders>
            <w:tcW w:w="425" w:type="dxa"/>
            <w:vAlign w:val="center"/>
            <w:textDirection w:val="lrTb"/>
            <w:noWrap w:val="false"/>
          </w:tcPr>
          <w:p>
            <w:pPr>
              <w:pStyle w:val="1063"/>
              <w:jc w:val="center"/>
              <w:widowControl w:val="off"/>
            </w:pPr>
            <w:r>
              <w:rPr>
                <w:rFonts w:ascii="Arial Narrow" w:hAnsi="Arial Narrow" w:cs="Calibri"/>
                <w:color w:val="0f0d29"/>
                <w:sz w:val="20"/>
                <w:szCs w:val="20"/>
              </w:rPr>
              <w:t xml:space="preserve">4</w:t>
            </w:r>
            <w:r/>
          </w:p>
        </w:tc>
        <w:tc>
          <w:tcPr>
            <w:shd w:val="clear" w:color="auto" w:fill="ffffff"/>
            <w:tcBorders>
              <w:top w:val="single" w:color="000000" w:sz="4" w:space="0"/>
              <w:left w:val="single" w:color="000000" w:sz="4" w:space="0"/>
              <w:bottom w:val="single" w:color="000000" w:sz="4" w:space="0"/>
              <w:right w:val="single" w:color="000000" w:sz="4" w:space="0"/>
            </w:tcBorders>
            <w:tcW w:w="2409" w:type="dxa"/>
            <w:vAlign w:val="center"/>
            <w:textDirection w:val="lrTb"/>
            <w:noWrap w:val="false"/>
          </w:tcPr>
          <w:p>
            <w:pPr>
              <w:pStyle w:val="1063"/>
              <w:jc w:val="center"/>
              <w:widowControl w:val="off"/>
            </w:pPr>
            <w:r>
              <w:rPr>
                <w:rFonts w:ascii="Arial Narrow" w:hAnsi="Arial Narrow" w:cs="Calibri"/>
                <w:color w:val="0f0d29"/>
                <w:sz w:val="20"/>
                <w:szCs w:val="20"/>
              </w:rPr>
              <w:t xml:space="preserve">Миронов</w:t>
            </w:r>
            <w:r/>
          </w:p>
          <w:p>
            <w:pPr>
              <w:pStyle w:val="1063"/>
              <w:jc w:val="center"/>
              <w:widowControl w:val="off"/>
            </w:pPr>
            <w:r>
              <w:rPr>
                <w:rFonts w:ascii="Arial Narrow" w:hAnsi="Arial Narrow" w:cs="Calibri"/>
                <w:color w:val="0f0d29"/>
                <w:sz w:val="20"/>
                <w:szCs w:val="20"/>
              </w:rPr>
              <w:t xml:space="preserve">Сергей Олегович</w:t>
            </w:r>
            <w:r/>
          </w:p>
        </w:tc>
        <w:tc>
          <w:tcPr>
            <w:shd w:val="clear" w:color="auto" w:fill="ffffff"/>
            <w:tcBorders>
              <w:top w:val="single" w:color="000000" w:sz="4" w:space="0"/>
              <w:left w:val="single" w:color="000000" w:sz="4" w:space="0"/>
              <w:bottom w:val="single" w:color="000000" w:sz="4" w:space="0"/>
              <w:right w:val="single" w:color="000000" w:sz="4" w:space="0"/>
            </w:tcBorders>
            <w:tcW w:w="842" w:type="dxa"/>
            <w:vAlign w:val="center"/>
            <w:textDirection w:val="lrTb"/>
            <w:noWrap w:val="false"/>
          </w:tcPr>
          <w:p>
            <w:pPr>
              <w:pStyle w:val="1063"/>
              <w:jc w:val="center"/>
              <w:widowControl w:val="off"/>
            </w:pPr>
            <w:r>
              <w:rPr>
                <w:rFonts w:ascii="Arial Narrow" w:hAnsi="Arial Narrow" w:cs="Calibri"/>
                <w:color w:val="0f0d29"/>
                <w:sz w:val="20"/>
                <w:szCs w:val="20"/>
              </w:rPr>
              <w:t xml:space="preserve">1963</w:t>
            </w:r>
            <w:r/>
          </w:p>
        </w:tc>
        <w:tc>
          <w:tcPr>
            <w:shd w:val="clear" w:color="auto" w:fill="ffffff"/>
            <w:tcBorders>
              <w:top w:val="single" w:color="000000" w:sz="4" w:space="0"/>
              <w:left w:val="single" w:color="000000" w:sz="4" w:space="0"/>
              <w:bottom w:val="single" w:color="000000" w:sz="4" w:space="0"/>
              <w:right w:val="single" w:color="000000" w:sz="4" w:space="0"/>
            </w:tcBorders>
            <w:tcW w:w="1281" w:type="dxa"/>
            <w:vAlign w:val="center"/>
            <w:textDirection w:val="lrTb"/>
            <w:noWrap w:val="false"/>
          </w:tcPr>
          <w:p>
            <w:pPr>
              <w:pStyle w:val="1063"/>
              <w:jc w:val="center"/>
              <w:widowControl w:val="off"/>
            </w:pPr>
            <w:r>
              <w:rPr>
                <w:rFonts w:ascii="Arial Narrow" w:hAnsi="Arial Narrow" w:cs="Calibri"/>
                <w:color w:val="0f0d29"/>
                <w:sz w:val="20"/>
                <w:szCs w:val="20"/>
              </w:rPr>
              <w:t xml:space="preserve">Высшее</w:t>
            </w:r>
            <w:r/>
          </w:p>
        </w:tc>
        <w:tc>
          <w:tcPr>
            <w:shd w:val="clear" w:color="auto" w:fill="ffffff"/>
            <w:tcBorders>
              <w:top w:val="single" w:color="000000" w:sz="4" w:space="0"/>
              <w:left w:val="single" w:color="000000" w:sz="4" w:space="0"/>
              <w:bottom w:val="single" w:color="000000" w:sz="4" w:space="0"/>
              <w:right w:val="single" w:color="000000" w:sz="4" w:space="0"/>
            </w:tcBorders>
            <w:tcW w:w="3255" w:type="dxa"/>
            <w:vAlign w:val="center"/>
            <w:textDirection w:val="lrTb"/>
            <w:noWrap w:val="false"/>
          </w:tcPr>
          <w:p>
            <w:pPr>
              <w:pStyle w:val="1063"/>
              <w:jc w:val="center"/>
              <w:widowControl w:val="off"/>
            </w:pPr>
            <w:r>
              <w:rPr>
                <w:rFonts w:ascii="Arial Narrow" w:hAnsi="Arial Narrow" w:cs="Calibri"/>
                <w:color w:val="0f0d29"/>
                <w:sz w:val="20"/>
                <w:szCs w:val="20"/>
              </w:rPr>
              <w:t xml:space="preserve">Заместитель Генерального директора</w:t>
            </w:r>
            <w:r/>
          </w:p>
          <w:p>
            <w:pPr>
              <w:pStyle w:val="1063"/>
              <w:jc w:val="center"/>
              <w:widowControl w:val="off"/>
              <w:rPr>
                <w:rFonts w:ascii="Arial Narrow" w:hAnsi="Arial Narrow" w:cs="Calibri"/>
                <w:color w:val="0f0d29"/>
                <w:sz w:val="20"/>
                <w:szCs w:val="20"/>
              </w:rPr>
            </w:pPr>
            <w:r>
              <w:rPr>
                <w:rFonts w:ascii="Arial Narrow" w:hAnsi="Arial Narrow" w:cs="Calibri"/>
                <w:color w:val="0f0d29"/>
                <w:sz w:val="20"/>
                <w:szCs w:val="20"/>
              </w:rPr>
              <w:t xml:space="preserve">по безопасности</w:t>
            </w:r>
            <w:r>
              <w:rPr>
                <w:rFonts w:ascii="Arial Narrow" w:hAnsi="Arial Narrow" w:cs="Calibri"/>
                <w:color w:val="0f0d29"/>
                <w:sz w:val="20"/>
                <w:szCs w:val="20"/>
              </w:rPr>
            </w:r>
            <w:r>
              <w:rPr>
                <w:rFonts w:ascii="Arial Narrow" w:hAnsi="Arial Narrow" w:cs="Calibri"/>
                <w:color w:val="0f0d29"/>
                <w:sz w:val="20"/>
                <w:szCs w:val="20"/>
              </w:rPr>
            </w:r>
          </w:p>
          <w:p>
            <w:pPr>
              <w:pStyle w:val="1063"/>
              <w:jc w:val="center"/>
              <w:widowControl w:val="off"/>
            </w:pPr>
            <w:r>
              <w:rPr>
                <w:rFonts w:ascii="Arial Narrow" w:hAnsi="Arial Narrow" w:cs="Calibri"/>
                <w:color w:val="0f0d29"/>
                <w:sz w:val="20"/>
                <w:szCs w:val="20"/>
              </w:rPr>
              <w:t xml:space="preserve"> ПАО «Камчатскэнерго»</w:t>
            </w:r>
            <w:r/>
          </w:p>
        </w:tc>
        <w:tc>
          <w:tcPr>
            <w:shd w:val="clear" w:color="auto" w:fill="ffffff"/>
            <w:tcBorders>
              <w:top w:val="single" w:color="000000" w:sz="4" w:space="0"/>
              <w:left w:val="single" w:color="000000" w:sz="4" w:space="0"/>
              <w:bottom w:val="single" w:color="000000" w:sz="4" w:space="0"/>
              <w:right w:val="single" w:color="000000" w:sz="4" w:space="0"/>
            </w:tcBorders>
            <w:tcW w:w="1844" w:type="dxa"/>
            <w:vAlign w:val="center"/>
            <w:textDirection w:val="lrTb"/>
            <w:noWrap w:val="false"/>
          </w:tcPr>
          <w:p>
            <w:pPr>
              <w:pStyle w:val="1063"/>
              <w:jc w:val="center"/>
              <w:widowControl w:val="off"/>
            </w:pPr>
            <w:r>
              <w:rPr>
                <w:rFonts w:ascii="Arial Narrow" w:hAnsi="Arial Narrow" w:cs="Calibri"/>
                <w:color w:val="0f0d29"/>
                <w:sz w:val="20"/>
                <w:szCs w:val="20"/>
              </w:rPr>
              <w:t xml:space="preserve">0/0</w:t>
            </w:r>
            <w:r/>
          </w:p>
        </w:tc>
      </w:tr>
      <w:tr>
        <w:trPr/>
        <w:tc>
          <w:tcPr>
            <w:shd w:val="clear" w:color="auto" w:fill="ffffff"/>
            <w:tcBorders>
              <w:top w:val="single" w:color="000000" w:sz="4" w:space="0"/>
              <w:left w:val="single" w:color="000000" w:sz="4" w:space="0"/>
              <w:bottom w:val="single" w:color="000000" w:sz="4" w:space="0"/>
              <w:right w:val="single" w:color="000000" w:sz="4" w:space="0"/>
            </w:tcBorders>
            <w:tcW w:w="425" w:type="dxa"/>
            <w:vAlign w:val="center"/>
            <w:textDirection w:val="lrTb"/>
            <w:noWrap w:val="false"/>
          </w:tcPr>
          <w:p>
            <w:pPr>
              <w:pStyle w:val="1063"/>
              <w:jc w:val="center"/>
              <w:widowControl w:val="off"/>
            </w:pPr>
            <w:r>
              <w:rPr>
                <w:rFonts w:ascii="Arial Narrow" w:hAnsi="Arial Narrow" w:cs="Calibri"/>
                <w:color w:val="0f0d29"/>
                <w:sz w:val="20"/>
                <w:szCs w:val="20"/>
              </w:rPr>
              <w:t xml:space="preserve">5</w:t>
            </w:r>
            <w:r/>
          </w:p>
        </w:tc>
        <w:tc>
          <w:tcPr>
            <w:shd w:val="clear" w:color="auto" w:fill="ffffff"/>
            <w:tcBorders>
              <w:top w:val="single" w:color="000000" w:sz="4" w:space="0"/>
              <w:left w:val="single" w:color="000000" w:sz="4" w:space="0"/>
              <w:bottom w:val="single" w:color="000000" w:sz="4" w:space="0"/>
              <w:right w:val="single" w:color="000000" w:sz="4" w:space="0"/>
            </w:tcBorders>
            <w:tcW w:w="2409" w:type="dxa"/>
            <w:vAlign w:val="center"/>
            <w:textDirection w:val="lrTb"/>
            <w:noWrap w:val="false"/>
          </w:tcPr>
          <w:p>
            <w:pPr>
              <w:pStyle w:val="1063"/>
              <w:jc w:val="center"/>
              <w:widowControl w:val="off"/>
            </w:pPr>
            <w:r>
              <w:rPr>
                <w:rFonts w:ascii="Arial Narrow" w:hAnsi="Arial Narrow" w:cs="Calibri"/>
                <w:color w:val="0f0d29"/>
                <w:sz w:val="20"/>
                <w:szCs w:val="20"/>
              </w:rPr>
              <w:t xml:space="preserve">Разживин</w:t>
            </w:r>
            <w:r/>
          </w:p>
          <w:p>
            <w:pPr>
              <w:pStyle w:val="1063"/>
              <w:jc w:val="center"/>
              <w:widowControl w:val="off"/>
            </w:pPr>
            <w:r>
              <w:rPr>
                <w:rFonts w:ascii="Arial Narrow" w:hAnsi="Arial Narrow" w:cs="Calibri"/>
                <w:color w:val="0f0d29"/>
                <w:sz w:val="20"/>
                <w:szCs w:val="20"/>
              </w:rPr>
              <w:t xml:space="preserve">Леонид Владимирович</w:t>
            </w:r>
            <w:r/>
          </w:p>
        </w:tc>
        <w:tc>
          <w:tcPr>
            <w:shd w:val="clear" w:color="auto" w:fill="ffffff"/>
            <w:tcBorders>
              <w:top w:val="single" w:color="000000" w:sz="4" w:space="0"/>
              <w:left w:val="single" w:color="000000" w:sz="4" w:space="0"/>
              <w:bottom w:val="single" w:color="000000" w:sz="4" w:space="0"/>
              <w:right w:val="single" w:color="000000" w:sz="4" w:space="0"/>
            </w:tcBorders>
            <w:tcW w:w="842" w:type="dxa"/>
            <w:vAlign w:val="center"/>
            <w:textDirection w:val="lrTb"/>
            <w:noWrap w:val="false"/>
          </w:tcPr>
          <w:p>
            <w:pPr>
              <w:pStyle w:val="1063"/>
              <w:jc w:val="center"/>
              <w:widowControl w:val="off"/>
            </w:pPr>
            <w:r>
              <w:rPr>
                <w:rFonts w:ascii="Arial Narrow" w:hAnsi="Arial Narrow" w:cs="Calibri"/>
                <w:color w:val="0f0d29"/>
                <w:sz w:val="20"/>
                <w:szCs w:val="20"/>
              </w:rPr>
              <w:t xml:space="preserve">1982</w:t>
            </w:r>
            <w:r/>
          </w:p>
        </w:tc>
        <w:tc>
          <w:tcPr>
            <w:shd w:val="clear" w:color="auto" w:fill="ffffff"/>
            <w:tcBorders>
              <w:top w:val="single" w:color="000000" w:sz="4" w:space="0"/>
              <w:left w:val="single" w:color="000000" w:sz="4" w:space="0"/>
              <w:bottom w:val="single" w:color="000000" w:sz="4" w:space="0"/>
              <w:right w:val="single" w:color="000000" w:sz="4" w:space="0"/>
            </w:tcBorders>
            <w:tcW w:w="1281" w:type="dxa"/>
            <w:vAlign w:val="center"/>
            <w:textDirection w:val="lrTb"/>
            <w:noWrap w:val="false"/>
          </w:tcPr>
          <w:p>
            <w:pPr>
              <w:pStyle w:val="1063"/>
              <w:jc w:val="center"/>
              <w:widowControl w:val="off"/>
            </w:pPr>
            <w:r>
              <w:rPr>
                <w:rFonts w:ascii="Arial Narrow" w:hAnsi="Arial Narrow" w:cs="Calibri"/>
                <w:color w:val="0f0d29"/>
                <w:sz w:val="20"/>
                <w:szCs w:val="20"/>
              </w:rPr>
              <w:t xml:space="preserve">Высшее</w:t>
            </w:r>
            <w:r/>
          </w:p>
        </w:tc>
        <w:tc>
          <w:tcPr>
            <w:shd w:val="clear" w:color="auto" w:fill="ffffff"/>
            <w:tcBorders>
              <w:top w:val="single" w:color="000000" w:sz="4" w:space="0"/>
              <w:left w:val="single" w:color="000000" w:sz="4" w:space="0"/>
              <w:bottom w:val="single" w:color="000000" w:sz="4" w:space="0"/>
              <w:right w:val="single" w:color="000000" w:sz="4" w:space="0"/>
            </w:tcBorders>
            <w:tcW w:w="3255" w:type="dxa"/>
            <w:vAlign w:val="center"/>
            <w:textDirection w:val="lrTb"/>
            <w:noWrap w:val="false"/>
          </w:tcPr>
          <w:p>
            <w:pPr>
              <w:pStyle w:val="1063"/>
              <w:jc w:val="center"/>
              <w:widowControl w:val="off"/>
            </w:pPr>
            <w:r>
              <w:rPr>
                <w:rFonts w:ascii="Arial Narrow" w:hAnsi="Arial Narrow" w:cs="Calibri"/>
                <w:color w:val="0f0d29"/>
                <w:sz w:val="20"/>
                <w:szCs w:val="20"/>
              </w:rPr>
              <w:t xml:space="preserve">Заместитель Генерального директора по управлению ресурсами </w:t>
            </w:r>
            <w:r>
              <w:br w:type="textWrapping" w:clear="all"/>
            </w:r>
            <w:r>
              <w:rPr>
                <w:rFonts w:ascii="Arial Narrow" w:hAnsi="Arial Narrow" w:cs="Calibri"/>
                <w:color w:val="0f0d29"/>
                <w:sz w:val="20"/>
                <w:szCs w:val="20"/>
              </w:rPr>
              <w:t xml:space="preserve">ПАО «Камчатскэнерго»</w:t>
            </w:r>
            <w:r/>
          </w:p>
        </w:tc>
        <w:tc>
          <w:tcPr>
            <w:shd w:val="clear" w:color="auto" w:fill="ffffff"/>
            <w:tcBorders>
              <w:top w:val="single" w:color="000000" w:sz="4" w:space="0"/>
              <w:left w:val="single" w:color="000000" w:sz="4" w:space="0"/>
              <w:bottom w:val="single" w:color="000000" w:sz="4" w:space="0"/>
              <w:right w:val="single" w:color="000000" w:sz="4" w:space="0"/>
            </w:tcBorders>
            <w:tcW w:w="1844" w:type="dxa"/>
            <w:vAlign w:val="center"/>
            <w:textDirection w:val="lrTb"/>
            <w:noWrap w:val="false"/>
          </w:tcPr>
          <w:p>
            <w:pPr>
              <w:pStyle w:val="1063"/>
              <w:jc w:val="center"/>
              <w:widowControl w:val="off"/>
            </w:pPr>
            <w:r>
              <w:rPr>
                <w:rFonts w:ascii="Arial Narrow" w:hAnsi="Arial Narrow" w:cs="Calibri"/>
                <w:color w:val="0f0d29"/>
                <w:sz w:val="20"/>
                <w:szCs w:val="20"/>
              </w:rPr>
              <w:t xml:space="preserve">0/0</w:t>
            </w:r>
            <w:r/>
          </w:p>
        </w:tc>
      </w:tr>
      <w:tr>
        <w:trPr/>
        <w:tc>
          <w:tcPr>
            <w:shd w:val="clear" w:color="auto" w:fill="ffffff"/>
            <w:tcBorders>
              <w:top w:val="single" w:color="000000" w:sz="4" w:space="0"/>
              <w:left w:val="single" w:color="000000" w:sz="4" w:space="0"/>
              <w:bottom w:val="single" w:color="000000" w:sz="4" w:space="0"/>
              <w:right w:val="single" w:color="000000" w:sz="4" w:space="0"/>
            </w:tcBorders>
            <w:tcW w:w="425" w:type="dxa"/>
            <w:vAlign w:val="center"/>
            <w:textDirection w:val="lrTb"/>
            <w:noWrap w:val="false"/>
          </w:tcPr>
          <w:p>
            <w:pPr>
              <w:pStyle w:val="1063"/>
              <w:jc w:val="center"/>
              <w:widowControl w:val="off"/>
            </w:pPr>
            <w:r>
              <w:rPr>
                <w:rFonts w:ascii="Arial Narrow" w:hAnsi="Arial Narrow" w:cs="Calibri"/>
                <w:color w:val="0f0d29"/>
                <w:sz w:val="20"/>
                <w:szCs w:val="20"/>
              </w:rPr>
              <w:t xml:space="preserve">6</w:t>
            </w:r>
            <w:r/>
          </w:p>
        </w:tc>
        <w:tc>
          <w:tcPr>
            <w:shd w:val="clear" w:color="auto" w:fill="ffffff"/>
            <w:tcBorders>
              <w:top w:val="single" w:color="000000" w:sz="4" w:space="0"/>
              <w:left w:val="single" w:color="000000" w:sz="4" w:space="0"/>
              <w:bottom w:val="single" w:color="000000" w:sz="4" w:space="0"/>
              <w:right w:val="single" w:color="000000" w:sz="4" w:space="0"/>
            </w:tcBorders>
            <w:tcW w:w="2409" w:type="dxa"/>
            <w:vAlign w:val="center"/>
            <w:textDirection w:val="lrTb"/>
            <w:noWrap w:val="false"/>
          </w:tcPr>
          <w:p>
            <w:pPr>
              <w:pStyle w:val="1063"/>
              <w:jc w:val="center"/>
              <w:widowControl w:val="off"/>
            </w:pPr>
            <w:r>
              <w:rPr>
                <w:rFonts w:ascii="Arial Narrow" w:hAnsi="Arial Narrow" w:cs="Calibri"/>
                <w:color w:val="0f0d29"/>
                <w:sz w:val="20"/>
                <w:szCs w:val="20"/>
              </w:rPr>
              <w:t xml:space="preserve">Скосырев</w:t>
            </w:r>
            <w:r/>
          </w:p>
          <w:p>
            <w:pPr>
              <w:pStyle w:val="1063"/>
              <w:jc w:val="center"/>
              <w:widowControl w:val="off"/>
            </w:pPr>
            <w:r>
              <w:rPr>
                <w:rFonts w:ascii="Arial Narrow" w:hAnsi="Arial Narrow" w:cs="Calibri"/>
                <w:color w:val="0f0d29"/>
                <w:sz w:val="20"/>
                <w:szCs w:val="20"/>
              </w:rPr>
              <w:t xml:space="preserve">Денис Владимирович</w:t>
            </w:r>
            <w:r/>
          </w:p>
        </w:tc>
        <w:tc>
          <w:tcPr>
            <w:shd w:val="clear" w:color="auto" w:fill="ffffff"/>
            <w:tcBorders>
              <w:top w:val="single" w:color="000000" w:sz="4" w:space="0"/>
              <w:left w:val="single" w:color="000000" w:sz="4" w:space="0"/>
              <w:bottom w:val="single" w:color="000000" w:sz="4" w:space="0"/>
              <w:right w:val="single" w:color="000000" w:sz="4" w:space="0"/>
            </w:tcBorders>
            <w:tcW w:w="842" w:type="dxa"/>
            <w:vAlign w:val="center"/>
            <w:textDirection w:val="lrTb"/>
            <w:noWrap w:val="false"/>
          </w:tcPr>
          <w:p>
            <w:pPr>
              <w:pStyle w:val="1063"/>
              <w:jc w:val="center"/>
              <w:widowControl w:val="off"/>
            </w:pPr>
            <w:r>
              <w:rPr>
                <w:rFonts w:ascii="Arial Narrow" w:hAnsi="Arial Narrow" w:cs="Calibri"/>
                <w:color w:val="0f0d29"/>
                <w:sz w:val="20"/>
                <w:szCs w:val="20"/>
              </w:rPr>
              <w:t xml:space="preserve">1982</w:t>
            </w:r>
            <w:r/>
          </w:p>
        </w:tc>
        <w:tc>
          <w:tcPr>
            <w:shd w:val="clear" w:color="auto" w:fill="ffffff"/>
            <w:tcBorders>
              <w:top w:val="single" w:color="000000" w:sz="4" w:space="0"/>
              <w:left w:val="single" w:color="000000" w:sz="4" w:space="0"/>
              <w:bottom w:val="single" w:color="000000" w:sz="4" w:space="0"/>
              <w:right w:val="single" w:color="000000" w:sz="4" w:space="0"/>
            </w:tcBorders>
            <w:tcW w:w="1281" w:type="dxa"/>
            <w:vAlign w:val="center"/>
            <w:textDirection w:val="lrTb"/>
            <w:noWrap w:val="false"/>
          </w:tcPr>
          <w:p>
            <w:pPr>
              <w:pStyle w:val="1063"/>
              <w:jc w:val="center"/>
              <w:widowControl w:val="off"/>
            </w:pPr>
            <w:r>
              <w:rPr>
                <w:rFonts w:ascii="Arial Narrow" w:hAnsi="Arial Narrow" w:cs="Calibri"/>
                <w:color w:val="0f0d29"/>
                <w:sz w:val="20"/>
                <w:szCs w:val="20"/>
              </w:rPr>
              <w:t xml:space="preserve">Высшее</w:t>
            </w:r>
            <w:r/>
          </w:p>
        </w:tc>
        <w:tc>
          <w:tcPr>
            <w:shd w:val="clear" w:color="auto" w:fill="ffffff"/>
            <w:tcBorders>
              <w:top w:val="single" w:color="000000" w:sz="4" w:space="0"/>
              <w:left w:val="single" w:color="000000" w:sz="4" w:space="0"/>
              <w:bottom w:val="single" w:color="000000" w:sz="4" w:space="0"/>
              <w:right w:val="single" w:color="000000" w:sz="4" w:space="0"/>
            </w:tcBorders>
            <w:tcW w:w="3255" w:type="dxa"/>
            <w:vAlign w:val="center"/>
            <w:textDirection w:val="lrTb"/>
            <w:noWrap w:val="false"/>
          </w:tcPr>
          <w:p>
            <w:pPr>
              <w:pStyle w:val="1063"/>
              <w:jc w:val="center"/>
              <w:widowControl w:val="off"/>
            </w:pPr>
            <w:r>
              <w:rPr>
                <w:rFonts w:ascii="Arial Narrow" w:hAnsi="Arial Narrow" w:cs="Calibri"/>
                <w:color w:val="0f0d29"/>
                <w:sz w:val="20"/>
                <w:szCs w:val="20"/>
              </w:rPr>
              <w:t xml:space="preserve">Заместитель Генерального директора по корпоративно-правовому управлению</w:t>
            </w:r>
            <w:r/>
          </w:p>
          <w:p>
            <w:pPr>
              <w:pStyle w:val="1063"/>
              <w:jc w:val="center"/>
              <w:widowControl w:val="off"/>
            </w:pPr>
            <w:r>
              <w:rPr>
                <w:rFonts w:ascii="Arial Narrow" w:hAnsi="Arial Narrow" w:cs="Calibri"/>
                <w:color w:val="0f0d29"/>
                <w:sz w:val="20"/>
                <w:szCs w:val="20"/>
              </w:rPr>
              <w:t xml:space="preserve">ПАО «Камчатскэнерго»</w:t>
            </w:r>
            <w:r/>
          </w:p>
        </w:tc>
        <w:tc>
          <w:tcPr>
            <w:shd w:val="clear" w:color="auto" w:fill="ffffff"/>
            <w:tcBorders>
              <w:top w:val="single" w:color="000000" w:sz="4" w:space="0"/>
              <w:left w:val="single" w:color="000000" w:sz="4" w:space="0"/>
              <w:bottom w:val="single" w:color="000000" w:sz="4" w:space="0"/>
              <w:right w:val="single" w:color="000000" w:sz="4" w:space="0"/>
            </w:tcBorders>
            <w:tcW w:w="1844" w:type="dxa"/>
            <w:vAlign w:val="center"/>
            <w:textDirection w:val="lrTb"/>
            <w:noWrap w:val="false"/>
          </w:tcPr>
          <w:p>
            <w:pPr>
              <w:pStyle w:val="1063"/>
              <w:jc w:val="center"/>
              <w:widowControl w:val="off"/>
            </w:pPr>
            <w:r>
              <w:rPr>
                <w:rFonts w:ascii="Arial Narrow" w:hAnsi="Arial Narrow" w:cs="Calibri"/>
                <w:color w:val="0f0d29"/>
                <w:sz w:val="20"/>
                <w:szCs w:val="20"/>
              </w:rPr>
              <w:t xml:space="preserve">0/0</w:t>
            </w:r>
            <w:r/>
          </w:p>
        </w:tc>
      </w:tr>
    </w:tbl>
    <w:p>
      <w:pPr>
        <w:pStyle w:val="1063"/>
        <w:ind w:firstLine="567"/>
        <w:jc w:val="both"/>
        <w:spacing w:before="120" w:after="120"/>
        <w:rPr>
          <w:rFonts w:ascii="Arial Narrow" w:hAnsi="Arial Narrow" w:cs="Calibri"/>
          <w:iCs/>
        </w:rPr>
      </w:pPr>
      <w:r>
        <w:rPr>
          <w:rFonts w:ascii="Arial Narrow" w:hAnsi="Arial Narrow" w:cs="Calibri"/>
          <w:iCs/>
        </w:rPr>
        <w:t xml:space="preserve">Изменений в составе коллегиального исполнительного органа в отчетном периоде не происходило.</w:t>
      </w:r>
      <w:r>
        <w:rPr>
          <w:rFonts w:ascii="Arial Narrow" w:hAnsi="Arial Narrow" w:cs="Calibri"/>
          <w:iCs/>
        </w:rPr>
      </w:r>
      <w:r>
        <w:rPr>
          <w:rFonts w:ascii="Arial Narrow" w:hAnsi="Arial Narrow" w:cs="Calibri"/>
          <w:iCs/>
        </w:rPr>
      </w:r>
    </w:p>
    <w:p>
      <w:pPr>
        <w:pStyle w:val="1063"/>
        <w:ind w:firstLine="567"/>
        <w:jc w:val="both"/>
        <w:spacing w:before="120" w:after="120"/>
      </w:pPr>
      <w:r>
        <w:rPr>
          <w:rFonts w:ascii="Arial Narrow" w:hAnsi="Arial Narrow" w:cs="Calibri"/>
          <w:iCs/>
        </w:rPr>
        <w:t xml:space="preserve">В течение отчетного года членами исполнительного органа Общества сделки с акциями Общества не совершались.</w:t>
      </w:r>
      <w:r/>
    </w:p>
    <w:p>
      <w:pPr>
        <w:pStyle w:val="763"/>
        <w:jc w:val="both"/>
        <w:keepLines/>
        <w:spacing w:after="0" w:line="276" w:lineRule="auto"/>
        <w:rPr>
          <w:rFonts w:ascii="Arial Narrow" w:hAnsi="Arial Narrow" w:eastAsiaTheme="majorEastAsia" w:cstheme="minorHAnsi"/>
          <w:b/>
          <w:color w:val="314e87"/>
          <w:sz w:val="24"/>
          <w:szCs w:val="24"/>
          <w:lang w:eastAsia="en-US" w:bidi="ru-RU"/>
        </w:rPr>
      </w:pPr>
      <w:r/>
      <w:bookmarkStart w:id="144" w:name="_Toc193883506"/>
      <w:r/>
      <w:bookmarkStart w:id="145" w:name="_Toc196127006"/>
      <w:r>
        <w:rPr>
          <w:rFonts w:ascii="Arial Narrow" w:hAnsi="Arial Narrow" w:eastAsiaTheme="majorEastAsia" w:cstheme="minorHAnsi"/>
          <w:b/>
          <w:color w:val="314e87"/>
          <w:sz w:val="24"/>
          <w:szCs w:val="24"/>
          <w:lang w:eastAsia="en-US" w:bidi="ru-RU"/>
        </w:rPr>
        <w:t xml:space="preserve">11.2. Утвержденные ключевые показатели эффективности</w:t>
      </w:r>
      <w:bookmarkEnd w:id="144"/>
      <w:r/>
      <w:bookmarkEnd w:id="145"/>
      <w:r>
        <w:rPr>
          <w:rFonts w:ascii="Arial Narrow" w:hAnsi="Arial Narrow" w:eastAsiaTheme="majorEastAsia" w:cstheme="minorHAnsi"/>
          <w:b/>
          <w:color w:val="314e87"/>
          <w:sz w:val="24"/>
          <w:szCs w:val="24"/>
          <w:lang w:eastAsia="en-US" w:bidi="ru-RU"/>
        </w:rPr>
      </w:r>
      <w:r>
        <w:rPr>
          <w:rFonts w:ascii="Arial Narrow" w:hAnsi="Arial Narrow" w:eastAsiaTheme="majorEastAsia" w:cstheme="minorHAnsi"/>
          <w:b/>
          <w:color w:val="314e87"/>
          <w:sz w:val="24"/>
          <w:szCs w:val="24"/>
          <w:lang w:eastAsia="en-US" w:bidi="ru-RU"/>
        </w:rPr>
      </w:r>
    </w:p>
    <w:p>
      <w:pPr>
        <w:pStyle w:val="1063"/>
        <w:ind w:firstLine="567"/>
        <w:jc w:val="both"/>
        <w:spacing w:before="120" w:after="120"/>
      </w:pPr>
      <w:r>
        <w:rPr>
          <w:rFonts w:ascii="Arial Narrow" w:hAnsi="Arial Narrow" w:cs="Calibri"/>
          <w:iCs/>
        </w:rPr>
        <w:t xml:space="preserve">Достижение результатов эффективной д</w:t>
      </w:r>
      <w:r>
        <w:rPr>
          <w:rFonts w:ascii="Arial Narrow" w:hAnsi="Arial Narrow" w:cs="Calibri"/>
          <w:iCs/>
        </w:rPr>
        <w:t xml:space="preserve">еятельности Общества оценивается применяемой в Обществе системой КПЭ. Система КПЭ используется в качестве инструмента планирования, оценки и контроля текущего состояния Общества и создания основы для принятия управленческих решений на среднесрочном уровне.</w:t>
      </w:r>
      <w:r/>
    </w:p>
    <w:p>
      <w:pPr>
        <w:pStyle w:val="1063"/>
        <w:ind w:firstLine="567"/>
        <w:jc w:val="both"/>
      </w:pPr>
      <w:r>
        <w:rPr>
          <w:rFonts w:ascii="Arial Narrow" w:hAnsi="Arial Narrow" w:cs="Calibri"/>
          <w:iCs/>
        </w:rPr>
        <w:t xml:space="preserve">Порядок утверждения состава (с удельными весами), целевых значений КПЭ, функциональных ключевых показателей эффективности (ФКПЭ) и показателей депремирования, Порядка расчета показателей Системы КПЭ Общества регулируется следующими документами:</w:t>
      </w:r>
      <w:r/>
    </w:p>
    <w:p>
      <w:pPr>
        <w:pStyle w:val="1093"/>
        <w:numPr>
          <w:ilvl w:val="0"/>
          <w:numId w:val="4"/>
        </w:numPr>
        <w:ind w:left="0" w:firstLine="567"/>
        <w:jc w:val="both"/>
        <w:spacing w:before="0" w:after="0" w:line="276" w:lineRule="auto"/>
        <w:tabs>
          <w:tab w:val="left" w:pos="993" w:leader="none"/>
        </w:tabs>
      </w:pPr>
      <w:r>
        <w:rPr>
          <w:rFonts w:ascii="Arial Narrow" w:hAnsi="Arial Narrow" w:cs="Calibri"/>
          <w:sz w:val="24"/>
          <w:szCs w:val="24"/>
        </w:rPr>
        <w:t xml:space="preserve">Порядком расчета КПЭ, ФКПЭ и ПД подконтрольных организаций ПАО «РусГидро»;</w:t>
      </w:r>
      <w:r/>
    </w:p>
    <w:p>
      <w:pPr>
        <w:pStyle w:val="1093"/>
        <w:numPr>
          <w:ilvl w:val="0"/>
          <w:numId w:val="4"/>
        </w:numPr>
        <w:ind w:left="0" w:firstLine="567"/>
        <w:jc w:val="both"/>
        <w:spacing w:before="0" w:after="0" w:line="276" w:lineRule="auto"/>
        <w:tabs>
          <w:tab w:val="left" w:pos="993" w:leader="none"/>
        </w:tabs>
      </w:pPr>
      <w:r>
        <w:rPr>
          <w:rFonts w:ascii="Arial Narrow" w:hAnsi="Arial Narrow" w:cs="Calibri"/>
          <w:sz w:val="24"/>
          <w:szCs w:val="24"/>
        </w:rPr>
        <w:t xml:space="preserve">Положением о системе КПЭ ПАО «Камчатскэнерго».</w:t>
      </w:r>
      <w:r/>
    </w:p>
    <w:p>
      <w:pPr>
        <w:pStyle w:val="1063"/>
        <w:ind w:firstLine="567"/>
        <w:jc w:val="both"/>
        <w:rPr>
          <w:rFonts w:ascii="Arial Narrow" w:hAnsi="Arial Narrow" w:cs="Calibri"/>
          <w:iCs/>
        </w:rPr>
      </w:pPr>
      <w:r>
        <w:rPr>
          <w:rFonts w:ascii="Arial Narrow" w:hAnsi="Arial Narrow" w:cs="Calibri"/>
          <w:iCs/>
        </w:rPr>
        <w:t xml:space="preserve">Решением Совета директоров Общества (протокол от 27.08.2024 № 3) утверждены следующие состав, удельный вес и годовые целевые значения КПЭ, ФКПЭ и показателей депремирования для Общества на 2024 - 2026 годы:</w:t>
      </w:r>
      <w:r>
        <w:rPr>
          <w:rFonts w:ascii="Arial Narrow" w:hAnsi="Arial Narrow" w:cs="Calibri"/>
          <w:iCs/>
        </w:rPr>
      </w:r>
      <w:r>
        <w:rPr>
          <w:rFonts w:ascii="Arial Narrow" w:hAnsi="Arial Narrow" w:cs="Calibri"/>
          <w:iCs/>
        </w:rPr>
      </w:r>
    </w:p>
    <w:p>
      <w:pPr>
        <w:pStyle w:val="1063"/>
        <w:ind w:firstLine="142"/>
        <w:jc w:val="right"/>
        <w:tabs>
          <w:tab w:val="left" w:pos="566" w:leader="none"/>
          <w:tab w:val="left" w:pos="850" w:leader="none"/>
        </w:tabs>
        <w:rPr>
          <w:sz w:val="12"/>
          <w:szCs w:val="12"/>
        </w:rPr>
      </w:pPr>
      <w:r>
        <w:rPr>
          <w:rFonts w:ascii="Arial Narrow" w:hAnsi="Arial Narrow" w:eastAsia="Calibri" w:cs="Calibri"/>
          <w:i/>
          <w:lang w:eastAsia="ja-JP"/>
        </w:rPr>
        <w:t xml:space="preserve">Таблица № </w:t>
      </w:r>
      <w:r>
        <w:rPr>
          <w:rFonts w:ascii="Arial Narrow" w:hAnsi="Arial Narrow" w:eastAsia="Calibri" w:cs="Calibri"/>
          <w:i/>
          <w:lang w:val="en-US" w:eastAsia="ja-JP"/>
        </w:rPr>
        <w:t xml:space="preserve">5</w:t>
      </w:r>
      <w:r>
        <w:rPr>
          <w:rFonts w:ascii="Arial Narrow" w:hAnsi="Arial Narrow" w:eastAsia="Calibri" w:cs="Calibri"/>
          <w:i/>
          <w:lang w:eastAsia="ja-JP"/>
        </w:rPr>
        <w:t xml:space="preserve">2</w:t>
      </w:r>
      <w:r>
        <w:rPr>
          <w:sz w:val="12"/>
          <w:szCs w:val="12"/>
        </w:rPr>
      </w:r>
      <w:r>
        <w:rPr>
          <w:sz w:val="12"/>
          <w:szCs w:val="12"/>
        </w:rPr>
      </w:r>
    </w:p>
    <w:tbl>
      <w:tblPr>
        <w:tblW w:w="10060" w:type="dxa"/>
        <w:tblInd w:w="113" w:type="dxa"/>
        <w:tblLayout w:type="fixed"/>
        <w:tblLook w:val="04A0" w:firstRow="1" w:lastRow="0" w:firstColumn="1" w:lastColumn="0" w:noHBand="0" w:noVBand="1"/>
      </w:tblPr>
      <w:tblGrid>
        <w:gridCol w:w="461"/>
        <w:gridCol w:w="4817"/>
        <w:gridCol w:w="609"/>
        <w:gridCol w:w="1132"/>
        <w:gridCol w:w="1134"/>
        <w:gridCol w:w="942"/>
        <w:gridCol w:w="965"/>
      </w:tblGrid>
      <w:tr>
        <w:trPr>
          <w:trHeight w:val="45"/>
        </w:trPr>
        <w:tc>
          <w:tcPr>
            <w:tcBorders>
              <w:top w:val="single" w:color="000000" w:sz="4" w:space="0"/>
              <w:left w:val="single" w:color="000000" w:sz="4" w:space="0"/>
              <w:bottom w:val="single" w:color="000000" w:sz="4" w:space="0"/>
              <w:right w:val="single" w:color="000000" w:sz="4" w:space="0"/>
            </w:tcBorders>
            <w:tcW w:w="460" w:type="dxa"/>
            <w:vAlign w:val="center"/>
            <w:textDirection w:val="lrTb"/>
            <w:noWrap w:val="false"/>
          </w:tcPr>
          <w:p>
            <w:pPr>
              <w:pStyle w:val="1063"/>
              <w:jc w:val="center"/>
              <w:widowControl w:val="off"/>
            </w:pPr>
            <w:r>
              <w:rPr>
                <w:rFonts w:ascii="Arial Narrow" w:hAnsi="Arial Narrow" w:cs="Calibri"/>
                <w:bCs/>
                <w:color w:val="000000"/>
                <w:sz w:val="20"/>
                <w:szCs w:val="20"/>
                <w:lang w:val="en-GB"/>
              </w:rPr>
              <w:t xml:space="preserve">№</w:t>
            </w:r>
            <w:r/>
          </w:p>
          <w:p>
            <w:pPr>
              <w:pStyle w:val="1063"/>
              <w:jc w:val="center"/>
              <w:widowControl w:val="off"/>
            </w:pPr>
            <w:r>
              <w:rPr>
                <w:rFonts w:ascii="Arial Narrow" w:hAnsi="Arial Narrow" w:cs="Calibri"/>
                <w:bCs/>
                <w:color w:val="000000"/>
                <w:sz w:val="20"/>
                <w:szCs w:val="20"/>
              </w:rPr>
              <w:t xml:space="preserve">п/п</w:t>
            </w:r>
            <w:r/>
          </w:p>
        </w:tc>
        <w:tc>
          <w:tcPr>
            <w:tcBorders>
              <w:top w:val="single" w:color="000000" w:sz="4" w:space="0"/>
              <w:left w:val="single" w:color="000000" w:sz="4" w:space="0"/>
              <w:bottom w:val="single" w:color="000000" w:sz="4" w:space="0"/>
              <w:right w:val="single" w:color="000000" w:sz="4" w:space="0"/>
            </w:tcBorders>
            <w:tcW w:w="4817" w:type="dxa"/>
            <w:vAlign w:val="center"/>
            <w:textDirection w:val="lrTb"/>
            <w:noWrap w:val="false"/>
          </w:tcPr>
          <w:p>
            <w:pPr>
              <w:pStyle w:val="1063"/>
              <w:jc w:val="center"/>
              <w:widowControl w:val="off"/>
            </w:pPr>
            <w:r>
              <w:rPr>
                <w:rFonts w:ascii="Arial Narrow" w:hAnsi="Arial Narrow" w:cs="Calibri"/>
                <w:bCs/>
                <w:color w:val="000000"/>
                <w:sz w:val="20"/>
                <w:szCs w:val="20"/>
                <w:lang w:val="en-GB"/>
              </w:rPr>
              <w:t xml:space="preserve">Показатели</w:t>
            </w:r>
            <w:r/>
          </w:p>
        </w:tc>
        <w:tc>
          <w:tcPr>
            <w:tcBorders>
              <w:top w:val="single" w:color="000000" w:sz="4" w:space="0"/>
              <w:left w:val="single" w:color="000000" w:sz="4" w:space="0"/>
              <w:bottom w:val="single" w:color="000000" w:sz="4" w:space="0"/>
              <w:right w:val="single" w:color="000000" w:sz="4" w:space="0"/>
            </w:tcBorders>
            <w:tcW w:w="609" w:type="dxa"/>
            <w:vAlign w:val="center"/>
            <w:textDirection w:val="lrTb"/>
            <w:noWrap w:val="false"/>
          </w:tcPr>
          <w:p>
            <w:pPr>
              <w:pStyle w:val="1063"/>
              <w:jc w:val="center"/>
              <w:widowControl w:val="off"/>
            </w:pPr>
            <w:r>
              <w:rPr>
                <w:rFonts w:ascii="Arial Narrow" w:hAnsi="Arial Narrow" w:cs="Calibri"/>
                <w:bCs/>
                <w:color w:val="000000"/>
                <w:sz w:val="20"/>
                <w:szCs w:val="20"/>
                <w:lang w:val="en-GB"/>
              </w:rPr>
              <w:t xml:space="preserve">Ед изм.</w:t>
            </w:r>
            <w:r/>
          </w:p>
        </w:tc>
        <w:tc>
          <w:tcPr>
            <w:tcBorders>
              <w:top w:val="single" w:color="000000" w:sz="4" w:space="0"/>
              <w:left w:val="single" w:color="000000" w:sz="4" w:space="0"/>
              <w:bottom w:val="single" w:color="000000" w:sz="4" w:space="0"/>
              <w:right w:val="single" w:color="000000" w:sz="4" w:space="0"/>
            </w:tcBorders>
            <w:tcW w:w="1132" w:type="dxa"/>
            <w:vAlign w:val="center"/>
            <w:textDirection w:val="lrTb"/>
            <w:noWrap w:val="false"/>
          </w:tcPr>
          <w:p>
            <w:pPr>
              <w:pStyle w:val="1063"/>
              <w:jc w:val="center"/>
              <w:widowControl w:val="off"/>
            </w:pPr>
            <w:r>
              <w:rPr>
                <w:rFonts w:ascii="Arial Narrow" w:hAnsi="Arial Narrow" w:cs="Calibri"/>
                <w:bCs/>
                <w:color w:val="000000"/>
                <w:sz w:val="20"/>
                <w:szCs w:val="20"/>
              </w:rPr>
              <w:t xml:space="preserve">ЦЗ</w:t>
            </w:r>
            <w:r/>
          </w:p>
          <w:p>
            <w:pPr>
              <w:pStyle w:val="1063"/>
              <w:jc w:val="center"/>
              <w:widowControl w:val="off"/>
            </w:pPr>
            <w:r>
              <w:rPr>
                <w:rFonts w:ascii="Arial Narrow" w:hAnsi="Arial Narrow" w:cs="Calibri"/>
                <w:bCs/>
                <w:color w:val="000000"/>
                <w:sz w:val="20"/>
                <w:szCs w:val="20"/>
              </w:rPr>
              <w:t xml:space="preserve">2024 год</w:t>
            </w:r>
            <w:r/>
          </w:p>
        </w:tc>
        <w:tc>
          <w:tcPr>
            <w:tcBorders>
              <w:top w:val="single" w:color="000000" w:sz="4" w:space="0"/>
              <w:left w:val="single" w:color="000000" w:sz="4" w:space="0"/>
              <w:bottom w:val="single" w:color="000000" w:sz="4" w:space="0"/>
              <w:right w:val="single" w:color="000000" w:sz="4" w:space="0"/>
            </w:tcBorders>
            <w:tcW w:w="1134" w:type="dxa"/>
            <w:vAlign w:val="center"/>
            <w:textDirection w:val="lrTb"/>
            <w:noWrap w:val="false"/>
          </w:tcPr>
          <w:p>
            <w:pPr>
              <w:pStyle w:val="1063"/>
              <w:jc w:val="center"/>
              <w:widowControl w:val="off"/>
            </w:pPr>
            <w:r>
              <w:rPr>
                <w:rFonts w:ascii="Arial Narrow" w:hAnsi="Arial Narrow" w:cs="Calibri"/>
                <w:bCs/>
                <w:color w:val="000000"/>
                <w:sz w:val="20"/>
                <w:szCs w:val="20"/>
              </w:rPr>
              <w:t xml:space="preserve">ЦЗ</w:t>
            </w:r>
            <w:r/>
          </w:p>
          <w:p>
            <w:pPr>
              <w:pStyle w:val="1063"/>
              <w:jc w:val="center"/>
              <w:widowControl w:val="off"/>
            </w:pPr>
            <w:r>
              <w:rPr>
                <w:rFonts w:ascii="Arial Narrow" w:hAnsi="Arial Narrow" w:cs="Calibri"/>
                <w:bCs/>
                <w:color w:val="000000"/>
                <w:sz w:val="20"/>
                <w:szCs w:val="20"/>
              </w:rPr>
              <w:t xml:space="preserve">2025 год</w:t>
            </w:r>
            <w:r/>
          </w:p>
        </w:tc>
        <w:tc>
          <w:tcPr>
            <w:tcBorders>
              <w:top w:val="single" w:color="000000" w:sz="4" w:space="0"/>
              <w:left w:val="single" w:color="000000" w:sz="4" w:space="0"/>
              <w:bottom w:val="single" w:color="000000" w:sz="4" w:space="0"/>
              <w:right w:val="single" w:color="000000" w:sz="4" w:space="0"/>
            </w:tcBorders>
            <w:tcW w:w="942" w:type="dxa"/>
            <w:textDirection w:val="lrTb"/>
            <w:noWrap w:val="false"/>
          </w:tcPr>
          <w:p>
            <w:pPr>
              <w:pStyle w:val="1063"/>
              <w:jc w:val="center"/>
              <w:widowControl w:val="off"/>
            </w:pPr>
            <w:r>
              <w:rPr>
                <w:rFonts w:ascii="Arial Narrow" w:hAnsi="Arial Narrow" w:cs="Calibri"/>
                <w:bCs/>
                <w:color w:val="000000"/>
                <w:sz w:val="20"/>
                <w:szCs w:val="20"/>
              </w:rPr>
              <w:t xml:space="preserve">ЦЗ</w:t>
            </w:r>
            <w:r/>
          </w:p>
          <w:p>
            <w:pPr>
              <w:pStyle w:val="1063"/>
              <w:jc w:val="center"/>
              <w:widowControl w:val="off"/>
            </w:pPr>
            <w:r>
              <w:rPr>
                <w:rFonts w:ascii="Arial Narrow" w:hAnsi="Arial Narrow" w:cs="Calibri"/>
                <w:bCs/>
                <w:color w:val="000000"/>
                <w:sz w:val="20"/>
                <w:szCs w:val="20"/>
              </w:rPr>
              <w:t xml:space="preserve">2026 год</w:t>
            </w:r>
            <w:r/>
          </w:p>
        </w:tc>
        <w:tc>
          <w:tcPr>
            <w:tcBorders>
              <w:top w:val="single" w:color="000000" w:sz="4" w:space="0"/>
              <w:left w:val="single" w:color="000000" w:sz="4" w:space="0"/>
              <w:bottom w:val="single" w:color="000000" w:sz="4" w:space="0"/>
              <w:right w:val="single" w:color="000000" w:sz="4" w:space="0"/>
            </w:tcBorders>
            <w:tcW w:w="965" w:type="dxa"/>
            <w:textDirection w:val="lrTb"/>
            <w:noWrap w:val="false"/>
          </w:tcPr>
          <w:p>
            <w:pPr>
              <w:pStyle w:val="1063"/>
              <w:jc w:val="center"/>
              <w:widowControl w:val="off"/>
            </w:pPr>
            <w:r>
              <w:rPr>
                <w:rFonts w:ascii="Arial Narrow" w:hAnsi="Arial Narrow" w:cs="Calibri"/>
                <w:bCs/>
                <w:color w:val="000000"/>
                <w:sz w:val="20"/>
                <w:szCs w:val="20"/>
              </w:rPr>
              <w:t xml:space="preserve">Удельный вес</w:t>
            </w:r>
            <w:r/>
          </w:p>
        </w:tc>
      </w:tr>
      <w:tr>
        <w:trPr>
          <w:trHeight w:val="40"/>
        </w:trPr>
        <w:tc>
          <w:tcPr>
            <w:gridSpan w:val="7"/>
            <w:tcBorders>
              <w:top w:val="single" w:color="000000" w:sz="4" w:space="0"/>
              <w:left w:val="single" w:color="000000" w:sz="4" w:space="0"/>
              <w:bottom w:val="single" w:color="000000" w:sz="4" w:space="0"/>
              <w:right w:val="single" w:color="000000" w:sz="4" w:space="0"/>
            </w:tcBorders>
            <w:tcW w:w="10059" w:type="dxa"/>
            <w:vAlign w:val="bottom"/>
            <w:textDirection w:val="lrTb"/>
            <w:noWrap w:val="false"/>
          </w:tcPr>
          <w:p>
            <w:pPr>
              <w:pStyle w:val="1063"/>
              <w:jc w:val="center"/>
              <w:widowControl w:val="off"/>
            </w:pPr>
            <w:r>
              <w:rPr>
                <w:rFonts w:ascii="Arial Narrow" w:hAnsi="Arial Narrow" w:cs="Calibri"/>
                <w:color w:val="000000"/>
                <w:sz w:val="20"/>
                <w:szCs w:val="20"/>
              </w:rPr>
              <w:t xml:space="preserve">КПЭ финансово – экономические</w:t>
            </w:r>
            <w:r/>
          </w:p>
        </w:tc>
      </w:tr>
      <w:tr>
        <w:trPr>
          <w:trHeight w:val="294"/>
        </w:trPr>
        <w:tc>
          <w:tcPr>
            <w:tcBorders>
              <w:top w:val="single" w:color="000000" w:sz="4" w:space="0"/>
              <w:left w:val="single" w:color="000000" w:sz="4" w:space="0"/>
              <w:bottom w:val="single" w:color="000000" w:sz="4" w:space="0"/>
              <w:right w:val="single" w:color="000000" w:sz="4" w:space="0"/>
            </w:tcBorders>
            <w:tcW w:w="460" w:type="dxa"/>
            <w:vAlign w:val="bottom"/>
            <w:textDirection w:val="lrTb"/>
            <w:noWrap w:val="false"/>
          </w:tcPr>
          <w:p>
            <w:pPr>
              <w:pStyle w:val="1063"/>
              <w:jc w:val="center"/>
              <w:widowControl w:val="off"/>
            </w:pPr>
            <w:r>
              <w:rPr>
                <w:rFonts w:ascii="Arial Narrow" w:hAnsi="Arial Narrow" w:cs="Calibri"/>
                <w:color w:val="000000"/>
                <w:sz w:val="20"/>
                <w:szCs w:val="20"/>
              </w:rPr>
              <w:t xml:space="preserve">1</w:t>
            </w:r>
            <w:r/>
          </w:p>
        </w:tc>
        <w:tc>
          <w:tcPr>
            <w:tcBorders>
              <w:top w:val="single" w:color="000000" w:sz="4" w:space="0"/>
              <w:left w:val="single" w:color="000000" w:sz="4" w:space="0"/>
              <w:bottom w:val="single" w:color="000000" w:sz="4" w:space="0"/>
              <w:right w:val="single" w:color="000000" w:sz="4" w:space="0"/>
            </w:tcBorders>
            <w:tcW w:w="4817" w:type="dxa"/>
            <w:vAlign w:val="bottom"/>
            <w:textDirection w:val="lrTb"/>
            <w:noWrap w:val="false"/>
          </w:tcPr>
          <w:p>
            <w:pPr>
              <w:pStyle w:val="1063"/>
              <w:widowControl w:val="off"/>
            </w:pPr>
            <w:r>
              <w:rPr>
                <w:rFonts w:ascii="Arial Narrow" w:hAnsi="Arial Narrow" w:cs="Calibri"/>
                <w:color w:val="000000"/>
                <w:sz w:val="20"/>
                <w:szCs w:val="20"/>
              </w:rPr>
              <w:t xml:space="preserve">Рентабельность собственного капитала (</w:t>
            </w:r>
            <w:r>
              <w:rPr>
                <w:rFonts w:ascii="Arial Narrow" w:hAnsi="Arial Narrow" w:cs="Calibri"/>
                <w:color w:val="000000"/>
                <w:sz w:val="20"/>
                <w:szCs w:val="20"/>
                <w:lang w:val="en-GB"/>
              </w:rPr>
              <w:t xml:space="preserve">ROE</w:t>
            </w:r>
            <w:r>
              <w:rPr>
                <w:rFonts w:ascii="Arial Narrow" w:hAnsi="Arial Narrow" w:cs="Calibri"/>
                <w:color w:val="000000"/>
                <w:sz w:val="20"/>
                <w:szCs w:val="20"/>
              </w:rPr>
              <w:t xml:space="preserve">)</w:t>
            </w:r>
            <w:r/>
          </w:p>
        </w:tc>
        <w:tc>
          <w:tcPr>
            <w:tcBorders>
              <w:top w:val="single" w:color="000000" w:sz="4" w:space="0"/>
              <w:left w:val="single" w:color="000000" w:sz="4" w:space="0"/>
              <w:bottom w:val="single" w:color="000000" w:sz="4" w:space="0"/>
              <w:right w:val="single" w:color="000000" w:sz="4" w:space="0"/>
            </w:tcBorders>
            <w:tcW w:w="609" w:type="dxa"/>
            <w:vAlign w:val="bottom"/>
            <w:textDirection w:val="lrTb"/>
            <w:noWrap w:val="false"/>
          </w:tcPr>
          <w:p>
            <w:pPr>
              <w:pStyle w:val="1063"/>
              <w:jc w:val="center"/>
              <w:widowControl w:val="off"/>
            </w:pPr>
            <w:r>
              <w:rPr>
                <w:rFonts w:ascii="Arial Narrow" w:hAnsi="Arial Narrow" w:cs="Calibri"/>
                <w:color w:val="000000"/>
                <w:sz w:val="20"/>
                <w:szCs w:val="20"/>
              </w:rPr>
              <w:t xml:space="preserve">%</w:t>
            </w:r>
            <w:r/>
          </w:p>
        </w:tc>
        <w:tc>
          <w:tcPr>
            <w:tcBorders>
              <w:top w:val="single" w:color="000000" w:sz="4" w:space="0"/>
              <w:left w:val="single" w:color="000000" w:sz="4" w:space="0"/>
              <w:bottom w:val="single" w:color="000000" w:sz="4" w:space="0"/>
              <w:right w:val="single" w:color="000000" w:sz="4" w:space="0"/>
            </w:tcBorders>
            <w:tcW w:w="1132" w:type="dxa"/>
            <w:vAlign w:val="bottom"/>
            <w:textDirection w:val="lrTb"/>
            <w:noWrap w:val="false"/>
          </w:tcPr>
          <w:p>
            <w:pPr>
              <w:pStyle w:val="1063"/>
              <w:jc w:val="center"/>
              <w:widowControl w:val="off"/>
            </w:pPr>
            <w:r>
              <w:rPr>
                <w:rFonts w:ascii="Arial Narrow" w:hAnsi="Arial Narrow" w:cs="Calibri"/>
                <w:color w:val="000000"/>
                <w:sz w:val="20"/>
                <w:szCs w:val="20"/>
              </w:rPr>
              <w:t xml:space="preserve">100%</w:t>
            </w:r>
            <w:r/>
          </w:p>
        </w:tc>
        <w:tc>
          <w:tcPr>
            <w:tcBorders>
              <w:top w:val="single" w:color="000000" w:sz="4" w:space="0"/>
              <w:left w:val="single" w:color="000000" w:sz="4" w:space="0"/>
              <w:bottom w:val="single" w:color="000000" w:sz="4" w:space="0"/>
              <w:right w:val="single" w:color="000000" w:sz="4" w:space="0"/>
            </w:tcBorders>
            <w:tcW w:w="1134" w:type="dxa"/>
            <w:vAlign w:val="bottom"/>
            <w:textDirection w:val="lrTb"/>
            <w:noWrap w:val="false"/>
          </w:tcPr>
          <w:p>
            <w:pPr>
              <w:pStyle w:val="1063"/>
              <w:jc w:val="center"/>
              <w:widowControl w:val="off"/>
            </w:pPr>
            <w:r>
              <w:rPr>
                <w:rFonts w:ascii="Arial Narrow" w:hAnsi="Arial Narrow" w:cs="Calibri"/>
                <w:color w:val="000000"/>
                <w:sz w:val="20"/>
                <w:szCs w:val="20"/>
              </w:rPr>
              <w:t xml:space="preserve">100%</w:t>
            </w:r>
            <w:r/>
          </w:p>
        </w:tc>
        <w:tc>
          <w:tcPr>
            <w:tcBorders>
              <w:top w:val="single" w:color="000000" w:sz="4" w:space="0"/>
              <w:left w:val="single" w:color="000000" w:sz="4" w:space="0"/>
              <w:bottom w:val="single" w:color="000000" w:sz="4" w:space="0"/>
              <w:right w:val="single" w:color="000000" w:sz="4" w:space="0"/>
            </w:tcBorders>
            <w:tcW w:w="942" w:type="dxa"/>
            <w:vAlign w:val="bottom"/>
            <w:textDirection w:val="lrTb"/>
            <w:noWrap w:val="false"/>
          </w:tcPr>
          <w:p>
            <w:pPr>
              <w:pStyle w:val="1063"/>
              <w:jc w:val="center"/>
              <w:widowControl w:val="off"/>
            </w:pPr>
            <w:r>
              <w:rPr>
                <w:rFonts w:ascii="Arial Narrow" w:hAnsi="Arial Narrow" w:cs="Calibri"/>
                <w:color w:val="000000"/>
                <w:sz w:val="20"/>
                <w:szCs w:val="20"/>
              </w:rPr>
              <w:t xml:space="preserve">100%</w:t>
            </w:r>
            <w:r/>
          </w:p>
        </w:tc>
        <w:tc>
          <w:tcPr>
            <w:tcBorders>
              <w:top w:val="single" w:color="000000" w:sz="4" w:space="0"/>
              <w:left w:val="single" w:color="000000" w:sz="4" w:space="0"/>
              <w:bottom w:val="single" w:color="000000" w:sz="4" w:space="0"/>
              <w:right w:val="single" w:color="000000" w:sz="4" w:space="0"/>
            </w:tcBorders>
            <w:tcW w:w="965" w:type="dxa"/>
            <w:vAlign w:val="bottom"/>
            <w:textDirection w:val="lrTb"/>
            <w:noWrap w:val="false"/>
          </w:tcPr>
          <w:p>
            <w:pPr>
              <w:pStyle w:val="1063"/>
              <w:jc w:val="center"/>
              <w:widowControl w:val="off"/>
            </w:pPr>
            <w:r>
              <w:rPr>
                <w:rFonts w:ascii="Arial Narrow" w:hAnsi="Arial Narrow" w:cs="Calibri"/>
                <w:color w:val="000000"/>
                <w:sz w:val="20"/>
                <w:szCs w:val="20"/>
              </w:rPr>
              <w:t xml:space="preserve">5%</w:t>
            </w:r>
            <w:r/>
          </w:p>
        </w:tc>
      </w:tr>
      <w:tr>
        <w:trPr>
          <w:trHeight w:val="45"/>
        </w:trPr>
        <w:tc>
          <w:tcPr>
            <w:tcBorders>
              <w:top w:val="single" w:color="000000" w:sz="4" w:space="0"/>
              <w:left w:val="single" w:color="000000" w:sz="4" w:space="0"/>
              <w:bottom w:val="single" w:color="000000" w:sz="4" w:space="0"/>
              <w:right w:val="single" w:color="000000" w:sz="4" w:space="0"/>
            </w:tcBorders>
            <w:tcW w:w="460" w:type="dxa"/>
            <w:vAlign w:val="bottom"/>
            <w:textDirection w:val="lrTb"/>
            <w:noWrap w:val="false"/>
          </w:tcPr>
          <w:p>
            <w:pPr>
              <w:pStyle w:val="1063"/>
              <w:jc w:val="center"/>
              <w:widowControl w:val="off"/>
            </w:pPr>
            <w:r>
              <w:rPr>
                <w:rFonts w:ascii="Arial Narrow" w:hAnsi="Arial Narrow" w:cs="Calibri"/>
                <w:color w:val="000000"/>
                <w:sz w:val="20"/>
                <w:szCs w:val="20"/>
              </w:rPr>
              <w:t xml:space="preserve">2</w:t>
            </w:r>
            <w:r/>
          </w:p>
        </w:tc>
        <w:tc>
          <w:tcPr>
            <w:tcBorders>
              <w:top w:val="single" w:color="000000" w:sz="4" w:space="0"/>
              <w:left w:val="single" w:color="000000" w:sz="4" w:space="0"/>
              <w:bottom w:val="single" w:color="000000" w:sz="4" w:space="0"/>
              <w:right w:val="single" w:color="000000" w:sz="4" w:space="0"/>
            </w:tcBorders>
            <w:tcW w:w="4817" w:type="dxa"/>
            <w:vAlign w:val="bottom"/>
            <w:textDirection w:val="lrTb"/>
            <w:noWrap w:val="false"/>
          </w:tcPr>
          <w:p>
            <w:pPr>
              <w:pStyle w:val="1063"/>
              <w:widowControl w:val="off"/>
            </w:pPr>
            <w:r>
              <w:rPr>
                <w:rFonts w:ascii="Arial Narrow" w:hAnsi="Arial Narrow" w:cs="Calibri"/>
                <w:color w:val="000000"/>
                <w:sz w:val="20"/>
                <w:szCs w:val="20"/>
              </w:rPr>
              <w:t xml:space="preserve">Чистая операционная рентабельность</w:t>
            </w:r>
            <w:r/>
          </w:p>
        </w:tc>
        <w:tc>
          <w:tcPr>
            <w:tcBorders>
              <w:top w:val="single" w:color="000000" w:sz="4" w:space="0"/>
              <w:left w:val="single" w:color="000000" w:sz="4" w:space="0"/>
              <w:bottom w:val="single" w:color="000000" w:sz="4" w:space="0"/>
              <w:right w:val="single" w:color="000000" w:sz="4" w:space="0"/>
            </w:tcBorders>
            <w:tcW w:w="609" w:type="dxa"/>
            <w:vAlign w:val="bottom"/>
            <w:textDirection w:val="lrTb"/>
            <w:noWrap w:val="false"/>
          </w:tcPr>
          <w:p>
            <w:pPr>
              <w:pStyle w:val="1063"/>
              <w:jc w:val="center"/>
              <w:widowControl w:val="off"/>
            </w:pPr>
            <w:r>
              <w:rPr>
                <w:rFonts w:ascii="Arial Narrow" w:hAnsi="Arial Narrow" w:cs="Calibri"/>
                <w:color w:val="000000"/>
                <w:sz w:val="20"/>
                <w:szCs w:val="20"/>
              </w:rPr>
              <w:t xml:space="preserve">%</w:t>
            </w:r>
            <w:r/>
          </w:p>
        </w:tc>
        <w:tc>
          <w:tcPr>
            <w:tcBorders>
              <w:top w:val="single" w:color="000000" w:sz="4" w:space="0"/>
              <w:left w:val="single" w:color="000000" w:sz="4" w:space="0"/>
              <w:bottom w:val="single" w:color="000000" w:sz="4" w:space="0"/>
              <w:right w:val="single" w:color="000000" w:sz="4" w:space="0"/>
            </w:tcBorders>
            <w:tcW w:w="1132" w:type="dxa"/>
            <w:vAlign w:val="bottom"/>
            <w:textDirection w:val="lrTb"/>
            <w:noWrap w:val="false"/>
          </w:tcPr>
          <w:p>
            <w:pPr>
              <w:pStyle w:val="1063"/>
              <w:jc w:val="center"/>
              <w:widowControl w:val="off"/>
            </w:pPr>
            <w:r>
              <w:rPr>
                <w:rFonts w:ascii="Arial Narrow" w:hAnsi="Arial Narrow" w:cs="Calibri"/>
                <w:color w:val="000000"/>
                <w:sz w:val="20"/>
                <w:szCs w:val="20"/>
              </w:rPr>
              <w:t xml:space="preserve">100%</w:t>
            </w:r>
            <w:r/>
          </w:p>
        </w:tc>
        <w:tc>
          <w:tcPr>
            <w:tcBorders>
              <w:top w:val="single" w:color="000000" w:sz="4" w:space="0"/>
              <w:left w:val="single" w:color="000000" w:sz="4" w:space="0"/>
              <w:bottom w:val="single" w:color="000000" w:sz="4" w:space="0"/>
              <w:right w:val="single" w:color="000000" w:sz="4" w:space="0"/>
            </w:tcBorders>
            <w:tcW w:w="1134" w:type="dxa"/>
            <w:vAlign w:val="bottom"/>
            <w:textDirection w:val="lrTb"/>
            <w:noWrap w:val="false"/>
          </w:tcPr>
          <w:p>
            <w:pPr>
              <w:pStyle w:val="1063"/>
              <w:jc w:val="center"/>
              <w:widowControl w:val="off"/>
            </w:pPr>
            <w:r>
              <w:rPr>
                <w:rFonts w:ascii="Arial Narrow" w:hAnsi="Arial Narrow" w:cs="Calibri"/>
                <w:color w:val="000000"/>
                <w:sz w:val="20"/>
                <w:szCs w:val="20"/>
              </w:rPr>
              <w:t xml:space="preserve">100%</w:t>
            </w:r>
            <w:r/>
          </w:p>
        </w:tc>
        <w:tc>
          <w:tcPr>
            <w:tcBorders>
              <w:top w:val="single" w:color="000000" w:sz="4" w:space="0"/>
              <w:left w:val="single" w:color="000000" w:sz="4" w:space="0"/>
              <w:bottom w:val="single" w:color="000000" w:sz="4" w:space="0"/>
              <w:right w:val="single" w:color="000000" w:sz="4" w:space="0"/>
            </w:tcBorders>
            <w:tcW w:w="942" w:type="dxa"/>
            <w:vAlign w:val="bottom"/>
            <w:textDirection w:val="lrTb"/>
            <w:noWrap w:val="false"/>
          </w:tcPr>
          <w:p>
            <w:pPr>
              <w:pStyle w:val="1063"/>
              <w:jc w:val="center"/>
              <w:widowControl w:val="off"/>
            </w:pPr>
            <w:r>
              <w:rPr>
                <w:rFonts w:ascii="Arial Narrow" w:hAnsi="Arial Narrow" w:cs="Calibri"/>
                <w:color w:val="000000"/>
                <w:sz w:val="20"/>
                <w:szCs w:val="20"/>
              </w:rPr>
              <w:t xml:space="preserve">100%</w:t>
            </w:r>
            <w:r/>
          </w:p>
        </w:tc>
        <w:tc>
          <w:tcPr>
            <w:tcBorders>
              <w:top w:val="single" w:color="000000" w:sz="4" w:space="0"/>
              <w:left w:val="single" w:color="000000" w:sz="4" w:space="0"/>
              <w:bottom w:val="single" w:color="000000" w:sz="4" w:space="0"/>
              <w:right w:val="single" w:color="000000" w:sz="4" w:space="0"/>
            </w:tcBorders>
            <w:tcW w:w="965" w:type="dxa"/>
            <w:vAlign w:val="bottom"/>
            <w:textDirection w:val="lrTb"/>
            <w:noWrap w:val="false"/>
          </w:tcPr>
          <w:p>
            <w:pPr>
              <w:pStyle w:val="1063"/>
              <w:jc w:val="center"/>
              <w:widowControl w:val="off"/>
            </w:pPr>
            <w:r>
              <w:rPr>
                <w:rFonts w:ascii="Arial Narrow" w:hAnsi="Arial Narrow" w:cs="Calibri"/>
                <w:color w:val="000000"/>
                <w:sz w:val="20"/>
                <w:szCs w:val="20"/>
              </w:rPr>
              <w:t xml:space="preserve">5%</w:t>
            </w:r>
            <w:r/>
          </w:p>
        </w:tc>
      </w:tr>
      <w:tr>
        <w:trPr>
          <w:trHeight w:val="45"/>
        </w:trPr>
        <w:tc>
          <w:tcPr>
            <w:tcBorders>
              <w:top w:val="single" w:color="000000" w:sz="4" w:space="0"/>
              <w:left w:val="single" w:color="000000" w:sz="4" w:space="0"/>
              <w:bottom w:val="single" w:color="000000" w:sz="4" w:space="0"/>
              <w:right w:val="single" w:color="000000" w:sz="4" w:space="0"/>
            </w:tcBorders>
            <w:tcW w:w="460" w:type="dxa"/>
            <w:vAlign w:val="bottom"/>
            <w:textDirection w:val="lrTb"/>
            <w:noWrap w:val="false"/>
          </w:tcPr>
          <w:p>
            <w:pPr>
              <w:pStyle w:val="1063"/>
              <w:jc w:val="center"/>
              <w:widowControl w:val="off"/>
            </w:pPr>
            <w:r>
              <w:rPr>
                <w:rFonts w:ascii="Arial Narrow" w:hAnsi="Arial Narrow" w:cs="Calibri"/>
                <w:color w:val="000000"/>
                <w:sz w:val="20"/>
                <w:szCs w:val="20"/>
              </w:rPr>
              <w:t xml:space="preserve">3</w:t>
            </w:r>
            <w:r/>
          </w:p>
        </w:tc>
        <w:tc>
          <w:tcPr>
            <w:tcBorders>
              <w:top w:val="single" w:color="000000" w:sz="4" w:space="0"/>
              <w:left w:val="single" w:color="000000" w:sz="4" w:space="0"/>
              <w:bottom w:val="single" w:color="000000" w:sz="4" w:space="0"/>
              <w:right w:val="single" w:color="000000" w:sz="4" w:space="0"/>
            </w:tcBorders>
            <w:tcW w:w="4817" w:type="dxa"/>
            <w:vAlign w:val="bottom"/>
            <w:textDirection w:val="lrTb"/>
            <w:noWrap w:val="false"/>
          </w:tcPr>
          <w:p>
            <w:pPr>
              <w:pStyle w:val="1063"/>
              <w:widowControl w:val="off"/>
            </w:pPr>
            <w:r>
              <w:rPr>
                <w:rFonts w:ascii="Arial Narrow" w:hAnsi="Arial Narrow" w:cs="Calibri"/>
                <w:color w:val="000000"/>
                <w:sz w:val="20"/>
                <w:szCs w:val="20"/>
                <w:lang w:val="en-GB"/>
              </w:rPr>
              <w:t xml:space="preserve">EBITDA</w:t>
            </w:r>
            <w:r/>
          </w:p>
        </w:tc>
        <w:tc>
          <w:tcPr>
            <w:tcBorders>
              <w:top w:val="single" w:color="000000" w:sz="4" w:space="0"/>
              <w:left w:val="single" w:color="000000" w:sz="4" w:space="0"/>
              <w:bottom w:val="single" w:color="000000" w:sz="4" w:space="0"/>
              <w:right w:val="single" w:color="000000" w:sz="4" w:space="0"/>
            </w:tcBorders>
            <w:tcW w:w="609" w:type="dxa"/>
            <w:vAlign w:val="bottom"/>
            <w:textDirection w:val="lrTb"/>
            <w:noWrap w:val="false"/>
          </w:tcPr>
          <w:p>
            <w:pPr>
              <w:pStyle w:val="1063"/>
              <w:jc w:val="center"/>
              <w:widowControl w:val="off"/>
            </w:pPr>
            <w:r>
              <w:rPr>
                <w:rFonts w:ascii="Arial Narrow" w:hAnsi="Arial Narrow" w:cs="Calibri"/>
                <w:color w:val="000000"/>
                <w:sz w:val="20"/>
                <w:szCs w:val="20"/>
              </w:rPr>
              <w:t xml:space="preserve">%</w:t>
            </w:r>
            <w:r/>
          </w:p>
        </w:tc>
        <w:tc>
          <w:tcPr>
            <w:tcBorders>
              <w:top w:val="single" w:color="000000" w:sz="4" w:space="0"/>
              <w:left w:val="single" w:color="000000" w:sz="4" w:space="0"/>
              <w:bottom w:val="single" w:color="000000" w:sz="4" w:space="0"/>
              <w:right w:val="single" w:color="000000" w:sz="4" w:space="0"/>
            </w:tcBorders>
            <w:tcW w:w="1132" w:type="dxa"/>
            <w:vAlign w:val="bottom"/>
            <w:textDirection w:val="lrTb"/>
            <w:noWrap w:val="false"/>
          </w:tcPr>
          <w:p>
            <w:pPr>
              <w:pStyle w:val="1063"/>
              <w:jc w:val="center"/>
              <w:widowControl w:val="off"/>
            </w:pPr>
            <w:r>
              <w:rPr>
                <w:rFonts w:ascii="Arial Narrow" w:hAnsi="Arial Narrow" w:cs="Calibri"/>
                <w:color w:val="000000"/>
                <w:sz w:val="20"/>
                <w:szCs w:val="20"/>
              </w:rPr>
              <w:t xml:space="preserve">100</w:t>
            </w:r>
            <w:r>
              <w:rPr>
                <w:rFonts w:ascii="Arial Narrow" w:hAnsi="Arial Narrow" w:cs="Calibri"/>
                <w:color w:val="000000"/>
                <w:sz w:val="20"/>
                <w:szCs w:val="20"/>
                <w:lang w:val="en-GB"/>
              </w:rPr>
              <w:t xml:space="preserve">%</w:t>
            </w:r>
            <w:r/>
          </w:p>
        </w:tc>
        <w:tc>
          <w:tcPr>
            <w:tcBorders>
              <w:top w:val="single" w:color="000000" w:sz="4" w:space="0"/>
              <w:left w:val="single" w:color="000000" w:sz="4" w:space="0"/>
              <w:bottom w:val="single" w:color="000000" w:sz="4" w:space="0"/>
              <w:right w:val="single" w:color="000000" w:sz="4" w:space="0"/>
            </w:tcBorders>
            <w:tcW w:w="1134" w:type="dxa"/>
            <w:vAlign w:val="bottom"/>
            <w:textDirection w:val="lrTb"/>
            <w:noWrap w:val="false"/>
          </w:tcPr>
          <w:p>
            <w:pPr>
              <w:pStyle w:val="1063"/>
              <w:jc w:val="center"/>
              <w:widowControl w:val="off"/>
            </w:pPr>
            <w:r>
              <w:rPr>
                <w:rFonts w:ascii="Arial Narrow" w:hAnsi="Arial Narrow" w:cs="Calibri"/>
                <w:color w:val="000000"/>
                <w:sz w:val="20"/>
                <w:szCs w:val="20"/>
              </w:rPr>
              <w:t xml:space="preserve">100</w:t>
            </w:r>
            <w:r>
              <w:rPr>
                <w:rFonts w:ascii="Arial Narrow" w:hAnsi="Arial Narrow" w:cs="Calibri"/>
                <w:color w:val="000000"/>
                <w:sz w:val="20"/>
                <w:szCs w:val="20"/>
                <w:lang w:val="en-GB"/>
              </w:rPr>
              <w:t xml:space="preserve">%</w:t>
            </w:r>
            <w:r/>
          </w:p>
        </w:tc>
        <w:tc>
          <w:tcPr>
            <w:tcBorders>
              <w:top w:val="single" w:color="000000" w:sz="4" w:space="0"/>
              <w:left w:val="single" w:color="000000" w:sz="4" w:space="0"/>
              <w:bottom w:val="single" w:color="000000" w:sz="4" w:space="0"/>
              <w:right w:val="single" w:color="000000" w:sz="4" w:space="0"/>
            </w:tcBorders>
            <w:tcW w:w="942" w:type="dxa"/>
            <w:vAlign w:val="bottom"/>
            <w:textDirection w:val="lrTb"/>
            <w:noWrap w:val="false"/>
          </w:tcPr>
          <w:p>
            <w:pPr>
              <w:pStyle w:val="1063"/>
              <w:jc w:val="center"/>
              <w:widowControl w:val="off"/>
            </w:pPr>
            <w:r>
              <w:rPr>
                <w:rFonts w:ascii="Arial Narrow" w:hAnsi="Arial Narrow" w:cs="Calibri"/>
                <w:color w:val="000000"/>
                <w:sz w:val="20"/>
                <w:szCs w:val="20"/>
              </w:rPr>
              <w:t xml:space="preserve">100</w:t>
            </w:r>
            <w:r>
              <w:rPr>
                <w:rFonts w:ascii="Arial Narrow" w:hAnsi="Arial Narrow" w:cs="Calibri"/>
                <w:color w:val="000000"/>
                <w:sz w:val="20"/>
                <w:szCs w:val="20"/>
                <w:lang w:val="en-GB"/>
              </w:rPr>
              <w:t xml:space="preserve">%</w:t>
            </w:r>
            <w:r/>
          </w:p>
        </w:tc>
        <w:tc>
          <w:tcPr>
            <w:tcBorders>
              <w:top w:val="single" w:color="000000" w:sz="4" w:space="0"/>
              <w:left w:val="single" w:color="000000" w:sz="4" w:space="0"/>
              <w:bottom w:val="single" w:color="000000" w:sz="4" w:space="0"/>
              <w:right w:val="single" w:color="000000" w:sz="4" w:space="0"/>
            </w:tcBorders>
            <w:tcW w:w="965" w:type="dxa"/>
            <w:vAlign w:val="bottom"/>
            <w:textDirection w:val="lrTb"/>
            <w:noWrap w:val="false"/>
          </w:tcPr>
          <w:p>
            <w:pPr>
              <w:pStyle w:val="1063"/>
              <w:jc w:val="center"/>
              <w:widowControl w:val="off"/>
            </w:pPr>
            <w:r>
              <w:rPr>
                <w:rFonts w:ascii="Arial Narrow" w:hAnsi="Arial Narrow" w:cs="Calibri"/>
                <w:color w:val="000000"/>
                <w:sz w:val="20"/>
                <w:szCs w:val="20"/>
              </w:rPr>
              <w:t xml:space="preserve">5</w:t>
            </w:r>
            <w:r>
              <w:rPr>
                <w:rFonts w:ascii="Arial Narrow" w:hAnsi="Arial Narrow" w:cs="Calibri"/>
                <w:color w:val="000000"/>
                <w:sz w:val="20"/>
                <w:szCs w:val="20"/>
                <w:lang w:val="en-GB"/>
              </w:rPr>
              <w:t xml:space="preserve">%</w:t>
            </w:r>
            <w:r/>
          </w:p>
        </w:tc>
      </w:tr>
      <w:tr>
        <w:trPr>
          <w:trHeight w:val="45"/>
        </w:trPr>
        <w:tc>
          <w:tcPr>
            <w:tcBorders>
              <w:top w:val="single" w:color="000000" w:sz="4" w:space="0"/>
              <w:left w:val="single" w:color="000000" w:sz="4" w:space="0"/>
              <w:bottom w:val="single" w:color="000000" w:sz="4" w:space="0"/>
              <w:right w:val="single" w:color="000000" w:sz="4" w:space="0"/>
            </w:tcBorders>
            <w:tcW w:w="460"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4</w:t>
            </w:r>
            <w:r/>
          </w:p>
        </w:tc>
        <w:tc>
          <w:tcPr>
            <w:tcBorders>
              <w:top w:val="single" w:color="000000" w:sz="4" w:space="0"/>
              <w:left w:val="single" w:color="000000" w:sz="4" w:space="0"/>
              <w:bottom w:val="single" w:color="000000" w:sz="4" w:space="0"/>
              <w:right w:val="single" w:color="000000" w:sz="4" w:space="0"/>
            </w:tcBorders>
            <w:tcW w:w="4817" w:type="dxa"/>
            <w:vAlign w:val="bottom"/>
            <w:textDirection w:val="lrTb"/>
            <w:noWrap w:val="false"/>
          </w:tcPr>
          <w:p>
            <w:pPr>
              <w:pStyle w:val="1063"/>
              <w:widowControl w:val="off"/>
            </w:pPr>
            <w:r>
              <w:rPr>
                <w:rFonts w:ascii="Arial Narrow" w:hAnsi="Arial Narrow" w:cs="Calibri"/>
                <w:color w:val="000000"/>
                <w:sz w:val="20"/>
                <w:szCs w:val="20"/>
                <w:lang w:val="en-GB"/>
              </w:rPr>
              <w:t xml:space="preserve">Чистый долг/EBITDA</w:t>
            </w:r>
            <w:r/>
          </w:p>
        </w:tc>
        <w:tc>
          <w:tcPr>
            <w:tcBorders>
              <w:top w:val="single" w:color="000000" w:sz="4" w:space="0"/>
              <w:left w:val="single" w:color="000000" w:sz="4" w:space="0"/>
              <w:bottom w:val="single" w:color="000000" w:sz="4" w:space="0"/>
              <w:right w:val="single" w:color="000000" w:sz="4" w:space="0"/>
            </w:tcBorders>
            <w:tcW w:w="609"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w:t>
            </w:r>
            <w:r/>
          </w:p>
        </w:tc>
        <w:tc>
          <w:tcPr>
            <w:tcBorders>
              <w:top w:val="single" w:color="000000" w:sz="4" w:space="0"/>
              <w:left w:val="single" w:color="000000" w:sz="4" w:space="0"/>
              <w:bottom w:val="single" w:color="000000" w:sz="4" w:space="0"/>
              <w:right w:val="single" w:color="000000" w:sz="4" w:space="0"/>
            </w:tcBorders>
            <w:tcW w:w="1132"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100%</w:t>
            </w:r>
            <w:r/>
          </w:p>
        </w:tc>
        <w:tc>
          <w:tcPr>
            <w:tcBorders>
              <w:top w:val="single" w:color="000000" w:sz="4" w:space="0"/>
              <w:left w:val="single" w:color="000000" w:sz="4" w:space="0"/>
              <w:bottom w:val="single" w:color="000000" w:sz="4" w:space="0"/>
              <w:right w:val="single" w:color="000000" w:sz="4" w:space="0"/>
            </w:tcBorders>
            <w:tcW w:w="1134"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100%</w:t>
            </w:r>
            <w:r/>
          </w:p>
        </w:tc>
        <w:tc>
          <w:tcPr>
            <w:tcBorders>
              <w:top w:val="single" w:color="000000" w:sz="4" w:space="0"/>
              <w:left w:val="single" w:color="000000" w:sz="4" w:space="0"/>
              <w:bottom w:val="single" w:color="000000" w:sz="4" w:space="0"/>
              <w:right w:val="single" w:color="000000" w:sz="4" w:space="0"/>
            </w:tcBorders>
            <w:tcW w:w="942" w:type="dxa"/>
            <w:vAlign w:val="bottom"/>
            <w:textDirection w:val="lrTb"/>
            <w:noWrap w:val="false"/>
          </w:tcPr>
          <w:p>
            <w:pPr>
              <w:pStyle w:val="1063"/>
              <w:jc w:val="center"/>
              <w:widowControl w:val="off"/>
            </w:pPr>
            <w:r>
              <w:rPr>
                <w:rFonts w:ascii="Arial Narrow" w:hAnsi="Arial Narrow" w:cs="Calibri"/>
                <w:color w:val="000000"/>
                <w:sz w:val="20"/>
                <w:szCs w:val="20"/>
              </w:rPr>
              <w:t xml:space="preserve">100</w:t>
            </w:r>
            <w:r>
              <w:rPr>
                <w:rFonts w:ascii="Arial Narrow" w:hAnsi="Arial Narrow" w:cs="Calibri"/>
                <w:color w:val="000000"/>
                <w:sz w:val="20"/>
                <w:szCs w:val="20"/>
                <w:lang w:val="en-GB"/>
              </w:rPr>
              <w:t xml:space="preserve">%</w:t>
            </w:r>
            <w:r/>
          </w:p>
        </w:tc>
        <w:tc>
          <w:tcPr>
            <w:tcBorders>
              <w:top w:val="single" w:color="000000" w:sz="4" w:space="0"/>
              <w:left w:val="single" w:color="000000" w:sz="4" w:space="0"/>
              <w:bottom w:val="single" w:color="000000" w:sz="4" w:space="0"/>
              <w:right w:val="single" w:color="000000" w:sz="4" w:space="0"/>
            </w:tcBorders>
            <w:tcW w:w="965"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5%</w:t>
            </w:r>
            <w:r/>
          </w:p>
        </w:tc>
      </w:tr>
      <w:tr>
        <w:trPr>
          <w:trHeight w:val="254"/>
        </w:trPr>
        <w:tc>
          <w:tcPr>
            <w:tcBorders>
              <w:top w:val="single" w:color="000000" w:sz="4" w:space="0"/>
              <w:left w:val="single" w:color="000000" w:sz="4" w:space="0"/>
              <w:bottom w:val="single" w:color="000000" w:sz="4" w:space="0"/>
              <w:right w:val="single" w:color="000000" w:sz="4" w:space="0"/>
            </w:tcBorders>
            <w:tcW w:w="460"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5</w:t>
            </w:r>
            <w:r/>
          </w:p>
        </w:tc>
        <w:tc>
          <w:tcPr>
            <w:tcBorders>
              <w:top w:val="single" w:color="000000" w:sz="4" w:space="0"/>
              <w:left w:val="single" w:color="000000" w:sz="4" w:space="0"/>
              <w:bottom w:val="single" w:color="000000" w:sz="4" w:space="0"/>
              <w:right w:val="single" w:color="000000" w:sz="4" w:space="0"/>
            </w:tcBorders>
            <w:tcW w:w="4817" w:type="dxa"/>
            <w:vAlign w:val="bottom"/>
            <w:textDirection w:val="lrTb"/>
            <w:noWrap w:val="false"/>
          </w:tcPr>
          <w:p>
            <w:pPr>
              <w:pStyle w:val="1063"/>
              <w:widowControl w:val="off"/>
            </w:pPr>
            <w:r>
              <w:rPr>
                <w:rFonts w:ascii="Arial Narrow" w:hAnsi="Arial Narrow" w:cs="Calibri"/>
                <w:color w:val="000000"/>
                <w:sz w:val="20"/>
                <w:szCs w:val="20"/>
                <w:lang w:val="en-GB"/>
              </w:rPr>
              <w:t xml:space="preserve">Уровень оплаты энергоресурсов</w:t>
            </w:r>
            <w:r/>
          </w:p>
        </w:tc>
        <w:tc>
          <w:tcPr>
            <w:tcBorders>
              <w:top w:val="single" w:color="000000" w:sz="4" w:space="0"/>
              <w:left w:val="single" w:color="000000" w:sz="4" w:space="0"/>
              <w:bottom w:val="single" w:color="000000" w:sz="4" w:space="0"/>
              <w:right w:val="single" w:color="000000" w:sz="4" w:space="0"/>
            </w:tcBorders>
            <w:tcW w:w="609"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w:t>
            </w:r>
            <w:r/>
          </w:p>
        </w:tc>
        <w:tc>
          <w:tcPr>
            <w:tcBorders>
              <w:top w:val="single" w:color="000000" w:sz="4" w:space="0"/>
              <w:left w:val="single" w:color="000000" w:sz="4" w:space="0"/>
              <w:bottom w:val="single" w:color="000000" w:sz="4" w:space="0"/>
              <w:right w:val="single" w:color="000000" w:sz="4" w:space="0"/>
            </w:tcBorders>
            <w:tcW w:w="1132"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100%</w:t>
            </w:r>
            <w:r/>
          </w:p>
        </w:tc>
        <w:tc>
          <w:tcPr>
            <w:tcBorders>
              <w:top w:val="single" w:color="000000" w:sz="4" w:space="0"/>
              <w:left w:val="single" w:color="000000" w:sz="4" w:space="0"/>
              <w:bottom w:val="single" w:color="000000" w:sz="4" w:space="0"/>
              <w:right w:val="single" w:color="000000" w:sz="4" w:space="0"/>
            </w:tcBorders>
            <w:tcW w:w="1134"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100%</w:t>
            </w:r>
            <w:r/>
          </w:p>
        </w:tc>
        <w:tc>
          <w:tcPr>
            <w:tcBorders>
              <w:top w:val="single" w:color="000000" w:sz="4" w:space="0"/>
              <w:left w:val="single" w:color="000000" w:sz="4" w:space="0"/>
              <w:bottom w:val="single" w:color="000000" w:sz="4" w:space="0"/>
              <w:right w:val="single" w:color="000000" w:sz="4" w:space="0"/>
            </w:tcBorders>
            <w:tcW w:w="942"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100%</w:t>
            </w:r>
            <w:r/>
          </w:p>
        </w:tc>
        <w:tc>
          <w:tcPr>
            <w:tcBorders>
              <w:top w:val="single" w:color="000000" w:sz="4" w:space="0"/>
              <w:left w:val="single" w:color="000000" w:sz="4" w:space="0"/>
              <w:bottom w:val="single" w:color="000000" w:sz="4" w:space="0"/>
              <w:right w:val="single" w:color="000000" w:sz="4" w:space="0"/>
            </w:tcBorders>
            <w:tcW w:w="965"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10%</w:t>
            </w:r>
            <w:r/>
          </w:p>
        </w:tc>
      </w:tr>
      <w:tr>
        <w:trPr>
          <w:trHeight w:val="40"/>
        </w:trPr>
        <w:tc>
          <w:tcPr>
            <w:gridSpan w:val="7"/>
            <w:tcBorders>
              <w:top w:val="single" w:color="000000" w:sz="4" w:space="0"/>
              <w:left w:val="single" w:color="000000" w:sz="4" w:space="0"/>
              <w:bottom w:val="single" w:color="000000" w:sz="4" w:space="0"/>
              <w:right w:val="single" w:color="000000" w:sz="4" w:space="0"/>
            </w:tcBorders>
            <w:tcW w:w="10059" w:type="dxa"/>
            <w:vAlign w:val="bottom"/>
            <w:textDirection w:val="lrTb"/>
            <w:noWrap w:val="false"/>
          </w:tcPr>
          <w:p>
            <w:pPr>
              <w:pStyle w:val="1063"/>
              <w:jc w:val="center"/>
              <w:widowControl w:val="off"/>
            </w:pPr>
            <w:r>
              <w:rPr>
                <w:rFonts w:ascii="Arial Narrow" w:hAnsi="Arial Narrow" w:cs="Calibri"/>
                <w:color w:val="000000"/>
                <w:sz w:val="20"/>
                <w:szCs w:val="20"/>
              </w:rPr>
              <w:t xml:space="preserve">КПЭ специализированные отраслевые</w:t>
            </w:r>
            <w:r/>
          </w:p>
        </w:tc>
      </w:tr>
      <w:tr>
        <w:trPr>
          <w:trHeight w:val="45"/>
        </w:trPr>
        <w:tc>
          <w:tcPr>
            <w:tcBorders>
              <w:top w:val="single" w:color="000000" w:sz="4" w:space="0"/>
              <w:left w:val="single" w:color="000000" w:sz="4" w:space="0"/>
              <w:bottom w:val="single" w:color="000000" w:sz="4" w:space="0"/>
              <w:right w:val="single" w:color="000000" w:sz="4" w:space="0"/>
            </w:tcBorders>
            <w:tcW w:w="460"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6</w:t>
            </w:r>
            <w:r/>
          </w:p>
        </w:tc>
        <w:tc>
          <w:tcPr>
            <w:tcBorders>
              <w:top w:val="single" w:color="000000" w:sz="4" w:space="0"/>
              <w:left w:val="single" w:color="000000" w:sz="4" w:space="0"/>
              <w:bottom w:val="single" w:color="000000" w:sz="4" w:space="0"/>
              <w:right w:val="single" w:color="000000" w:sz="4" w:space="0"/>
            </w:tcBorders>
            <w:tcW w:w="4817" w:type="dxa"/>
            <w:vAlign w:val="bottom"/>
            <w:textDirection w:val="lrTb"/>
            <w:noWrap w:val="false"/>
          </w:tcPr>
          <w:p>
            <w:pPr>
              <w:pStyle w:val="1063"/>
              <w:widowControl w:val="off"/>
            </w:pPr>
            <w:r>
              <w:rPr>
                <w:rFonts w:ascii="Arial Narrow" w:hAnsi="Arial Narrow" w:cs="Calibri"/>
                <w:color w:val="000000"/>
                <w:sz w:val="20"/>
                <w:szCs w:val="20"/>
                <w:lang w:val="en-GB"/>
              </w:rPr>
              <w:t xml:space="preserve">Установленная электрическая мощность</w:t>
            </w:r>
            <w:r/>
          </w:p>
        </w:tc>
        <w:tc>
          <w:tcPr>
            <w:tcBorders>
              <w:top w:val="single" w:color="000000" w:sz="4" w:space="0"/>
              <w:left w:val="single" w:color="000000" w:sz="4" w:space="0"/>
              <w:bottom w:val="single" w:color="000000" w:sz="4" w:space="0"/>
              <w:right w:val="single" w:color="000000" w:sz="4" w:space="0"/>
            </w:tcBorders>
            <w:tcW w:w="609"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w:t>
            </w:r>
            <w:r/>
          </w:p>
        </w:tc>
        <w:tc>
          <w:tcPr>
            <w:tcBorders>
              <w:top w:val="single" w:color="000000" w:sz="4" w:space="0"/>
              <w:left w:val="single" w:color="000000" w:sz="4" w:space="0"/>
              <w:bottom w:val="single" w:color="000000" w:sz="4" w:space="0"/>
              <w:right w:val="single" w:color="000000" w:sz="4" w:space="0"/>
            </w:tcBorders>
            <w:tcW w:w="1132"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100%</w:t>
            </w:r>
            <w:r/>
          </w:p>
        </w:tc>
        <w:tc>
          <w:tcPr>
            <w:tcBorders>
              <w:top w:val="single" w:color="000000" w:sz="4" w:space="0"/>
              <w:left w:val="single" w:color="000000" w:sz="4" w:space="0"/>
              <w:bottom w:val="single" w:color="000000" w:sz="4" w:space="0"/>
              <w:right w:val="single" w:color="000000" w:sz="4" w:space="0"/>
            </w:tcBorders>
            <w:tcW w:w="1134"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100%</w:t>
            </w:r>
            <w:r/>
          </w:p>
        </w:tc>
        <w:tc>
          <w:tcPr>
            <w:tcBorders>
              <w:top w:val="single" w:color="000000" w:sz="4" w:space="0"/>
              <w:left w:val="single" w:color="000000" w:sz="4" w:space="0"/>
              <w:bottom w:val="single" w:color="000000" w:sz="4" w:space="0"/>
              <w:right w:val="single" w:color="000000" w:sz="4" w:space="0"/>
            </w:tcBorders>
            <w:tcW w:w="942"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100%</w:t>
            </w:r>
            <w:r/>
          </w:p>
        </w:tc>
        <w:tc>
          <w:tcPr>
            <w:tcBorders>
              <w:top w:val="single" w:color="000000" w:sz="4" w:space="0"/>
              <w:left w:val="single" w:color="000000" w:sz="4" w:space="0"/>
              <w:bottom w:val="single" w:color="000000" w:sz="4" w:space="0"/>
              <w:right w:val="single" w:color="000000" w:sz="4" w:space="0"/>
            </w:tcBorders>
            <w:tcW w:w="965"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5%</w:t>
            </w:r>
            <w:r/>
          </w:p>
        </w:tc>
      </w:tr>
      <w:tr>
        <w:trPr>
          <w:trHeight w:val="280"/>
        </w:trPr>
        <w:tc>
          <w:tcPr>
            <w:tcBorders>
              <w:top w:val="single" w:color="000000" w:sz="4" w:space="0"/>
              <w:left w:val="single" w:color="000000" w:sz="4" w:space="0"/>
              <w:bottom w:val="single" w:color="000000" w:sz="4" w:space="0"/>
              <w:right w:val="single" w:color="000000" w:sz="4" w:space="0"/>
            </w:tcBorders>
            <w:tcW w:w="460"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7</w:t>
            </w:r>
            <w:r/>
          </w:p>
        </w:tc>
        <w:tc>
          <w:tcPr>
            <w:tcBorders>
              <w:top w:val="single" w:color="000000" w:sz="4" w:space="0"/>
              <w:left w:val="single" w:color="000000" w:sz="4" w:space="0"/>
              <w:bottom w:val="single" w:color="000000" w:sz="4" w:space="0"/>
              <w:right w:val="single" w:color="000000" w:sz="4" w:space="0"/>
            </w:tcBorders>
            <w:tcW w:w="4817" w:type="dxa"/>
            <w:vAlign w:val="bottom"/>
            <w:textDirection w:val="lrTb"/>
            <w:noWrap w:val="false"/>
          </w:tcPr>
          <w:p>
            <w:pPr>
              <w:pStyle w:val="1063"/>
              <w:widowControl w:val="off"/>
            </w:pPr>
            <w:r>
              <w:rPr>
                <w:rFonts w:ascii="Arial Narrow" w:hAnsi="Arial Narrow" w:cs="Calibri"/>
                <w:color w:val="000000"/>
                <w:sz w:val="20"/>
                <w:szCs w:val="20"/>
                <w:lang w:val="en-GB"/>
              </w:rPr>
              <w:t xml:space="preserve">Уровень потерь электрической энергии</w:t>
            </w:r>
            <w:r/>
          </w:p>
        </w:tc>
        <w:tc>
          <w:tcPr>
            <w:tcBorders>
              <w:top w:val="single" w:color="000000" w:sz="4" w:space="0"/>
              <w:left w:val="single" w:color="000000" w:sz="4" w:space="0"/>
              <w:bottom w:val="single" w:color="000000" w:sz="4" w:space="0"/>
              <w:right w:val="single" w:color="000000" w:sz="4" w:space="0"/>
            </w:tcBorders>
            <w:tcW w:w="609"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w:t>
            </w:r>
            <w:r/>
          </w:p>
        </w:tc>
        <w:tc>
          <w:tcPr>
            <w:tcBorders>
              <w:top w:val="single" w:color="000000" w:sz="4" w:space="0"/>
              <w:left w:val="single" w:color="000000" w:sz="4" w:space="0"/>
              <w:bottom w:val="single" w:color="000000" w:sz="4" w:space="0"/>
              <w:right w:val="single" w:color="000000" w:sz="4" w:space="0"/>
            </w:tcBorders>
            <w:tcW w:w="1132"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12,24%</w:t>
            </w:r>
            <w:r/>
          </w:p>
        </w:tc>
        <w:tc>
          <w:tcPr>
            <w:tcBorders>
              <w:top w:val="single" w:color="000000" w:sz="4" w:space="0"/>
              <w:left w:val="single" w:color="000000" w:sz="4" w:space="0"/>
              <w:bottom w:val="single" w:color="000000" w:sz="4" w:space="0"/>
              <w:right w:val="single" w:color="000000" w:sz="4" w:space="0"/>
            </w:tcBorders>
            <w:tcW w:w="1134"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12,24%</w:t>
            </w:r>
            <w:r/>
          </w:p>
        </w:tc>
        <w:tc>
          <w:tcPr>
            <w:tcBorders>
              <w:top w:val="single" w:color="000000" w:sz="4" w:space="0"/>
              <w:left w:val="single" w:color="000000" w:sz="4" w:space="0"/>
              <w:bottom w:val="single" w:color="000000" w:sz="4" w:space="0"/>
              <w:right w:val="single" w:color="000000" w:sz="4" w:space="0"/>
            </w:tcBorders>
            <w:tcW w:w="942"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12,15%</w:t>
            </w:r>
            <w:r/>
          </w:p>
        </w:tc>
        <w:tc>
          <w:tcPr>
            <w:tcBorders>
              <w:top w:val="single" w:color="000000" w:sz="4" w:space="0"/>
              <w:left w:val="single" w:color="000000" w:sz="4" w:space="0"/>
              <w:bottom w:val="single" w:color="000000" w:sz="4" w:space="0"/>
              <w:right w:val="single" w:color="000000" w:sz="4" w:space="0"/>
            </w:tcBorders>
            <w:tcW w:w="965"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10%</w:t>
            </w:r>
            <w:r/>
          </w:p>
        </w:tc>
      </w:tr>
      <w:tr>
        <w:trPr>
          <w:trHeight w:val="270"/>
        </w:trPr>
        <w:tc>
          <w:tcPr>
            <w:tcBorders>
              <w:top w:val="single" w:color="000000" w:sz="4" w:space="0"/>
              <w:left w:val="single" w:color="000000" w:sz="4" w:space="0"/>
              <w:bottom w:val="single" w:color="000000" w:sz="4" w:space="0"/>
              <w:right w:val="single" w:color="000000" w:sz="4" w:space="0"/>
            </w:tcBorders>
            <w:tcW w:w="460"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8</w:t>
            </w:r>
            <w:r/>
          </w:p>
        </w:tc>
        <w:tc>
          <w:tcPr>
            <w:tcBorders>
              <w:top w:val="single" w:color="000000" w:sz="4" w:space="0"/>
              <w:left w:val="single" w:color="000000" w:sz="4" w:space="0"/>
              <w:bottom w:val="single" w:color="000000" w:sz="4" w:space="0"/>
              <w:right w:val="single" w:color="000000" w:sz="4" w:space="0"/>
            </w:tcBorders>
            <w:tcW w:w="4817" w:type="dxa"/>
            <w:vAlign w:val="bottom"/>
            <w:textDirection w:val="lrTb"/>
            <w:noWrap w:val="false"/>
          </w:tcPr>
          <w:p>
            <w:pPr>
              <w:pStyle w:val="1063"/>
              <w:widowControl w:val="off"/>
            </w:pPr>
            <w:r>
              <w:rPr>
                <w:rFonts w:ascii="Arial Narrow" w:hAnsi="Arial Narrow" w:cs="Calibri"/>
                <w:color w:val="000000"/>
                <w:sz w:val="20"/>
                <w:szCs w:val="20"/>
                <w:lang w:val="en-GB"/>
              </w:rPr>
              <w:t xml:space="preserve">Уровень потерь тепловой энергии</w:t>
            </w:r>
            <w:r/>
          </w:p>
        </w:tc>
        <w:tc>
          <w:tcPr>
            <w:tcBorders>
              <w:top w:val="single" w:color="000000" w:sz="4" w:space="0"/>
              <w:left w:val="single" w:color="000000" w:sz="4" w:space="0"/>
              <w:bottom w:val="single" w:color="000000" w:sz="4" w:space="0"/>
              <w:right w:val="single" w:color="000000" w:sz="4" w:space="0"/>
            </w:tcBorders>
            <w:tcW w:w="609"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w:t>
            </w:r>
            <w:r/>
          </w:p>
        </w:tc>
        <w:tc>
          <w:tcPr>
            <w:tcBorders>
              <w:top w:val="single" w:color="000000" w:sz="4" w:space="0"/>
              <w:left w:val="single" w:color="000000" w:sz="4" w:space="0"/>
              <w:bottom w:val="single" w:color="000000" w:sz="4" w:space="0"/>
              <w:right w:val="single" w:color="000000" w:sz="4" w:space="0"/>
            </w:tcBorders>
            <w:tcW w:w="1132"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100%</w:t>
            </w:r>
            <w:r/>
          </w:p>
        </w:tc>
        <w:tc>
          <w:tcPr>
            <w:tcBorders>
              <w:top w:val="single" w:color="000000" w:sz="4" w:space="0"/>
              <w:left w:val="single" w:color="000000" w:sz="4" w:space="0"/>
              <w:bottom w:val="single" w:color="000000" w:sz="4" w:space="0"/>
              <w:right w:val="single" w:color="000000" w:sz="4" w:space="0"/>
            </w:tcBorders>
            <w:tcW w:w="1134"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100%</w:t>
            </w:r>
            <w:r/>
          </w:p>
        </w:tc>
        <w:tc>
          <w:tcPr>
            <w:tcBorders>
              <w:top w:val="single" w:color="000000" w:sz="4" w:space="0"/>
              <w:left w:val="single" w:color="000000" w:sz="4" w:space="0"/>
              <w:bottom w:val="single" w:color="000000" w:sz="4" w:space="0"/>
              <w:right w:val="single" w:color="000000" w:sz="4" w:space="0"/>
            </w:tcBorders>
            <w:tcW w:w="942"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100%</w:t>
            </w:r>
            <w:r/>
          </w:p>
        </w:tc>
        <w:tc>
          <w:tcPr>
            <w:tcBorders>
              <w:top w:val="single" w:color="000000" w:sz="4" w:space="0"/>
              <w:left w:val="single" w:color="000000" w:sz="4" w:space="0"/>
              <w:bottom w:val="single" w:color="000000" w:sz="4" w:space="0"/>
              <w:right w:val="single" w:color="000000" w:sz="4" w:space="0"/>
            </w:tcBorders>
            <w:tcW w:w="965"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10%</w:t>
            </w:r>
            <w:r/>
          </w:p>
        </w:tc>
      </w:tr>
      <w:tr>
        <w:trPr>
          <w:trHeight w:val="45"/>
        </w:trPr>
        <w:tc>
          <w:tcPr>
            <w:tcBorders>
              <w:top w:val="single" w:color="000000" w:sz="4" w:space="0"/>
              <w:left w:val="single" w:color="000000" w:sz="4" w:space="0"/>
              <w:bottom w:val="single" w:color="000000" w:sz="4" w:space="0"/>
              <w:right w:val="single" w:color="000000" w:sz="4" w:space="0"/>
            </w:tcBorders>
            <w:tcW w:w="460" w:type="dxa"/>
            <w:vAlign w:val="bottom"/>
            <w:textDirection w:val="lrTb"/>
            <w:noWrap w:val="false"/>
          </w:tcPr>
          <w:p>
            <w:pPr>
              <w:pStyle w:val="1063"/>
              <w:jc w:val="center"/>
              <w:widowControl w:val="off"/>
            </w:pPr>
            <w:r>
              <w:rPr>
                <w:rFonts w:ascii="Arial Narrow" w:hAnsi="Arial Narrow" w:cs="Calibri"/>
                <w:color w:val="000000"/>
                <w:sz w:val="20"/>
                <w:szCs w:val="20"/>
              </w:rPr>
              <w:t xml:space="preserve">9</w:t>
            </w:r>
            <w:r/>
          </w:p>
        </w:tc>
        <w:tc>
          <w:tcPr>
            <w:tcBorders>
              <w:top w:val="single" w:color="000000" w:sz="4" w:space="0"/>
              <w:left w:val="single" w:color="000000" w:sz="4" w:space="0"/>
              <w:bottom w:val="single" w:color="000000" w:sz="4" w:space="0"/>
              <w:right w:val="single" w:color="000000" w:sz="4" w:space="0"/>
            </w:tcBorders>
            <w:tcW w:w="4817" w:type="dxa"/>
            <w:vAlign w:val="bottom"/>
            <w:textDirection w:val="lrTb"/>
            <w:noWrap w:val="false"/>
          </w:tcPr>
          <w:p>
            <w:pPr>
              <w:pStyle w:val="1063"/>
              <w:widowControl w:val="off"/>
            </w:pPr>
            <w:r>
              <w:rPr>
                <w:rFonts w:ascii="Arial Narrow" w:hAnsi="Arial Narrow" w:cs="Calibri"/>
                <w:color w:val="000000"/>
                <w:sz w:val="20"/>
                <w:szCs w:val="20"/>
              </w:rPr>
              <w:t xml:space="preserve">Качество осуществления технологического присоединения</w:t>
            </w:r>
            <w:r/>
          </w:p>
        </w:tc>
        <w:tc>
          <w:tcPr>
            <w:tcBorders>
              <w:top w:val="single" w:color="000000" w:sz="4" w:space="0"/>
              <w:left w:val="single" w:color="000000" w:sz="4" w:space="0"/>
              <w:bottom w:val="single" w:color="000000" w:sz="4" w:space="0"/>
              <w:right w:val="single" w:color="000000" w:sz="4" w:space="0"/>
            </w:tcBorders>
            <w:tcW w:w="609" w:type="dxa"/>
            <w:vAlign w:val="bottom"/>
            <w:textDirection w:val="lrTb"/>
            <w:noWrap w:val="false"/>
          </w:tcPr>
          <w:p>
            <w:pPr>
              <w:pStyle w:val="1063"/>
              <w:jc w:val="center"/>
              <w:widowControl w:val="off"/>
            </w:pPr>
            <w:r>
              <w:rPr>
                <w:rFonts w:ascii="Arial Narrow" w:hAnsi="Arial Narrow" w:cs="Calibri"/>
                <w:color w:val="000000"/>
                <w:sz w:val="20"/>
                <w:szCs w:val="20"/>
              </w:rPr>
              <w:t xml:space="preserve">%</w:t>
            </w:r>
            <w:r/>
          </w:p>
        </w:tc>
        <w:tc>
          <w:tcPr>
            <w:tcBorders>
              <w:top w:val="single" w:color="000000" w:sz="4" w:space="0"/>
              <w:left w:val="single" w:color="000000" w:sz="4" w:space="0"/>
              <w:bottom w:val="single" w:color="000000" w:sz="4" w:space="0"/>
              <w:right w:val="single" w:color="000000" w:sz="4" w:space="0"/>
            </w:tcBorders>
            <w:tcW w:w="1132" w:type="dxa"/>
            <w:vAlign w:val="bottom"/>
            <w:textDirection w:val="lrTb"/>
            <w:noWrap w:val="false"/>
          </w:tcPr>
          <w:p>
            <w:pPr>
              <w:pStyle w:val="1063"/>
              <w:jc w:val="center"/>
              <w:widowControl w:val="off"/>
            </w:pPr>
            <w:r>
              <w:rPr>
                <w:rFonts w:ascii="Arial Narrow" w:hAnsi="Arial Narrow" w:cs="Calibri"/>
                <w:color w:val="000000"/>
                <w:sz w:val="20"/>
                <w:szCs w:val="20"/>
              </w:rPr>
              <w:t xml:space="preserve">90%</w:t>
            </w:r>
            <w:r/>
          </w:p>
        </w:tc>
        <w:tc>
          <w:tcPr>
            <w:tcBorders>
              <w:top w:val="single" w:color="000000" w:sz="4" w:space="0"/>
              <w:left w:val="single" w:color="000000" w:sz="4" w:space="0"/>
              <w:bottom w:val="single" w:color="000000" w:sz="4" w:space="0"/>
              <w:right w:val="single" w:color="000000" w:sz="4" w:space="0"/>
            </w:tcBorders>
            <w:tcW w:w="1134" w:type="dxa"/>
            <w:vAlign w:val="bottom"/>
            <w:textDirection w:val="lrTb"/>
            <w:noWrap w:val="false"/>
          </w:tcPr>
          <w:p>
            <w:pPr>
              <w:pStyle w:val="1063"/>
              <w:jc w:val="center"/>
              <w:widowControl w:val="off"/>
            </w:pPr>
            <w:r>
              <w:rPr>
                <w:rFonts w:ascii="Arial Narrow" w:hAnsi="Arial Narrow" w:cs="Calibri"/>
                <w:color w:val="000000"/>
                <w:sz w:val="20"/>
                <w:szCs w:val="20"/>
              </w:rPr>
              <w:t xml:space="preserve">90%</w:t>
            </w:r>
            <w:r/>
          </w:p>
        </w:tc>
        <w:tc>
          <w:tcPr>
            <w:tcBorders>
              <w:top w:val="single" w:color="000000" w:sz="4" w:space="0"/>
              <w:left w:val="single" w:color="000000" w:sz="4" w:space="0"/>
              <w:bottom w:val="single" w:color="000000" w:sz="4" w:space="0"/>
              <w:right w:val="single" w:color="000000" w:sz="4" w:space="0"/>
            </w:tcBorders>
            <w:tcW w:w="942" w:type="dxa"/>
            <w:vAlign w:val="bottom"/>
            <w:textDirection w:val="lrTb"/>
            <w:noWrap w:val="false"/>
          </w:tcPr>
          <w:p>
            <w:pPr>
              <w:pStyle w:val="1063"/>
              <w:jc w:val="center"/>
              <w:widowControl w:val="off"/>
            </w:pPr>
            <w:r>
              <w:rPr>
                <w:rFonts w:ascii="Arial Narrow" w:hAnsi="Arial Narrow" w:cs="Calibri"/>
                <w:color w:val="000000"/>
                <w:sz w:val="20"/>
                <w:szCs w:val="20"/>
              </w:rPr>
              <w:t xml:space="preserve">90%</w:t>
            </w:r>
            <w:r/>
          </w:p>
        </w:tc>
        <w:tc>
          <w:tcPr>
            <w:tcBorders>
              <w:top w:val="single" w:color="000000" w:sz="4" w:space="0"/>
              <w:left w:val="single" w:color="000000" w:sz="4" w:space="0"/>
              <w:bottom w:val="single" w:color="000000" w:sz="4" w:space="0"/>
              <w:right w:val="single" w:color="000000" w:sz="4" w:space="0"/>
            </w:tcBorders>
            <w:tcW w:w="965" w:type="dxa"/>
            <w:vAlign w:val="bottom"/>
            <w:textDirection w:val="lrTb"/>
            <w:noWrap w:val="false"/>
          </w:tcPr>
          <w:p>
            <w:pPr>
              <w:pStyle w:val="1063"/>
              <w:jc w:val="center"/>
              <w:widowControl w:val="off"/>
            </w:pPr>
            <w:r>
              <w:rPr>
                <w:rFonts w:ascii="Arial Narrow" w:hAnsi="Arial Narrow" w:cs="Calibri"/>
                <w:color w:val="000000"/>
                <w:sz w:val="20"/>
                <w:szCs w:val="20"/>
              </w:rPr>
              <w:t xml:space="preserve">10%</w:t>
            </w:r>
            <w:r/>
          </w:p>
        </w:tc>
      </w:tr>
      <w:tr>
        <w:trPr>
          <w:trHeight w:val="480"/>
        </w:trPr>
        <w:tc>
          <w:tcPr>
            <w:tcBorders>
              <w:top w:val="single" w:color="000000" w:sz="4" w:space="0"/>
              <w:left w:val="single" w:color="000000" w:sz="4" w:space="0"/>
              <w:bottom w:val="single" w:color="000000" w:sz="4" w:space="0"/>
              <w:right w:val="single" w:color="000000" w:sz="4" w:space="0"/>
            </w:tcBorders>
            <w:tcW w:w="460" w:type="dxa"/>
            <w:vAlign w:val="bottom"/>
            <w:textDirection w:val="lrTb"/>
            <w:noWrap w:val="false"/>
          </w:tcPr>
          <w:p>
            <w:pPr>
              <w:pStyle w:val="1063"/>
              <w:jc w:val="center"/>
              <w:widowControl w:val="off"/>
            </w:pPr>
            <w:r>
              <w:rPr>
                <w:rFonts w:ascii="Arial Narrow" w:hAnsi="Arial Narrow" w:cs="Calibri"/>
                <w:color w:val="000000"/>
                <w:sz w:val="20"/>
                <w:szCs w:val="20"/>
              </w:rPr>
              <w:t xml:space="preserve">10</w:t>
            </w:r>
            <w:r/>
          </w:p>
        </w:tc>
        <w:tc>
          <w:tcPr>
            <w:tcBorders>
              <w:top w:val="single" w:color="000000" w:sz="4" w:space="0"/>
              <w:left w:val="single" w:color="000000" w:sz="4" w:space="0"/>
              <w:bottom w:val="single" w:color="000000" w:sz="4" w:space="0"/>
              <w:right w:val="single" w:color="000000" w:sz="4" w:space="0"/>
            </w:tcBorders>
            <w:tcW w:w="4817" w:type="dxa"/>
            <w:vAlign w:val="bottom"/>
            <w:textDirection w:val="lrTb"/>
            <w:noWrap w:val="false"/>
          </w:tcPr>
          <w:p>
            <w:pPr>
              <w:pStyle w:val="1063"/>
              <w:jc w:val="both"/>
              <w:widowControl w:val="off"/>
            </w:pPr>
            <w:r>
              <w:rPr>
                <w:rFonts w:ascii="Arial Narrow" w:hAnsi="Arial Narrow" w:cs="Calibri"/>
                <w:color w:val="000000"/>
                <w:sz w:val="20"/>
                <w:szCs w:val="20"/>
              </w:rPr>
              <w:t xml:space="preserve">Выполнение графика ввода мощностей и плана по финансированию и освоению</w:t>
            </w:r>
            <w:r/>
          </w:p>
        </w:tc>
        <w:tc>
          <w:tcPr>
            <w:tcBorders>
              <w:top w:val="single" w:color="000000" w:sz="4" w:space="0"/>
              <w:left w:val="single" w:color="000000" w:sz="4" w:space="0"/>
              <w:bottom w:val="single" w:color="000000" w:sz="4" w:space="0"/>
              <w:right w:val="single" w:color="000000" w:sz="4" w:space="0"/>
            </w:tcBorders>
            <w:tcW w:w="609"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w:t>
            </w:r>
            <w:r/>
          </w:p>
        </w:tc>
        <w:tc>
          <w:tcPr>
            <w:tcBorders>
              <w:top w:val="single" w:color="000000" w:sz="4" w:space="0"/>
              <w:left w:val="single" w:color="000000" w:sz="4" w:space="0"/>
              <w:bottom w:val="single" w:color="000000" w:sz="4" w:space="0"/>
              <w:right w:val="single" w:color="000000" w:sz="4" w:space="0"/>
            </w:tcBorders>
            <w:tcW w:w="1132"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85%</w:t>
            </w:r>
            <w:r/>
          </w:p>
        </w:tc>
        <w:tc>
          <w:tcPr>
            <w:tcBorders>
              <w:top w:val="single" w:color="000000" w:sz="4" w:space="0"/>
              <w:left w:val="single" w:color="000000" w:sz="4" w:space="0"/>
              <w:bottom w:val="single" w:color="000000" w:sz="4" w:space="0"/>
              <w:right w:val="single" w:color="000000" w:sz="4" w:space="0"/>
            </w:tcBorders>
            <w:tcW w:w="1134"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85%</w:t>
            </w:r>
            <w:r/>
          </w:p>
        </w:tc>
        <w:tc>
          <w:tcPr>
            <w:tcBorders>
              <w:top w:val="single" w:color="000000" w:sz="4" w:space="0"/>
              <w:left w:val="single" w:color="000000" w:sz="4" w:space="0"/>
              <w:bottom w:val="single" w:color="000000" w:sz="4" w:space="0"/>
              <w:right w:val="single" w:color="000000" w:sz="4" w:space="0"/>
            </w:tcBorders>
            <w:tcW w:w="942"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85%</w:t>
            </w:r>
            <w:r/>
          </w:p>
        </w:tc>
        <w:tc>
          <w:tcPr>
            <w:tcBorders>
              <w:top w:val="single" w:color="000000" w:sz="4" w:space="0"/>
              <w:left w:val="single" w:color="000000" w:sz="4" w:space="0"/>
              <w:bottom w:val="single" w:color="000000" w:sz="4" w:space="0"/>
              <w:right w:val="single" w:color="000000" w:sz="4" w:space="0"/>
            </w:tcBorders>
            <w:tcW w:w="965"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20%</w:t>
            </w:r>
            <w:r/>
          </w:p>
        </w:tc>
      </w:tr>
      <w:tr>
        <w:trPr>
          <w:trHeight w:val="45"/>
        </w:trPr>
        <w:tc>
          <w:tcPr>
            <w:tcBorders>
              <w:top w:val="single" w:color="000000" w:sz="4" w:space="0"/>
              <w:left w:val="single" w:color="000000" w:sz="4" w:space="0"/>
              <w:bottom w:val="single" w:color="000000" w:sz="4" w:space="0"/>
              <w:right w:val="single" w:color="000000" w:sz="4" w:space="0"/>
            </w:tcBorders>
            <w:tcW w:w="460"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11</w:t>
            </w:r>
            <w:r/>
          </w:p>
        </w:tc>
        <w:tc>
          <w:tcPr>
            <w:tcBorders>
              <w:top w:val="single" w:color="000000" w:sz="4" w:space="0"/>
              <w:left w:val="single" w:color="000000" w:sz="4" w:space="0"/>
              <w:bottom w:val="single" w:color="000000" w:sz="4" w:space="0"/>
              <w:right w:val="single" w:color="000000" w:sz="4" w:space="0"/>
            </w:tcBorders>
            <w:tcW w:w="4817" w:type="dxa"/>
            <w:vAlign w:val="bottom"/>
            <w:textDirection w:val="lrTb"/>
            <w:noWrap w:val="false"/>
          </w:tcPr>
          <w:p>
            <w:pPr>
              <w:pStyle w:val="1063"/>
              <w:widowControl w:val="off"/>
            </w:pPr>
            <w:r>
              <w:rPr>
                <w:rFonts w:ascii="Arial Narrow" w:hAnsi="Arial Narrow" w:cs="Calibri"/>
                <w:color w:val="000000"/>
                <w:sz w:val="20"/>
                <w:szCs w:val="20"/>
                <w:lang w:val="en-GB"/>
              </w:rPr>
              <w:t xml:space="preserve">Качество проведения закупочных процедур</w:t>
            </w:r>
            <w:r/>
          </w:p>
        </w:tc>
        <w:tc>
          <w:tcPr>
            <w:tcBorders>
              <w:top w:val="single" w:color="000000" w:sz="4" w:space="0"/>
              <w:left w:val="single" w:color="000000" w:sz="4" w:space="0"/>
              <w:bottom w:val="single" w:color="000000" w:sz="4" w:space="0"/>
              <w:right w:val="single" w:color="000000" w:sz="4" w:space="0"/>
            </w:tcBorders>
            <w:tcW w:w="609"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w:t>
            </w:r>
            <w:r/>
          </w:p>
        </w:tc>
        <w:tc>
          <w:tcPr>
            <w:tcBorders>
              <w:top w:val="single" w:color="000000" w:sz="4" w:space="0"/>
              <w:left w:val="single" w:color="000000" w:sz="4" w:space="0"/>
              <w:bottom w:val="single" w:color="000000" w:sz="4" w:space="0"/>
              <w:right w:val="single" w:color="000000" w:sz="4" w:space="0"/>
            </w:tcBorders>
            <w:tcW w:w="1132"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85%</w:t>
            </w:r>
            <w:r/>
          </w:p>
        </w:tc>
        <w:tc>
          <w:tcPr>
            <w:tcBorders>
              <w:top w:val="single" w:color="000000" w:sz="4" w:space="0"/>
              <w:left w:val="single" w:color="000000" w:sz="4" w:space="0"/>
              <w:bottom w:val="single" w:color="000000" w:sz="4" w:space="0"/>
              <w:right w:val="single" w:color="000000" w:sz="4" w:space="0"/>
            </w:tcBorders>
            <w:tcW w:w="1134"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85%</w:t>
            </w:r>
            <w:r/>
          </w:p>
        </w:tc>
        <w:tc>
          <w:tcPr>
            <w:tcBorders>
              <w:top w:val="single" w:color="000000" w:sz="4" w:space="0"/>
              <w:left w:val="single" w:color="000000" w:sz="4" w:space="0"/>
              <w:bottom w:val="single" w:color="000000" w:sz="4" w:space="0"/>
              <w:right w:val="single" w:color="000000" w:sz="4" w:space="0"/>
            </w:tcBorders>
            <w:tcW w:w="942"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85%</w:t>
            </w:r>
            <w:r/>
          </w:p>
        </w:tc>
        <w:tc>
          <w:tcPr>
            <w:tcBorders>
              <w:top w:val="single" w:color="000000" w:sz="4" w:space="0"/>
              <w:left w:val="single" w:color="000000" w:sz="4" w:space="0"/>
              <w:bottom w:val="single" w:color="000000" w:sz="4" w:space="0"/>
              <w:right w:val="single" w:color="000000" w:sz="4" w:space="0"/>
            </w:tcBorders>
            <w:tcW w:w="965"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10%</w:t>
            </w:r>
            <w:r/>
          </w:p>
        </w:tc>
      </w:tr>
      <w:tr>
        <w:trPr>
          <w:trHeight w:val="45"/>
        </w:trPr>
        <w:tc>
          <w:tcPr>
            <w:tcBorders>
              <w:top w:val="single" w:color="000000" w:sz="4" w:space="0"/>
              <w:left w:val="single" w:color="000000" w:sz="4" w:space="0"/>
              <w:bottom w:val="single" w:color="000000" w:sz="4" w:space="0"/>
              <w:right w:val="single" w:color="000000" w:sz="4" w:space="0"/>
            </w:tcBorders>
            <w:tcW w:w="460"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12</w:t>
            </w:r>
            <w:r/>
          </w:p>
        </w:tc>
        <w:tc>
          <w:tcPr>
            <w:tcBorders>
              <w:top w:val="single" w:color="000000" w:sz="4" w:space="0"/>
              <w:left w:val="single" w:color="000000" w:sz="4" w:space="0"/>
              <w:bottom w:val="single" w:color="000000" w:sz="4" w:space="0"/>
              <w:right w:val="single" w:color="000000" w:sz="4" w:space="0"/>
            </w:tcBorders>
            <w:tcW w:w="4817" w:type="dxa"/>
            <w:vAlign w:val="bottom"/>
            <w:textDirection w:val="lrTb"/>
            <w:noWrap w:val="false"/>
          </w:tcPr>
          <w:p>
            <w:pPr>
              <w:pStyle w:val="1063"/>
              <w:widowControl w:val="off"/>
            </w:pPr>
            <w:r>
              <w:rPr>
                <w:rFonts w:ascii="Arial Narrow" w:hAnsi="Arial Narrow" w:cs="Calibri"/>
                <w:color w:val="000000"/>
                <w:sz w:val="20"/>
                <w:szCs w:val="20"/>
                <w:lang w:val="en-GB"/>
              </w:rPr>
              <w:t xml:space="preserve">Просроченная дебиторская задолженность</w:t>
            </w:r>
            <w:r/>
          </w:p>
        </w:tc>
        <w:tc>
          <w:tcPr>
            <w:tcBorders>
              <w:top w:val="single" w:color="000000" w:sz="4" w:space="0"/>
              <w:left w:val="single" w:color="000000" w:sz="4" w:space="0"/>
              <w:bottom w:val="single" w:color="000000" w:sz="4" w:space="0"/>
              <w:right w:val="single" w:color="000000" w:sz="4" w:space="0"/>
            </w:tcBorders>
            <w:tcW w:w="609"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w:t>
            </w:r>
            <w:r/>
          </w:p>
        </w:tc>
        <w:tc>
          <w:tcPr>
            <w:tcBorders>
              <w:top w:val="single" w:color="000000" w:sz="4" w:space="0"/>
              <w:left w:val="single" w:color="000000" w:sz="4" w:space="0"/>
              <w:bottom w:val="single" w:color="000000" w:sz="4" w:space="0"/>
              <w:right w:val="single" w:color="000000" w:sz="4" w:space="0"/>
            </w:tcBorders>
            <w:tcW w:w="1132"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100%</w:t>
            </w:r>
            <w:r/>
          </w:p>
        </w:tc>
        <w:tc>
          <w:tcPr>
            <w:tcBorders>
              <w:top w:val="single" w:color="000000" w:sz="4" w:space="0"/>
              <w:left w:val="single" w:color="000000" w:sz="4" w:space="0"/>
              <w:bottom w:val="single" w:color="000000" w:sz="4" w:space="0"/>
              <w:right w:val="single" w:color="000000" w:sz="4" w:space="0"/>
            </w:tcBorders>
            <w:tcW w:w="1134"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100%</w:t>
            </w:r>
            <w:r/>
          </w:p>
        </w:tc>
        <w:tc>
          <w:tcPr>
            <w:tcBorders>
              <w:top w:val="single" w:color="000000" w:sz="4" w:space="0"/>
              <w:left w:val="single" w:color="000000" w:sz="4" w:space="0"/>
              <w:bottom w:val="single" w:color="000000" w:sz="4" w:space="0"/>
              <w:right w:val="single" w:color="000000" w:sz="4" w:space="0"/>
            </w:tcBorders>
            <w:tcW w:w="942"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100%</w:t>
            </w:r>
            <w:r/>
          </w:p>
        </w:tc>
        <w:tc>
          <w:tcPr>
            <w:tcBorders>
              <w:top w:val="single" w:color="000000" w:sz="4" w:space="0"/>
              <w:left w:val="single" w:color="000000" w:sz="4" w:space="0"/>
              <w:bottom w:val="single" w:color="000000" w:sz="4" w:space="0"/>
              <w:right w:val="single" w:color="000000" w:sz="4" w:space="0"/>
            </w:tcBorders>
            <w:tcW w:w="965"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5%</w:t>
            </w:r>
            <w:r/>
          </w:p>
        </w:tc>
      </w:tr>
      <w:tr>
        <w:trPr>
          <w:trHeight w:val="40"/>
        </w:trPr>
        <w:tc>
          <w:tcPr>
            <w:gridSpan w:val="7"/>
            <w:tcBorders>
              <w:top w:val="single" w:color="000000" w:sz="4" w:space="0"/>
              <w:left w:val="single" w:color="000000" w:sz="4" w:space="0"/>
              <w:bottom w:val="single" w:color="000000" w:sz="4" w:space="0"/>
              <w:right w:val="single" w:color="000000" w:sz="4" w:space="0"/>
            </w:tcBorders>
            <w:tcW w:w="10059" w:type="dxa"/>
            <w:vAlign w:val="bottom"/>
            <w:textDirection w:val="lrTb"/>
            <w:noWrap w:val="false"/>
          </w:tcPr>
          <w:p>
            <w:pPr>
              <w:pStyle w:val="1063"/>
              <w:jc w:val="center"/>
              <w:widowControl w:val="off"/>
            </w:pPr>
            <w:r>
              <w:rPr>
                <w:rFonts w:ascii="Arial Narrow" w:hAnsi="Arial Narrow" w:cs="Calibri"/>
                <w:color w:val="000000"/>
                <w:sz w:val="20"/>
                <w:szCs w:val="20"/>
              </w:rPr>
              <w:t xml:space="preserve">ФКПЭ</w:t>
            </w:r>
            <w:r/>
          </w:p>
        </w:tc>
      </w:tr>
      <w:tr>
        <w:trPr>
          <w:trHeight w:val="50"/>
        </w:trPr>
        <w:tc>
          <w:tcPr>
            <w:tcBorders>
              <w:top w:val="single" w:color="000000" w:sz="4" w:space="0"/>
              <w:left w:val="single" w:color="000000" w:sz="4" w:space="0"/>
              <w:bottom w:val="single" w:color="000000" w:sz="4" w:space="0"/>
              <w:right w:val="single" w:color="000000" w:sz="4" w:space="0"/>
            </w:tcBorders>
            <w:tcW w:w="460"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1</w:t>
            </w:r>
            <w:r/>
          </w:p>
        </w:tc>
        <w:tc>
          <w:tcPr>
            <w:tcBorders>
              <w:top w:val="single" w:color="000000" w:sz="4" w:space="0"/>
              <w:left w:val="single" w:color="000000" w:sz="4" w:space="0"/>
              <w:bottom w:val="single" w:color="000000" w:sz="4" w:space="0"/>
              <w:right w:val="single" w:color="000000" w:sz="4" w:space="0"/>
            </w:tcBorders>
            <w:tcW w:w="4817" w:type="dxa"/>
            <w:vAlign w:val="bottom"/>
            <w:textDirection w:val="lrTb"/>
            <w:noWrap w:val="false"/>
          </w:tcPr>
          <w:p>
            <w:pPr>
              <w:pStyle w:val="1063"/>
              <w:widowControl w:val="off"/>
            </w:pPr>
            <w:r>
              <w:rPr>
                <w:rFonts w:ascii="Arial Narrow" w:hAnsi="Arial Narrow" w:cs="Calibri"/>
                <w:color w:val="000000"/>
                <w:sz w:val="20"/>
                <w:szCs w:val="20"/>
                <w:lang w:val="en-GB"/>
              </w:rPr>
              <w:t xml:space="preserve">Интегральный инновационный КПЭ</w:t>
            </w:r>
            <w:r/>
          </w:p>
        </w:tc>
        <w:tc>
          <w:tcPr>
            <w:tcBorders>
              <w:top w:val="single" w:color="000000" w:sz="4" w:space="0"/>
              <w:left w:val="single" w:color="000000" w:sz="4" w:space="0"/>
              <w:bottom w:val="single" w:color="000000" w:sz="4" w:space="0"/>
              <w:right w:val="single" w:color="000000" w:sz="4" w:space="0"/>
            </w:tcBorders>
            <w:tcW w:w="609"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w:t>
            </w:r>
            <w:r/>
          </w:p>
        </w:tc>
        <w:tc>
          <w:tcPr>
            <w:tcBorders>
              <w:top w:val="single" w:color="000000" w:sz="4" w:space="0"/>
              <w:left w:val="single" w:color="000000" w:sz="4" w:space="0"/>
              <w:bottom w:val="single" w:color="000000" w:sz="4" w:space="0"/>
              <w:right w:val="single" w:color="000000" w:sz="4" w:space="0"/>
            </w:tcBorders>
            <w:tcW w:w="1132"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100%</w:t>
            </w:r>
            <w:r/>
          </w:p>
        </w:tc>
        <w:tc>
          <w:tcPr>
            <w:tcBorders>
              <w:top w:val="single" w:color="000000" w:sz="4" w:space="0"/>
              <w:left w:val="single" w:color="000000" w:sz="4" w:space="0"/>
              <w:bottom w:val="single" w:color="000000" w:sz="4" w:space="0"/>
              <w:right w:val="single" w:color="000000" w:sz="4" w:space="0"/>
            </w:tcBorders>
            <w:tcW w:w="1134"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100%</w:t>
            </w:r>
            <w:r/>
          </w:p>
        </w:tc>
        <w:tc>
          <w:tcPr>
            <w:tcBorders>
              <w:top w:val="single" w:color="000000" w:sz="4" w:space="0"/>
              <w:left w:val="single" w:color="000000" w:sz="4" w:space="0"/>
              <w:bottom w:val="single" w:color="000000" w:sz="4" w:space="0"/>
              <w:right w:val="single" w:color="000000" w:sz="4" w:space="0"/>
            </w:tcBorders>
            <w:tcW w:w="942"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100%</w:t>
            </w:r>
            <w:r/>
          </w:p>
        </w:tc>
        <w:tc>
          <w:tcPr>
            <w:tcBorders>
              <w:top w:val="single" w:color="000000" w:sz="4" w:space="0"/>
              <w:left w:val="single" w:color="000000" w:sz="4" w:space="0"/>
              <w:bottom w:val="single" w:color="000000" w:sz="4" w:space="0"/>
              <w:right w:val="single" w:color="000000" w:sz="4" w:space="0"/>
            </w:tcBorders>
            <w:tcW w:w="965"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50%</w:t>
            </w:r>
            <w:r/>
          </w:p>
        </w:tc>
      </w:tr>
      <w:tr>
        <w:trPr>
          <w:trHeight w:val="298"/>
        </w:trPr>
        <w:tc>
          <w:tcPr>
            <w:tcBorders>
              <w:top w:val="single" w:color="000000" w:sz="4" w:space="0"/>
              <w:left w:val="single" w:color="000000" w:sz="4" w:space="0"/>
              <w:bottom w:val="single" w:color="000000" w:sz="4" w:space="0"/>
              <w:right w:val="single" w:color="000000" w:sz="4" w:space="0"/>
            </w:tcBorders>
            <w:tcW w:w="460"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2</w:t>
            </w:r>
            <w:r/>
          </w:p>
        </w:tc>
        <w:tc>
          <w:tcPr>
            <w:tcBorders>
              <w:top w:val="single" w:color="000000" w:sz="4" w:space="0"/>
              <w:left w:val="single" w:color="000000" w:sz="4" w:space="0"/>
              <w:bottom w:val="single" w:color="000000" w:sz="4" w:space="0"/>
              <w:right w:val="single" w:color="000000" w:sz="4" w:space="0"/>
            </w:tcBorders>
            <w:tcW w:w="4817" w:type="dxa"/>
            <w:vAlign w:val="bottom"/>
            <w:textDirection w:val="lrTb"/>
            <w:noWrap w:val="false"/>
          </w:tcPr>
          <w:p>
            <w:pPr>
              <w:pStyle w:val="1063"/>
              <w:widowControl w:val="off"/>
            </w:pPr>
            <w:r>
              <w:rPr>
                <w:rFonts w:ascii="Arial Narrow" w:hAnsi="Arial Narrow" w:cs="Calibri"/>
                <w:color w:val="000000"/>
                <w:sz w:val="20"/>
                <w:szCs w:val="20"/>
                <w:lang w:val="en-GB"/>
              </w:rPr>
              <w:t xml:space="preserve">Переход на ОПО</w:t>
            </w:r>
            <w:r/>
          </w:p>
        </w:tc>
        <w:tc>
          <w:tcPr>
            <w:tcBorders>
              <w:top w:val="single" w:color="000000" w:sz="4" w:space="0"/>
              <w:left w:val="single" w:color="000000" w:sz="4" w:space="0"/>
              <w:bottom w:val="single" w:color="000000" w:sz="4" w:space="0"/>
              <w:right w:val="single" w:color="000000" w:sz="4" w:space="0"/>
            </w:tcBorders>
            <w:tcW w:w="609"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w:t>
            </w:r>
            <w:r/>
          </w:p>
        </w:tc>
        <w:tc>
          <w:tcPr>
            <w:tcBorders>
              <w:top w:val="single" w:color="000000" w:sz="4" w:space="0"/>
              <w:left w:val="single" w:color="000000" w:sz="4" w:space="0"/>
              <w:bottom w:val="single" w:color="000000" w:sz="4" w:space="0"/>
              <w:right w:val="single" w:color="000000" w:sz="4" w:space="0"/>
            </w:tcBorders>
            <w:tcW w:w="1132"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85%</w:t>
            </w:r>
            <w:r/>
          </w:p>
        </w:tc>
        <w:tc>
          <w:tcPr>
            <w:tcBorders>
              <w:top w:val="single" w:color="000000" w:sz="4" w:space="0"/>
              <w:left w:val="single" w:color="000000" w:sz="4" w:space="0"/>
              <w:bottom w:val="single" w:color="000000" w:sz="4" w:space="0"/>
              <w:right w:val="single" w:color="000000" w:sz="4" w:space="0"/>
            </w:tcBorders>
            <w:tcW w:w="1134"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85%</w:t>
            </w:r>
            <w:r/>
          </w:p>
        </w:tc>
        <w:tc>
          <w:tcPr>
            <w:tcBorders>
              <w:top w:val="single" w:color="000000" w:sz="4" w:space="0"/>
              <w:left w:val="single" w:color="000000" w:sz="4" w:space="0"/>
              <w:bottom w:val="single" w:color="000000" w:sz="4" w:space="0"/>
              <w:right w:val="single" w:color="000000" w:sz="4" w:space="0"/>
            </w:tcBorders>
            <w:tcW w:w="942"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85%</w:t>
            </w:r>
            <w:r/>
          </w:p>
        </w:tc>
        <w:tc>
          <w:tcPr>
            <w:tcBorders>
              <w:top w:val="single" w:color="000000" w:sz="4" w:space="0"/>
              <w:left w:val="single" w:color="000000" w:sz="4" w:space="0"/>
              <w:bottom w:val="single" w:color="000000" w:sz="4" w:space="0"/>
              <w:right w:val="single" w:color="000000" w:sz="4" w:space="0"/>
            </w:tcBorders>
            <w:tcW w:w="965"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50%</w:t>
            </w:r>
            <w:r/>
          </w:p>
        </w:tc>
      </w:tr>
      <w:tr>
        <w:trPr>
          <w:trHeight w:val="40"/>
        </w:trPr>
        <w:tc>
          <w:tcPr>
            <w:gridSpan w:val="7"/>
            <w:tcBorders>
              <w:top w:val="single" w:color="000000" w:sz="4" w:space="0"/>
              <w:left w:val="single" w:color="000000" w:sz="4" w:space="0"/>
              <w:bottom w:val="single" w:color="000000" w:sz="4" w:space="0"/>
              <w:right w:val="single" w:color="000000" w:sz="4" w:space="0"/>
            </w:tcBorders>
            <w:tcW w:w="10059" w:type="dxa"/>
            <w:vAlign w:val="bottom"/>
            <w:textDirection w:val="lrTb"/>
            <w:noWrap w:val="false"/>
          </w:tcPr>
          <w:p>
            <w:pPr>
              <w:pStyle w:val="1063"/>
              <w:jc w:val="center"/>
              <w:widowControl w:val="off"/>
            </w:pPr>
            <w:r>
              <w:rPr>
                <w:rFonts w:ascii="Arial Narrow" w:hAnsi="Arial Narrow" w:cs="Calibri"/>
                <w:color w:val="000000"/>
                <w:sz w:val="20"/>
                <w:szCs w:val="20"/>
              </w:rPr>
              <w:t xml:space="preserve">Показатели депремирования</w:t>
            </w:r>
            <w:r/>
          </w:p>
        </w:tc>
      </w:tr>
      <w:tr>
        <w:trPr>
          <w:trHeight w:val="298"/>
        </w:trPr>
        <w:tc>
          <w:tcPr>
            <w:tcBorders>
              <w:top w:val="single" w:color="000000" w:sz="4" w:space="0"/>
              <w:left w:val="single" w:color="000000" w:sz="4" w:space="0"/>
              <w:bottom w:val="single" w:color="000000" w:sz="4" w:space="0"/>
              <w:right w:val="single" w:color="000000" w:sz="4" w:space="0"/>
            </w:tcBorders>
            <w:tcW w:w="460"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1</w:t>
            </w:r>
            <w:r/>
          </w:p>
        </w:tc>
        <w:tc>
          <w:tcPr>
            <w:tcBorders>
              <w:top w:val="single" w:color="000000" w:sz="4" w:space="0"/>
              <w:left w:val="single" w:color="000000" w:sz="4" w:space="0"/>
              <w:bottom w:val="single" w:color="000000" w:sz="4" w:space="0"/>
              <w:right w:val="single" w:color="000000" w:sz="4" w:space="0"/>
            </w:tcBorders>
            <w:tcW w:w="4817" w:type="dxa"/>
            <w:vAlign w:val="bottom"/>
            <w:textDirection w:val="lrTb"/>
            <w:noWrap w:val="false"/>
          </w:tcPr>
          <w:p>
            <w:pPr>
              <w:pStyle w:val="1063"/>
              <w:widowControl w:val="off"/>
            </w:pPr>
            <w:r>
              <w:rPr>
                <w:rFonts w:ascii="Arial Narrow" w:hAnsi="Arial Narrow" w:cs="Calibri"/>
                <w:color w:val="000000"/>
                <w:sz w:val="20"/>
                <w:szCs w:val="20"/>
                <w:lang w:val="en-GB"/>
              </w:rPr>
              <w:t xml:space="preserve">Количество крупных аварий</w:t>
            </w:r>
            <w:r/>
          </w:p>
        </w:tc>
        <w:tc>
          <w:tcPr>
            <w:tcBorders>
              <w:top w:val="single" w:color="000000" w:sz="4" w:space="0"/>
              <w:left w:val="single" w:color="000000" w:sz="4" w:space="0"/>
              <w:bottom w:val="single" w:color="000000" w:sz="4" w:space="0"/>
              <w:right w:val="single" w:color="000000" w:sz="4" w:space="0"/>
            </w:tcBorders>
            <w:tcW w:w="609"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шт.</w:t>
            </w:r>
            <w:r/>
          </w:p>
        </w:tc>
        <w:tc>
          <w:tcPr>
            <w:tcBorders>
              <w:top w:val="single" w:color="000000" w:sz="4" w:space="0"/>
              <w:left w:val="single" w:color="000000" w:sz="4" w:space="0"/>
              <w:bottom w:val="single" w:color="000000" w:sz="4" w:space="0"/>
              <w:right w:val="single" w:color="000000" w:sz="4" w:space="0"/>
            </w:tcBorders>
            <w:tcW w:w="1132"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0</w:t>
            </w:r>
            <w:r/>
          </w:p>
        </w:tc>
        <w:tc>
          <w:tcPr>
            <w:tcBorders>
              <w:top w:val="single" w:color="000000" w:sz="4" w:space="0"/>
              <w:left w:val="single" w:color="000000" w:sz="4" w:space="0"/>
              <w:bottom w:val="single" w:color="000000" w:sz="4" w:space="0"/>
              <w:right w:val="single" w:color="000000" w:sz="4" w:space="0"/>
            </w:tcBorders>
            <w:tcW w:w="1134"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0</w:t>
            </w:r>
            <w:r/>
          </w:p>
        </w:tc>
        <w:tc>
          <w:tcPr>
            <w:tcBorders>
              <w:top w:val="single" w:color="000000" w:sz="4" w:space="0"/>
              <w:left w:val="single" w:color="000000" w:sz="4" w:space="0"/>
              <w:bottom w:val="single" w:color="000000" w:sz="4" w:space="0"/>
              <w:right w:val="single" w:color="000000" w:sz="4" w:space="0"/>
            </w:tcBorders>
            <w:tcW w:w="942"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0</w:t>
            </w:r>
            <w:r/>
          </w:p>
        </w:tc>
        <w:tc>
          <w:tcPr>
            <w:tcBorders>
              <w:top w:val="single" w:color="000000" w:sz="4" w:space="0"/>
              <w:left w:val="single" w:color="000000" w:sz="4" w:space="0"/>
              <w:bottom w:val="single" w:color="000000" w:sz="4" w:space="0"/>
              <w:right w:val="single" w:color="000000" w:sz="4" w:space="0"/>
            </w:tcBorders>
            <w:tcW w:w="965"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25%</w:t>
            </w:r>
            <w:r/>
          </w:p>
        </w:tc>
      </w:tr>
      <w:tr>
        <w:trPr>
          <w:trHeight w:val="212"/>
        </w:trPr>
        <w:tc>
          <w:tcPr>
            <w:tcBorders>
              <w:top w:val="single" w:color="000000" w:sz="4" w:space="0"/>
              <w:left w:val="single" w:color="000000" w:sz="4" w:space="0"/>
              <w:bottom w:val="single" w:color="000000" w:sz="4" w:space="0"/>
              <w:right w:val="single" w:color="000000" w:sz="4" w:space="0"/>
            </w:tcBorders>
            <w:tcW w:w="460"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2</w:t>
            </w:r>
            <w:r/>
          </w:p>
        </w:tc>
        <w:tc>
          <w:tcPr>
            <w:tcBorders>
              <w:top w:val="single" w:color="000000" w:sz="4" w:space="0"/>
              <w:left w:val="single" w:color="000000" w:sz="4" w:space="0"/>
              <w:bottom w:val="single" w:color="000000" w:sz="4" w:space="0"/>
              <w:right w:val="single" w:color="000000" w:sz="4" w:space="0"/>
            </w:tcBorders>
            <w:tcW w:w="4817" w:type="dxa"/>
            <w:vAlign w:val="bottom"/>
            <w:textDirection w:val="lrTb"/>
            <w:noWrap w:val="false"/>
          </w:tcPr>
          <w:p>
            <w:pPr>
              <w:pStyle w:val="1063"/>
              <w:widowControl w:val="off"/>
            </w:pPr>
            <w:r>
              <w:rPr>
                <w:rFonts w:ascii="Arial Narrow" w:hAnsi="Arial Narrow" w:cs="Calibri"/>
                <w:color w:val="000000"/>
                <w:sz w:val="20"/>
                <w:szCs w:val="20"/>
              </w:rPr>
              <w:t xml:space="preserve">Количество несчастных случаев на производстве</w:t>
            </w:r>
            <w:r/>
          </w:p>
        </w:tc>
        <w:tc>
          <w:tcPr>
            <w:tcBorders>
              <w:top w:val="single" w:color="000000" w:sz="4" w:space="0"/>
              <w:left w:val="single" w:color="000000" w:sz="4" w:space="0"/>
              <w:bottom w:val="single" w:color="000000" w:sz="4" w:space="0"/>
              <w:right w:val="single" w:color="000000" w:sz="4" w:space="0"/>
            </w:tcBorders>
            <w:tcW w:w="609"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ед.</w:t>
            </w:r>
            <w:r/>
          </w:p>
        </w:tc>
        <w:tc>
          <w:tcPr>
            <w:tcBorders>
              <w:top w:val="single" w:color="000000" w:sz="4" w:space="0"/>
              <w:left w:val="single" w:color="000000" w:sz="4" w:space="0"/>
              <w:bottom w:val="single" w:color="000000" w:sz="4" w:space="0"/>
              <w:right w:val="single" w:color="000000" w:sz="4" w:space="0"/>
            </w:tcBorders>
            <w:tcW w:w="1132"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0</w:t>
            </w:r>
            <w:r/>
          </w:p>
        </w:tc>
        <w:tc>
          <w:tcPr>
            <w:tcBorders>
              <w:top w:val="single" w:color="000000" w:sz="4" w:space="0"/>
              <w:left w:val="single" w:color="000000" w:sz="4" w:space="0"/>
              <w:bottom w:val="single" w:color="000000" w:sz="4" w:space="0"/>
              <w:right w:val="single" w:color="000000" w:sz="4" w:space="0"/>
            </w:tcBorders>
            <w:tcW w:w="1134"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0</w:t>
            </w:r>
            <w:r/>
          </w:p>
        </w:tc>
        <w:tc>
          <w:tcPr>
            <w:tcBorders>
              <w:top w:val="single" w:color="000000" w:sz="4" w:space="0"/>
              <w:left w:val="single" w:color="000000" w:sz="4" w:space="0"/>
              <w:bottom w:val="single" w:color="000000" w:sz="4" w:space="0"/>
              <w:right w:val="single" w:color="000000" w:sz="4" w:space="0"/>
            </w:tcBorders>
            <w:tcW w:w="942"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0</w:t>
            </w:r>
            <w:r/>
          </w:p>
        </w:tc>
        <w:tc>
          <w:tcPr>
            <w:tcBorders>
              <w:top w:val="single" w:color="000000" w:sz="4" w:space="0"/>
              <w:left w:val="single" w:color="000000" w:sz="4" w:space="0"/>
              <w:bottom w:val="single" w:color="000000" w:sz="4" w:space="0"/>
              <w:right w:val="single" w:color="000000" w:sz="4" w:space="0"/>
            </w:tcBorders>
            <w:tcW w:w="965"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25%</w:t>
            </w:r>
            <w:r/>
          </w:p>
        </w:tc>
      </w:tr>
      <w:tr>
        <w:trPr>
          <w:trHeight w:val="230"/>
        </w:trPr>
        <w:tc>
          <w:tcPr>
            <w:tcBorders>
              <w:top w:val="single" w:color="000000" w:sz="4" w:space="0"/>
              <w:left w:val="single" w:color="000000" w:sz="4" w:space="0"/>
              <w:bottom w:val="single" w:color="000000" w:sz="4" w:space="0"/>
              <w:right w:val="single" w:color="000000" w:sz="4" w:space="0"/>
            </w:tcBorders>
            <w:tcW w:w="460"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3</w:t>
            </w:r>
            <w:r/>
          </w:p>
        </w:tc>
        <w:tc>
          <w:tcPr>
            <w:tcBorders>
              <w:top w:val="single" w:color="000000" w:sz="4" w:space="0"/>
              <w:left w:val="single" w:color="000000" w:sz="4" w:space="0"/>
              <w:bottom w:val="single" w:color="000000" w:sz="4" w:space="0"/>
              <w:right w:val="single" w:color="000000" w:sz="4" w:space="0"/>
            </w:tcBorders>
            <w:tcW w:w="4817" w:type="dxa"/>
            <w:vAlign w:val="bottom"/>
            <w:textDirection w:val="lrTb"/>
            <w:noWrap w:val="false"/>
          </w:tcPr>
          <w:p>
            <w:pPr>
              <w:pStyle w:val="1063"/>
              <w:widowControl w:val="off"/>
            </w:pPr>
            <w:r>
              <w:rPr>
                <w:rFonts w:ascii="Arial Narrow" w:hAnsi="Arial Narrow" w:cs="Calibri"/>
                <w:color w:val="000000"/>
                <w:sz w:val="20"/>
                <w:szCs w:val="20"/>
              </w:rPr>
              <w:t xml:space="preserve">Готовность к работе в отопительный сезон</w:t>
            </w:r>
            <w:r/>
          </w:p>
        </w:tc>
        <w:tc>
          <w:tcPr>
            <w:tcBorders>
              <w:top w:val="single" w:color="000000" w:sz="4" w:space="0"/>
              <w:left w:val="single" w:color="000000" w:sz="4" w:space="0"/>
              <w:bottom w:val="single" w:color="000000" w:sz="4" w:space="0"/>
              <w:right w:val="single" w:color="000000" w:sz="4" w:space="0"/>
            </w:tcBorders>
            <w:tcW w:w="609"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w:t>
            </w:r>
            <w:r/>
          </w:p>
        </w:tc>
        <w:tc>
          <w:tcPr>
            <w:tcBorders>
              <w:top w:val="single" w:color="000000" w:sz="4" w:space="0"/>
              <w:left w:val="single" w:color="000000" w:sz="4" w:space="0"/>
              <w:bottom w:val="single" w:color="000000" w:sz="4" w:space="0"/>
              <w:right w:val="single" w:color="000000" w:sz="4" w:space="0"/>
            </w:tcBorders>
            <w:tcW w:w="1132"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100%</w:t>
            </w:r>
            <w:r/>
          </w:p>
        </w:tc>
        <w:tc>
          <w:tcPr>
            <w:tcBorders>
              <w:top w:val="single" w:color="000000" w:sz="4" w:space="0"/>
              <w:left w:val="single" w:color="000000" w:sz="4" w:space="0"/>
              <w:bottom w:val="single" w:color="000000" w:sz="4" w:space="0"/>
              <w:right w:val="single" w:color="000000" w:sz="4" w:space="0"/>
            </w:tcBorders>
            <w:tcW w:w="1134"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100%</w:t>
            </w:r>
            <w:r/>
          </w:p>
        </w:tc>
        <w:tc>
          <w:tcPr>
            <w:tcBorders>
              <w:top w:val="single" w:color="000000" w:sz="4" w:space="0"/>
              <w:left w:val="single" w:color="000000" w:sz="4" w:space="0"/>
              <w:bottom w:val="single" w:color="000000" w:sz="4" w:space="0"/>
              <w:right w:val="single" w:color="000000" w:sz="4" w:space="0"/>
            </w:tcBorders>
            <w:tcW w:w="942"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100%</w:t>
            </w:r>
            <w:r/>
          </w:p>
        </w:tc>
        <w:tc>
          <w:tcPr>
            <w:tcBorders>
              <w:top w:val="single" w:color="000000" w:sz="4" w:space="0"/>
              <w:left w:val="single" w:color="000000" w:sz="4" w:space="0"/>
              <w:bottom w:val="single" w:color="000000" w:sz="4" w:space="0"/>
              <w:right w:val="single" w:color="000000" w:sz="4" w:space="0"/>
            </w:tcBorders>
            <w:tcW w:w="965"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25%</w:t>
            </w:r>
            <w:r/>
          </w:p>
        </w:tc>
      </w:tr>
      <w:tr>
        <w:trPr>
          <w:trHeight w:val="262"/>
        </w:trPr>
        <w:tc>
          <w:tcPr>
            <w:tcBorders>
              <w:top w:val="single" w:color="000000" w:sz="4" w:space="0"/>
              <w:left w:val="single" w:color="000000" w:sz="4" w:space="0"/>
              <w:bottom w:val="single" w:color="000000" w:sz="4" w:space="0"/>
              <w:right w:val="single" w:color="000000" w:sz="4" w:space="0"/>
            </w:tcBorders>
            <w:tcW w:w="460"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4</w:t>
            </w:r>
            <w:r/>
          </w:p>
        </w:tc>
        <w:tc>
          <w:tcPr>
            <w:tcBorders>
              <w:top w:val="single" w:color="000000" w:sz="4" w:space="0"/>
              <w:left w:val="single" w:color="000000" w:sz="4" w:space="0"/>
              <w:bottom w:val="single" w:color="000000" w:sz="4" w:space="0"/>
              <w:right w:val="single" w:color="000000" w:sz="4" w:space="0"/>
            </w:tcBorders>
            <w:tcW w:w="4817" w:type="dxa"/>
            <w:vAlign w:val="bottom"/>
            <w:textDirection w:val="lrTb"/>
            <w:noWrap w:val="false"/>
          </w:tcPr>
          <w:p>
            <w:pPr>
              <w:pStyle w:val="1063"/>
              <w:widowControl w:val="off"/>
            </w:pPr>
            <w:r>
              <w:rPr>
                <w:rFonts w:ascii="Arial Narrow" w:hAnsi="Arial Narrow" w:cs="Calibri"/>
                <w:color w:val="000000"/>
                <w:sz w:val="20"/>
                <w:szCs w:val="20"/>
                <w:lang w:val="en-GB"/>
              </w:rPr>
              <w:t xml:space="preserve">Нарушение эл/снабжения потребителей</w:t>
            </w:r>
            <w:r/>
          </w:p>
        </w:tc>
        <w:tc>
          <w:tcPr>
            <w:tcBorders>
              <w:top w:val="single" w:color="000000" w:sz="4" w:space="0"/>
              <w:left w:val="single" w:color="000000" w:sz="4" w:space="0"/>
              <w:bottom w:val="single" w:color="000000" w:sz="4" w:space="0"/>
              <w:right w:val="single" w:color="000000" w:sz="4" w:space="0"/>
            </w:tcBorders>
            <w:tcW w:w="609"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w:t>
            </w:r>
            <w:r/>
          </w:p>
        </w:tc>
        <w:tc>
          <w:tcPr>
            <w:tcBorders>
              <w:top w:val="single" w:color="000000" w:sz="4" w:space="0"/>
              <w:left w:val="single" w:color="000000" w:sz="4" w:space="0"/>
              <w:bottom w:val="single" w:color="000000" w:sz="4" w:space="0"/>
              <w:right w:val="single" w:color="000000" w:sz="4" w:space="0"/>
            </w:tcBorders>
            <w:tcW w:w="1132"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100%</w:t>
            </w:r>
            <w:r/>
          </w:p>
        </w:tc>
        <w:tc>
          <w:tcPr>
            <w:tcBorders>
              <w:top w:val="single" w:color="000000" w:sz="4" w:space="0"/>
              <w:left w:val="single" w:color="000000" w:sz="4" w:space="0"/>
              <w:bottom w:val="single" w:color="000000" w:sz="4" w:space="0"/>
              <w:right w:val="single" w:color="000000" w:sz="4" w:space="0"/>
            </w:tcBorders>
            <w:tcW w:w="1134"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100%</w:t>
            </w:r>
            <w:r/>
          </w:p>
        </w:tc>
        <w:tc>
          <w:tcPr>
            <w:tcBorders>
              <w:top w:val="single" w:color="000000" w:sz="4" w:space="0"/>
              <w:left w:val="single" w:color="000000" w:sz="4" w:space="0"/>
              <w:bottom w:val="single" w:color="000000" w:sz="4" w:space="0"/>
              <w:right w:val="single" w:color="000000" w:sz="4" w:space="0"/>
            </w:tcBorders>
            <w:tcW w:w="942"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100%</w:t>
            </w:r>
            <w:r/>
          </w:p>
        </w:tc>
        <w:tc>
          <w:tcPr>
            <w:tcBorders>
              <w:top w:val="single" w:color="000000" w:sz="4" w:space="0"/>
              <w:left w:val="single" w:color="000000" w:sz="4" w:space="0"/>
              <w:bottom w:val="single" w:color="000000" w:sz="4" w:space="0"/>
              <w:right w:val="single" w:color="000000" w:sz="4" w:space="0"/>
            </w:tcBorders>
            <w:tcW w:w="965" w:type="dxa"/>
            <w:vAlign w:val="bottom"/>
            <w:textDirection w:val="lrTb"/>
            <w:noWrap w:val="false"/>
          </w:tcPr>
          <w:p>
            <w:pPr>
              <w:pStyle w:val="1063"/>
              <w:jc w:val="center"/>
              <w:widowControl w:val="off"/>
            </w:pPr>
            <w:r>
              <w:rPr>
                <w:rFonts w:ascii="Arial Narrow" w:hAnsi="Arial Narrow" w:cs="Calibri"/>
                <w:color w:val="000000"/>
                <w:sz w:val="20"/>
                <w:szCs w:val="20"/>
                <w:lang w:val="en-GB"/>
              </w:rPr>
              <w:t xml:space="preserve">25%</w:t>
            </w:r>
            <w:r/>
          </w:p>
        </w:tc>
      </w:tr>
    </w:tbl>
    <w:p>
      <w:pPr>
        <w:pStyle w:val="1063"/>
        <w:ind w:firstLine="567"/>
        <w:jc w:val="both"/>
        <w:rPr>
          <w:rFonts w:ascii="Arial Narrow" w:hAnsi="Arial Narrow" w:cs="Calibri"/>
          <w:iCs/>
          <w:sz w:val="12"/>
          <w:szCs w:val="12"/>
        </w:rPr>
      </w:pPr>
      <w:r>
        <w:rPr>
          <w:rFonts w:ascii="Arial Narrow" w:hAnsi="Arial Narrow" w:cs="Calibri"/>
          <w:iCs/>
          <w:sz w:val="12"/>
          <w:szCs w:val="12"/>
        </w:rPr>
      </w:r>
      <w:r>
        <w:rPr>
          <w:rFonts w:ascii="Arial Narrow" w:hAnsi="Arial Narrow" w:cs="Calibri"/>
          <w:iCs/>
          <w:sz w:val="12"/>
          <w:szCs w:val="12"/>
        </w:rPr>
      </w:r>
      <w:r>
        <w:rPr>
          <w:rFonts w:ascii="Arial Narrow" w:hAnsi="Arial Narrow" w:cs="Calibri"/>
          <w:iCs/>
          <w:sz w:val="12"/>
          <w:szCs w:val="12"/>
        </w:rPr>
      </w:r>
    </w:p>
    <w:p>
      <w:pPr>
        <w:pStyle w:val="1063"/>
        <w:ind w:firstLine="567"/>
        <w:jc w:val="both"/>
        <w:rPr>
          <w:rFonts w:ascii="Arial Narrow" w:hAnsi="Arial Narrow" w:cs="Calibri"/>
          <w:iCs/>
        </w:rPr>
      </w:pPr>
      <w:r>
        <w:rPr>
          <w:rFonts w:ascii="Arial Narrow" w:hAnsi="Arial Narrow" w:cs="Calibri"/>
          <w:iCs/>
        </w:rPr>
        <w:t xml:space="preserve">Достижение Обществом установленных КПЭ и ФКПЭ является основанием для премирования менеджмента Общества.</w:t>
      </w:r>
      <w:r>
        <w:rPr>
          <w:rFonts w:ascii="Arial Narrow" w:hAnsi="Arial Narrow" w:cs="Calibri"/>
          <w:iCs/>
        </w:rPr>
      </w:r>
      <w:r>
        <w:rPr>
          <w:rFonts w:ascii="Arial Narrow" w:hAnsi="Arial Narrow" w:cs="Calibri"/>
          <w:iCs/>
        </w:rPr>
      </w:r>
    </w:p>
    <w:p>
      <w:pPr>
        <w:pStyle w:val="1063"/>
        <w:ind w:firstLine="567"/>
        <w:jc w:val="both"/>
      </w:pPr>
      <w:r/>
      <w:r/>
    </w:p>
    <w:p>
      <w:pPr>
        <w:pStyle w:val="763"/>
        <w:jc w:val="both"/>
        <w:keepLines/>
        <w:spacing w:after="0" w:line="276" w:lineRule="auto"/>
        <w:rPr>
          <w:rFonts w:ascii="Arial Narrow" w:hAnsi="Arial Narrow" w:eastAsiaTheme="majorEastAsia" w:cstheme="minorHAnsi"/>
          <w:b/>
          <w:color w:val="314e87"/>
          <w:sz w:val="24"/>
          <w:szCs w:val="24"/>
          <w:lang w:eastAsia="en-US" w:bidi="ru-RU"/>
        </w:rPr>
      </w:pPr>
      <w:r/>
      <w:bookmarkStart w:id="146" w:name="_Toc193883507"/>
      <w:r/>
      <w:bookmarkStart w:id="147" w:name="_Toc196127007"/>
      <w:r>
        <w:rPr>
          <w:rFonts w:ascii="Arial Narrow" w:hAnsi="Arial Narrow" w:eastAsiaTheme="majorEastAsia" w:cstheme="minorHAnsi"/>
          <w:b/>
          <w:color w:val="314e87"/>
          <w:sz w:val="24"/>
          <w:szCs w:val="24"/>
          <w:lang w:eastAsia="en-US" w:bidi="ru-RU"/>
        </w:rPr>
        <w:t xml:space="preserve">11.3. Основные положения политики Общества в области вознаграждения и (или) компенсации расходов членами органов управления Общества</w:t>
      </w:r>
      <w:bookmarkEnd w:id="146"/>
      <w:r/>
      <w:bookmarkEnd w:id="147"/>
      <w:r>
        <w:rPr>
          <w:rFonts w:ascii="Arial Narrow" w:hAnsi="Arial Narrow" w:eastAsiaTheme="majorEastAsia" w:cstheme="minorHAnsi"/>
          <w:b/>
          <w:color w:val="314e87"/>
          <w:sz w:val="24"/>
          <w:szCs w:val="24"/>
          <w:lang w:eastAsia="en-US" w:bidi="ru-RU"/>
        </w:rPr>
      </w:r>
      <w:r>
        <w:rPr>
          <w:rFonts w:ascii="Arial Narrow" w:hAnsi="Arial Narrow" w:eastAsiaTheme="majorEastAsia" w:cstheme="minorHAnsi"/>
          <w:b/>
          <w:color w:val="314e87"/>
          <w:sz w:val="24"/>
          <w:szCs w:val="24"/>
          <w:lang w:eastAsia="en-US" w:bidi="ru-RU"/>
        </w:rPr>
      </w:r>
    </w:p>
    <w:p>
      <w:pPr>
        <w:pStyle w:val="1063"/>
        <w:ind w:firstLine="567"/>
        <w:jc w:val="both"/>
      </w:pPr>
      <w:r>
        <w:rPr>
          <w:rFonts w:ascii="Arial Narrow" w:hAnsi="Arial Narrow" w:cs="Calibri"/>
          <w:iCs/>
          <w:color w:val="0f0d29"/>
        </w:rPr>
        <w:t xml:space="preserve">Выплата вознаграждений и компенсаций членам Совета директор</w:t>
      </w:r>
      <w:r>
        <w:rPr>
          <w:rFonts w:ascii="Arial Narrow" w:hAnsi="Arial Narrow" w:cs="Calibri"/>
          <w:iCs/>
          <w:color w:val="0f0d29"/>
        </w:rPr>
        <w:t xml:space="preserve">ов Общества производится в соответствии с Положением о выплате членам Совета директоров ПАО «Камчатскэнерго» вознаграждений и компенсаций, утвержденным годовым Общим собранием акционеров Общества 20.05.2022 (протокол от 24.05.2022 № 1) (далее – Положение).</w:t>
      </w:r>
      <w:r/>
    </w:p>
    <w:p>
      <w:pPr>
        <w:pStyle w:val="1063"/>
        <w:ind w:firstLine="567"/>
        <w:jc w:val="both"/>
      </w:pPr>
      <w:r>
        <w:rPr>
          <w:rFonts w:ascii="Arial Narrow" w:hAnsi="Arial Narrow" w:cs="Calibri"/>
          <w:iCs/>
          <w:color w:val="0f0d29"/>
        </w:rPr>
        <w:t xml:space="preserve">За участие в заседании Совета директоров члену Совета директоров выплачивается вознаграждение в размере суммы, эквивалентной 1 (Одной) минимальной месячной тарифной ставке рабочего первого разряда, установленной отраслевым тар</w:t>
      </w:r>
      <w:r>
        <w:rPr>
          <w:rFonts w:ascii="Arial Narrow" w:hAnsi="Arial Narrow" w:cs="Calibri"/>
          <w:iCs/>
          <w:color w:val="0f0d29"/>
        </w:rPr>
        <w:t xml:space="preserve">ифным соглашением в электроэнергетическом комплексе Российской Федерации на день проведения заседания Совета директоров. Общий размер вознаграждения каждого члена Совета директоров не должен превышать базовый размер вознаграждения, определяемый Положением.</w:t>
      </w:r>
      <w:r/>
    </w:p>
    <w:p>
      <w:pPr>
        <w:pStyle w:val="1063"/>
        <w:ind w:firstLine="567"/>
        <w:jc w:val="both"/>
      </w:pPr>
      <w:r>
        <w:rPr>
          <w:rFonts w:ascii="Arial Narrow" w:hAnsi="Arial Narrow" w:cs="Calibri"/>
          <w:iCs/>
          <w:color w:val="0f0d29"/>
        </w:rPr>
        <w:t xml:space="preserve">Совокупный размер вознаграждения членов Совета директоров Общества в 2024 году составил </w:t>
      </w:r>
      <w:r>
        <w:rPr>
          <w:rFonts w:ascii="Arial Narrow" w:hAnsi="Arial Narrow" w:cs="Calibri"/>
          <w:iCs/>
          <w:color w:val="0f0d29"/>
        </w:rPr>
        <w:br/>
      </w:r>
      <w:r>
        <w:rPr>
          <w:rFonts w:ascii="Arial Narrow" w:hAnsi="Arial Narrow" w:cs="Calibri"/>
          <w:color w:val="0f0d29"/>
        </w:rPr>
        <w:t xml:space="preserve">1 493 982 (Один миллион четыреста девяносто три тысячи девятьсот восемьдесят два) рублей.  </w:t>
      </w:r>
      <w:r/>
    </w:p>
    <w:p>
      <w:pPr>
        <w:pStyle w:val="1063"/>
        <w:ind w:firstLine="567"/>
        <w:jc w:val="both"/>
      </w:pPr>
      <w:r>
        <w:rPr>
          <w:rFonts w:ascii="Arial Narrow" w:hAnsi="Arial Narrow" w:cs="Calibri"/>
          <w:iCs/>
          <w:color w:val="0f0d29"/>
        </w:rPr>
        <w:t xml:space="preserve">Выплата вознаграждений и компенсаций членам Правления и единоличному исполнительному органу производится в соответствии с условиями трудового договора и Положением об услови</w:t>
      </w:r>
      <w:r>
        <w:rPr>
          <w:rFonts w:ascii="Arial Narrow" w:hAnsi="Arial Narrow" w:cs="Calibri"/>
          <w:iCs/>
          <w:color w:val="0f0d29"/>
        </w:rPr>
        <w:t xml:space="preserve">ях оплаты труда должностных лиц руководящего состава подконтрольных организаций ПАО «РусГидро», к которому Общество присоединилось и признало его в качестве внутреннего документа решением Совета директоров Общества 16.05.2023 (протокол от 16.05.2023 № 17).</w:t>
      </w:r>
      <w:r/>
    </w:p>
    <w:p>
      <w:pPr>
        <w:pStyle w:val="1063"/>
        <w:ind w:firstLine="567"/>
        <w:jc w:val="both"/>
      </w:pPr>
      <w:r>
        <w:rPr>
          <w:rFonts w:ascii="Arial Narrow" w:hAnsi="Arial Narrow" w:cs="Calibri"/>
          <w:color w:val="0f0d29"/>
        </w:rPr>
        <w:t xml:space="preserve">Совокупный размер вознаграждения в отчетном году составил 85 591 080 (Восемьдесят пять миллионов пятьсот девяносто одна тысяча восемьдесят) рублей 24 копейки.</w:t>
      </w:r>
      <w:r/>
    </w:p>
    <w:p>
      <w:pPr>
        <w:pStyle w:val="1063"/>
        <w:ind w:firstLine="567"/>
        <w:jc w:val="both"/>
        <w:rPr>
          <w:rFonts w:ascii="Arial Narrow" w:hAnsi="Arial Narrow" w:cs="Calibri"/>
          <w:iCs/>
        </w:rPr>
      </w:pPr>
      <w:r>
        <w:rPr>
          <w:rFonts w:ascii="Arial Narrow" w:hAnsi="Arial Narrow" w:cs="Calibri"/>
          <w:iCs/>
        </w:rPr>
      </w:r>
      <w:r>
        <w:rPr>
          <w:rFonts w:ascii="Arial Narrow" w:hAnsi="Arial Narrow" w:cs="Calibri"/>
          <w:iCs/>
        </w:rPr>
      </w:r>
      <w:r>
        <w:rPr>
          <w:rFonts w:ascii="Arial Narrow" w:hAnsi="Arial Narrow" w:cs="Calibri"/>
          <w:iCs/>
        </w:rPr>
      </w:r>
    </w:p>
    <w:p>
      <w:pPr>
        <w:pStyle w:val="763"/>
        <w:jc w:val="both"/>
        <w:keepLines/>
        <w:spacing w:after="0" w:line="276" w:lineRule="auto"/>
        <w:rPr>
          <w:rFonts w:ascii="Arial Narrow" w:hAnsi="Arial Narrow" w:eastAsiaTheme="majorEastAsia" w:cstheme="minorHAnsi"/>
          <w:b/>
          <w:color w:val="314e87"/>
          <w:sz w:val="24"/>
          <w:szCs w:val="24"/>
          <w:lang w:eastAsia="en-US" w:bidi="ru-RU"/>
        </w:rPr>
      </w:pPr>
      <w:r/>
      <w:bookmarkStart w:id="148" w:name="_Toc193883508"/>
      <w:r/>
      <w:bookmarkStart w:id="149" w:name="_Toc196127008"/>
      <w:r>
        <w:rPr>
          <w:rFonts w:ascii="Arial Narrow" w:hAnsi="Arial Narrow" w:eastAsiaTheme="majorEastAsia" w:cstheme="minorHAnsi"/>
          <w:b/>
          <w:color w:val="314e87"/>
          <w:sz w:val="24"/>
          <w:szCs w:val="24"/>
          <w:lang w:eastAsia="en-US" w:bidi="ru-RU"/>
        </w:rPr>
        <w:t xml:space="preserve">11.4. Ревизионная комиссия</w:t>
      </w:r>
      <w:bookmarkEnd w:id="148"/>
      <w:r/>
      <w:bookmarkEnd w:id="149"/>
      <w:r>
        <w:rPr>
          <w:rFonts w:ascii="Arial Narrow" w:hAnsi="Arial Narrow" w:eastAsiaTheme="majorEastAsia" w:cstheme="minorHAnsi"/>
          <w:b/>
          <w:color w:val="314e87"/>
          <w:sz w:val="24"/>
          <w:szCs w:val="24"/>
          <w:lang w:eastAsia="en-US" w:bidi="ru-RU"/>
        </w:rPr>
      </w:r>
      <w:r>
        <w:rPr>
          <w:rFonts w:ascii="Arial Narrow" w:hAnsi="Arial Narrow" w:eastAsiaTheme="majorEastAsia" w:cstheme="minorHAnsi"/>
          <w:b/>
          <w:color w:val="314e87"/>
          <w:sz w:val="24"/>
          <w:szCs w:val="24"/>
          <w:lang w:eastAsia="en-US" w:bidi="ru-RU"/>
        </w:rPr>
      </w:r>
    </w:p>
    <w:p>
      <w:pPr>
        <w:pStyle w:val="1063"/>
        <w:ind w:firstLine="567"/>
        <w:jc w:val="both"/>
      </w:pPr>
      <w:r>
        <w:rPr>
          <w:rFonts w:ascii="Arial Narrow" w:hAnsi="Arial Narrow" w:cs="Calibri"/>
          <w:iCs/>
        </w:rPr>
        <w:t xml:space="preserve">Для осуществления контроля за финансово-хозяйственной деятельностью Общества годовым Общим собранием акционеров избирается Ревизионная комиссия на срок до следующего годового Общего собрания акционеров.</w:t>
      </w:r>
      <w:r/>
    </w:p>
    <w:p>
      <w:pPr>
        <w:pStyle w:val="1063"/>
        <w:ind w:firstLine="567"/>
        <w:jc w:val="both"/>
      </w:pPr>
      <w:r>
        <w:rPr>
          <w:rFonts w:ascii="Arial Narrow" w:hAnsi="Arial Narrow" w:cs="Calibri"/>
          <w:iCs/>
        </w:rPr>
        <w:t xml:space="preserve">Порядок деятельности Ревизионной комиссии Общества определяется Положением о Ревизионной комиссии ПАО «Камчатскэнерго», утвержденным годовым Общим собранием акционеров Общества 29.05.2020 (протокол от 02.06.2020 № 1).</w:t>
      </w:r>
      <w:r/>
    </w:p>
    <w:p>
      <w:pPr>
        <w:pStyle w:val="1063"/>
        <w:ind w:firstLine="567"/>
        <w:jc w:val="both"/>
      </w:pPr>
      <w:r>
        <w:rPr>
          <w:rFonts w:ascii="Arial Narrow" w:hAnsi="Arial Narrow" w:cs="Calibri"/>
          <w:iCs/>
        </w:rPr>
        <w:t xml:space="preserve">Состав Ревизионной комиссии избран годовым Общим собранием акционеров Общества 27.06.2024 (протокол от 28.06.2024 № 1).</w:t>
      </w:r>
      <w:r/>
    </w:p>
    <w:p>
      <w:pPr>
        <w:pStyle w:val="1063"/>
        <w:ind w:right="-141"/>
        <w:rPr>
          <w:rFonts w:ascii="Arial Narrow" w:hAnsi="Arial Narrow" w:eastAsia="Calibri" w:cs="Calibri"/>
          <w:color w:val="314e87"/>
          <w:lang w:eastAsia="ja-JP"/>
        </w:rPr>
      </w:pPr>
      <w:r>
        <w:rPr>
          <w:rFonts w:ascii="Arial Narrow" w:hAnsi="Arial Narrow" w:eastAsia="Calibri" w:cs="Calibri"/>
          <w:color w:val="314e87"/>
          <w:lang w:eastAsia="ja-JP"/>
        </w:rPr>
      </w:r>
      <w:r>
        <w:rPr>
          <w:rFonts w:ascii="Arial Narrow" w:hAnsi="Arial Narrow" w:eastAsia="Calibri" w:cs="Calibri"/>
          <w:color w:val="314e87"/>
          <w:lang w:eastAsia="ja-JP"/>
        </w:rPr>
      </w:r>
      <w:r>
        <w:rPr>
          <w:rFonts w:ascii="Arial Narrow" w:hAnsi="Arial Narrow" w:eastAsia="Calibri" w:cs="Calibri"/>
          <w:color w:val="314e87"/>
          <w:lang w:eastAsia="ja-JP"/>
        </w:rPr>
      </w:r>
    </w:p>
    <w:p>
      <w:pPr>
        <w:pStyle w:val="1063"/>
        <w:ind w:right="-141"/>
        <w:rPr>
          <w:b/>
        </w:rPr>
      </w:pPr>
      <w:r>
        <w:rPr>
          <w:rFonts w:ascii="Arial Narrow" w:hAnsi="Arial Narrow" w:eastAsia="Calibri" w:cs="Calibri"/>
          <w:b/>
          <w:color w:val="314e87"/>
          <w:lang w:eastAsia="ja-JP"/>
        </w:rPr>
        <w:t xml:space="preserve">Члены Ревизионной комиссии</w:t>
      </w:r>
      <w:r>
        <w:rPr>
          <w:b/>
        </w:rPr>
      </w:r>
      <w:r>
        <w:rPr>
          <w:b/>
        </w:rPr>
      </w:r>
    </w:p>
    <w:p>
      <w:pPr>
        <w:pStyle w:val="1063"/>
        <w:jc w:val="right"/>
      </w:pPr>
      <w:r>
        <w:rPr>
          <w:rFonts w:ascii="Arial Narrow" w:hAnsi="Arial Narrow" w:eastAsia="Calibri" w:cs="Calibri"/>
          <w:i/>
          <w:lang w:eastAsia="ja-JP"/>
        </w:rPr>
        <w:t xml:space="preserve">Таблица № </w:t>
      </w:r>
      <w:r>
        <w:rPr>
          <w:rFonts w:ascii="Arial Narrow" w:hAnsi="Arial Narrow" w:eastAsia="Calibri" w:cs="Calibri"/>
          <w:i/>
          <w:lang w:val="en-US" w:eastAsia="ja-JP"/>
        </w:rPr>
        <w:t xml:space="preserve">5</w:t>
      </w:r>
      <w:r>
        <w:rPr>
          <w:rFonts w:ascii="Arial Narrow" w:hAnsi="Arial Narrow" w:eastAsia="Calibri" w:cs="Calibri"/>
          <w:i/>
          <w:lang w:eastAsia="ja-JP"/>
        </w:rPr>
        <w:t xml:space="preserve">3</w:t>
      </w:r>
      <w:r/>
    </w:p>
    <w:tbl>
      <w:tblPr>
        <w:tblW w:w="10139" w:type="dxa"/>
        <w:jc w:val="center"/>
        <w:tblLayout w:type="fixed"/>
        <w:tblLook w:val="04A0" w:firstRow="1" w:lastRow="0" w:firstColumn="1" w:lastColumn="0" w:noHBand="0" w:noVBand="1"/>
      </w:tblPr>
      <w:tblGrid>
        <w:gridCol w:w="416"/>
        <w:gridCol w:w="2254"/>
        <w:gridCol w:w="982"/>
        <w:gridCol w:w="1319"/>
        <w:gridCol w:w="3407"/>
        <w:gridCol w:w="1761"/>
      </w:tblGrid>
      <w:tr>
        <w:trPr>
          <w:jc w:val="center"/>
          <w:tblHeader/>
        </w:trPr>
        <w:tc>
          <w:tcPr>
            <w:shd w:val="clear" w:color="auto" w:fill="ffffff"/>
            <w:tcBorders>
              <w:top w:val="single" w:color="000000" w:sz="4" w:space="0"/>
              <w:left w:val="single" w:color="000000" w:sz="4" w:space="0"/>
              <w:bottom w:val="single" w:color="000000" w:sz="4" w:space="0"/>
              <w:right w:val="single" w:color="000000" w:sz="4" w:space="0"/>
            </w:tcBorders>
            <w:tcW w:w="416" w:type="dxa"/>
            <w:vAlign w:val="center"/>
            <w:textDirection w:val="lrTb"/>
            <w:noWrap w:val="false"/>
          </w:tcPr>
          <w:p>
            <w:pPr>
              <w:pStyle w:val="1063"/>
              <w:ind w:left="-118" w:right="-106"/>
              <w:jc w:val="center"/>
              <w:widowControl w:val="off"/>
            </w:pPr>
            <w:r>
              <w:rPr>
                <w:rFonts w:ascii="Arial Narrow" w:hAnsi="Arial Narrow" w:cs="Calibri"/>
                <w:color w:val="0f0d29"/>
                <w:sz w:val="20"/>
                <w:szCs w:val="20"/>
              </w:rPr>
              <w:t xml:space="preserve">№</w:t>
            </w:r>
            <w:r/>
          </w:p>
          <w:p>
            <w:pPr>
              <w:pStyle w:val="1063"/>
              <w:ind w:left="-118" w:right="-106"/>
              <w:jc w:val="center"/>
              <w:widowControl w:val="off"/>
            </w:pPr>
            <w:r>
              <w:rPr>
                <w:rFonts w:ascii="Arial Narrow" w:hAnsi="Arial Narrow" w:cs="Calibri"/>
                <w:color w:val="0f0d29"/>
                <w:sz w:val="20"/>
                <w:szCs w:val="20"/>
              </w:rPr>
              <w:t xml:space="preserve">п/п</w:t>
            </w:r>
            <w:r/>
          </w:p>
        </w:tc>
        <w:tc>
          <w:tcPr>
            <w:shd w:val="clear" w:color="auto" w:fill="ffffff"/>
            <w:tcBorders>
              <w:top w:val="single" w:color="000000" w:sz="4" w:space="0"/>
              <w:left w:val="single" w:color="000000" w:sz="4" w:space="0"/>
              <w:bottom w:val="single" w:color="000000" w:sz="4" w:space="0"/>
              <w:right w:val="single" w:color="000000" w:sz="4" w:space="0"/>
            </w:tcBorders>
            <w:tcW w:w="2254" w:type="dxa"/>
            <w:vAlign w:val="center"/>
            <w:textDirection w:val="lrTb"/>
            <w:noWrap w:val="false"/>
          </w:tcPr>
          <w:p>
            <w:pPr>
              <w:pStyle w:val="1063"/>
              <w:jc w:val="center"/>
              <w:widowControl w:val="off"/>
            </w:pPr>
            <w:r>
              <w:rPr>
                <w:rFonts w:ascii="Arial Narrow" w:hAnsi="Arial Narrow" w:cs="Calibri"/>
                <w:color w:val="0f0d29"/>
                <w:sz w:val="20"/>
                <w:szCs w:val="20"/>
              </w:rPr>
              <w:t xml:space="preserve">Фамилия, имя, отчество</w:t>
            </w:r>
            <w:r/>
          </w:p>
        </w:tc>
        <w:tc>
          <w:tcPr>
            <w:shd w:val="clear" w:color="auto" w:fill="ffffff"/>
            <w:tcBorders>
              <w:top w:val="single" w:color="000000" w:sz="4" w:space="0"/>
              <w:left w:val="single" w:color="000000" w:sz="4" w:space="0"/>
              <w:bottom w:val="single" w:color="000000" w:sz="4" w:space="0"/>
              <w:right w:val="single" w:color="000000" w:sz="4" w:space="0"/>
            </w:tcBorders>
            <w:tcW w:w="982" w:type="dxa"/>
            <w:vAlign w:val="center"/>
            <w:textDirection w:val="lrTb"/>
            <w:noWrap w:val="false"/>
          </w:tcPr>
          <w:p>
            <w:pPr>
              <w:pStyle w:val="1063"/>
              <w:jc w:val="center"/>
              <w:widowControl w:val="off"/>
            </w:pPr>
            <w:r>
              <w:rPr>
                <w:rFonts w:ascii="Arial Narrow" w:hAnsi="Arial Narrow" w:cs="Calibri"/>
                <w:color w:val="0f0d29"/>
                <w:sz w:val="20"/>
                <w:szCs w:val="20"/>
              </w:rPr>
              <w:t xml:space="preserve">Год рождения</w:t>
            </w:r>
            <w:r/>
          </w:p>
        </w:tc>
        <w:tc>
          <w:tcPr>
            <w:shd w:val="clear" w:color="auto" w:fill="ffffff"/>
            <w:tcBorders>
              <w:top w:val="single" w:color="000000" w:sz="4" w:space="0"/>
              <w:left w:val="single" w:color="000000" w:sz="4" w:space="0"/>
              <w:bottom w:val="single" w:color="000000" w:sz="4" w:space="0"/>
              <w:right w:val="single" w:color="000000" w:sz="4" w:space="0"/>
            </w:tcBorders>
            <w:tcW w:w="1319" w:type="dxa"/>
            <w:vAlign w:val="center"/>
            <w:textDirection w:val="lrTb"/>
            <w:noWrap w:val="false"/>
          </w:tcPr>
          <w:p>
            <w:pPr>
              <w:pStyle w:val="1063"/>
              <w:jc w:val="center"/>
              <w:widowControl w:val="off"/>
            </w:pPr>
            <w:r>
              <w:rPr>
                <w:rFonts w:ascii="Arial Narrow" w:hAnsi="Arial Narrow" w:cs="Calibri"/>
                <w:color w:val="0f0d29"/>
                <w:sz w:val="20"/>
                <w:szCs w:val="20"/>
              </w:rPr>
              <w:t xml:space="preserve">Сведения об образовании</w:t>
            </w:r>
            <w:r/>
          </w:p>
        </w:tc>
        <w:tc>
          <w:tcPr>
            <w:shd w:val="clear" w:color="auto" w:fill="ffffff"/>
            <w:tcBorders>
              <w:top w:val="single" w:color="000000" w:sz="4" w:space="0"/>
              <w:left w:val="single" w:color="000000" w:sz="4" w:space="0"/>
              <w:bottom w:val="single" w:color="000000" w:sz="4" w:space="0"/>
              <w:right w:val="single" w:color="000000" w:sz="4" w:space="0"/>
            </w:tcBorders>
            <w:tcW w:w="3407" w:type="dxa"/>
            <w:vAlign w:val="center"/>
            <w:textDirection w:val="lrTb"/>
            <w:noWrap w:val="false"/>
          </w:tcPr>
          <w:p>
            <w:pPr>
              <w:pStyle w:val="1063"/>
              <w:jc w:val="center"/>
              <w:widowControl w:val="off"/>
            </w:pPr>
            <w:r>
              <w:rPr>
                <w:rFonts w:ascii="Arial Narrow" w:hAnsi="Arial Narrow" w:cs="Calibri"/>
                <w:color w:val="0f0d29"/>
                <w:sz w:val="20"/>
                <w:szCs w:val="20"/>
              </w:rPr>
              <w:t xml:space="preserve">Наименование должности по основному месту работы</w:t>
            </w:r>
            <w:r/>
          </w:p>
        </w:tc>
        <w:tc>
          <w:tcPr>
            <w:shd w:val="clear" w:color="auto" w:fill="ffffff"/>
            <w:tcBorders>
              <w:top w:val="single" w:color="000000" w:sz="4" w:space="0"/>
              <w:left w:val="single" w:color="000000" w:sz="4" w:space="0"/>
              <w:bottom w:val="single" w:color="000000" w:sz="4" w:space="0"/>
              <w:right w:val="single" w:color="000000" w:sz="4" w:space="0"/>
            </w:tcBorders>
            <w:tcW w:w="1761" w:type="dxa"/>
            <w:vAlign w:val="center"/>
            <w:textDirection w:val="lrTb"/>
            <w:noWrap w:val="false"/>
          </w:tcPr>
          <w:p>
            <w:pPr>
              <w:pStyle w:val="1063"/>
              <w:jc w:val="center"/>
              <w:widowControl w:val="off"/>
            </w:pPr>
            <w:r>
              <w:rPr>
                <w:rFonts w:ascii="Arial Narrow" w:hAnsi="Arial Narrow" w:cs="Calibri"/>
                <w:color w:val="0f0d29"/>
                <w:sz w:val="20"/>
                <w:szCs w:val="20"/>
              </w:rPr>
              <w:t xml:space="preserve">Доля в уставном капитале/Доля принадлежавших лицу обыкновенных акций Общества, %</w:t>
            </w:r>
            <w:r/>
          </w:p>
        </w:tc>
      </w:tr>
      <w:tr>
        <w:trPr>
          <w:jc w:val="center"/>
        </w:trPr>
        <w:tc>
          <w:tcPr>
            <w:shd w:val="clear" w:color="auto" w:fill="ffffff"/>
            <w:tcBorders>
              <w:top w:val="single" w:color="000000" w:sz="4" w:space="0"/>
              <w:left w:val="single" w:color="000000" w:sz="4" w:space="0"/>
              <w:bottom w:val="single" w:color="000000" w:sz="4" w:space="0"/>
              <w:right w:val="single" w:color="000000" w:sz="4" w:space="0"/>
            </w:tcBorders>
            <w:tcW w:w="416" w:type="dxa"/>
            <w:vAlign w:val="center"/>
            <w:textDirection w:val="lrTb"/>
            <w:noWrap w:val="false"/>
          </w:tcPr>
          <w:p>
            <w:pPr>
              <w:pStyle w:val="1063"/>
              <w:jc w:val="center"/>
              <w:widowControl w:val="off"/>
            </w:pPr>
            <w:r>
              <w:rPr>
                <w:rFonts w:ascii="Arial Narrow" w:hAnsi="Arial Narrow" w:cs="Calibri"/>
                <w:color w:val="0f0d29"/>
                <w:sz w:val="20"/>
                <w:szCs w:val="20"/>
              </w:rPr>
              <w:t xml:space="preserve">1</w:t>
            </w:r>
            <w:r/>
          </w:p>
        </w:tc>
        <w:tc>
          <w:tcPr>
            <w:shd w:val="clear" w:color="auto" w:fill="ffffff"/>
            <w:tcBorders>
              <w:top w:val="single" w:color="000000" w:sz="4" w:space="0"/>
              <w:left w:val="single" w:color="000000" w:sz="4" w:space="0"/>
              <w:bottom w:val="single" w:color="000000" w:sz="4" w:space="0"/>
              <w:right w:val="single" w:color="000000" w:sz="4" w:space="0"/>
            </w:tcBorders>
            <w:tcW w:w="2254" w:type="dxa"/>
            <w:vAlign w:val="center"/>
            <w:textDirection w:val="lrTb"/>
            <w:noWrap w:val="false"/>
          </w:tcPr>
          <w:p>
            <w:pPr>
              <w:pStyle w:val="1063"/>
              <w:jc w:val="center"/>
              <w:widowControl w:val="off"/>
            </w:pPr>
            <w:r>
              <w:rPr>
                <w:rFonts w:ascii="Arial Narrow" w:hAnsi="Arial Narrow" w:cs="Calibri"/>
                <w:color w:val="0f0d29"/>
                <w:sz w:val="20"/>
                <w:szCs w:val="20"/>
              </w:rPr>
              <w:t xml:space="preserve">Новикова</w:t>
            </w:r>
            <w:r/>
          </w:p>
          <w:p>
            <w:pPr>
              <w:pStyle w:val="1063"/>
              <w:jc w:val="center"/>
              <w:widowControl w:val="off"/>
            </w:pPr>
            <w:r>
              <w:rPr>
                <w:rFonts w:ascii="Arial Narrow" w:hAnsi="Arial Narrow" w:cs="Calibri"/>
                <w:color w:val="0f0d29"/>
                <w:sz w:val="20"/>
                <w:szCs w:val="20"/>
              </w:rPr>
              <w:t xml:space="preserve">Юлия Викторовна</w:t>
            </w:r>
            <w:r/>
          </w:p>
        </w:tc>
        <w:tc>
          <w:tcPr>
            <w:shd w:val="clear" w:color="auto" w:fill="ffffff"/>
            <w:tcBorders>
              <w:top w:val="single" w:color="000000" w:sz="4" w:space="0"/>
              <w:left w:val="single" w:color="000000" w:sz="4" w:space="0"/>
              <w:bottom w:val="single" w:color="000000" w:sz="4" w:space="0"/>
              <w:right w:val="single" w:color="000000" w:sz="4" w:space="0"/>
            </w:tcBorders>
            <w:tcW w:w="982" w:type="dxa"/>
            <w:vAlign w:val="center"/>
            <w:textDirection w:val="lrTb"/>
            <w:noWrap w:val="false"/>
          </w:tcPr>
          <w:p>
            <w:pPr>
              <w:pStyle w:val="1063"/>
              <w:jc w:val="center"/>
              <w:widowControl w:val="off"/>
            </w:pPr>
            <w:r>
              <w:rPr>
                <w:rFonts w:ascii="Arial Narrow" w:hAnsi="Arial Narrow" w:cs="Calibri"/>
                <w:color w:val="0f0d29"/>
                <w:sz w:val="20"/>
                <w:szCs w:val="20"/>
              </w:rPr>
              <w:t xml:space="preserve">1982</w:t>
            </w:r>
            <w:r/>
          </w:p>
        </w:tc>
        <w:tc>
          <w:tcPr>
            <w:shd w:val="clear" w:color="auto" w:fill="ffffff"/>
            <w:tcBorders>
              <w:top w:val="single" w:color="000000" w:sz="4" w:space="0"/>
              <w:left w:val="single" w:color="000000" w:sz="4" w:space="0"/>
              <w:bottom w:val="single" w:color="000000" w:sz="4" w:space="0"/>
              <w:right w:val="single" w:color="000000" w:sz="4" w:space="0"/>
            </w:tcBorders>
            <w:tcW w:w="1319" w:type="dxa"/>
            <w:vAlign w:val="center"/>
            <w:textDirection w:val="lrTb"/>
            <w:noWrap w:val="false"/>
          </w:tcPr>
          <w:p>
            <w:pPr>
              <w:pStyle w:val="1063"/>
              <w:jc w:val="center"/>
              <w:widowControl w:val="off"/>
            </w:pPr>
            <w:r>
              <w:rPr>
                <w:rFonts w:ascii="Arial Narrow" w:hAnsi="Arial Narrow" w:cs="Calibri"/>
                <w:color w:val="0f0d29"/>
                <w:sz w:val="20"/>
                <w:szCs w:val="20"/>
              </w:rPr>
              <w:t xml:space="preserve">Высшее</w:t>
            </w:r>
            <w:r/>
          </w:p>
        </w:tc>
        <w:tc>
          <w:tcPr>
            <w:shd w:val="clear" w:color="auto" w:fill="ffffff"/>
            <w:tcBorders>
              <w:top w:val="single" w:color="000000" w:sz="4" w:space="0"/>
              <w:left w:val="single" w:color="000000" w:sz="4" w:space="0"/>
              <w:bottom w:val="single" w:color="000000" w:sz="4" w:space="0"/>
              <w:right w:val="single" w:color="000000" w:sz="4" w:space="0"/>
            </w:tcBorders>
            <w:tcW w:w="3407" w:type="dxa"/>
            <w:vAlign w:val="center"/>
            <w:textDirection w:val="lrTb"/>
            <w:noWrap w:val="false"/>
          </w:tcPr>
          <w:p>
            <w:pPr>
              <w:pStyle w:val="1063"/>
              <w:jc w:val="center"/>
              <w:widowControl w:val="off"/>
            </w:pPr>
            <w:r>
              <w:rPr>
                <w:rFonts w:ascii="Arial Narrow" w:hAnsi="Arial Narrow" w:cs="Calibri"/>
                <w:color w:val="0f0d29"/>
                <w:sz w:val="20"/>
                <w:szCs w:val="20"/>
              </w:rPr>
              <w:t xml:space="preserve">Начальник Управления антикоррупционной деятельности Департамента контроля и управления рисками ПАО «РусГидро»</w:t>
            </w:r>
            <w:r/>
          </w:p>
        </w:tc>
        <w:tc>
          <w:tcPr>
            <w:shd w:val="clear" w:color="auto" w:fill="ffffff"/>
            <w:tcBorders>
              <w:top w:val="single" w:color="000000" w:sz="4" w:space="0"/>
              <w:left w:val="single" w:color="000000" w:sz="4" w:space="0"/>
              <w:bottom w:val="single" w:color="000000" w:sz="4" w:space="0"/>
              <w:right w:val="single" w:color="000000" w:sz="4" w:space="0"/>
            </w:tcBorders>
            <w:tcW w:w="1761" w:type="dxa"/>
            <w:vAlign w:val="center"/>
            <w:textDirection w:val="lrTb"/>
            <w:noWrap w:val="false"/>
          </w:tcPr>
          <w:p>
            <w:pPr>
              <w:pStyle w:val="1063"/>
              <w:jc w:val="center"/>
              <w:widowControl w:val="off"/>
            </w:pPr>
            <w:r>
              <w:rPr>
                <w:rFonts w:ascii="Arial Narrow" w:hAnsi="Arial Narrow" w:cs="Calibri"/>
                <w:color w:val="0f0d29"/>
                <w:sz w:val="20"/>
                <w:szCs w:val="20"/>
              </w:rPr>
              <w:t xml:space="preserve">0/0</w:t>
            </w:r>
            <w:r/>
          </w:p>
        </w:tc>
      </w:tr>
      <w:tr>
        <w:trPr>
          <w:jc w:val="center"/>
          <w:trHeight w:val="334"/>
        </w:trPr>
        <w:tc>
          <w:tcPr>
            <w:shd w:val="clear" w:color="auto" w:fill="ffffff"/>
            <w:tcBorders>
              <w:top w:val="single" w:color="000000" w:sz="4" w:space="0"/>
              <w:left w:val="single" w:color="000000" w:sz="4" w:space="0"/>
              <w:bottom w:val="single" w:color="000000" w:sz="4" w:space="0"/>
              <w:right w:val="single" w:color="000000" w:sz="4" w:space="0"/>
            </w:tcBorders>
            <w:tcW w:w="416" w:type="dxa"/>
            <w:vAlign w:val="center"/>
            <w:textDirection w:val="lrTb"/>
            <w:noWrap w:val="false"/>
          </w:tcPr>
          <w:p>
            <w:pPr>
              <w:pStyle w:val="1063"/>
              <w:jc w:val="center"/>
              <w:widowControl w:val="off"/>
            </w:pPr>
            <w:r>
              <w:rPr>
                <w:rFonts w:ascii="Arial Narrow" w:hAnsi="Arial Narrow" w:cs="Calibri"/>
                <w:color w:val="0f0d29"/>
                <w:sz w:val="20"/>
                <w:szCs w:val="20"/>
              </w:rPr>
              <w:t xml:space="preserve">2</w:t>
            </w:r>
            <w:r/>
          </w:p>
        </w:tc>
        <w:tc>
          <w:tcPr>
            <w:shd w:val="clear" w:color="auto" w:fill="ffffff"/>
            <w:tcBorders>
              <w:top w:val="single" w:color="000000" w:sz="4" w:space="0"/>
              <w:left w:val="single" w:color="000000" w:sz="4" w:space="0"/>
              <w:bottom w:val="single" w:color="000000" w:sz="4" w:space="0"/>
              <w:right w:val="single" w:color="000000" w:sz="4" w:space="0"/>
            </w:tcBorders>
            <w:tcW w:w="2254" w:type="dxa"/>
            <w:vAlign w:val="center"/>
            <w:textDirection w:val="lrTb"/>
            <w:noWrap w:val="false"/>
          </w:tcPr>
          <w:p>
            <w:pPr>
              <w:pStyle w:val="1063"/>
              <w:jc w:val="center"/>
              <w:widowControl w:val="off"/>
            </w:pPr>
            <w:r>
              <w:rPr>
                <w:rFonts w:ascii="Arial Narrow" w:hAnsi="Arial Narrow" w:cs="Calibri"/>
                <w:color w:val="0f0d29"/>
                <w:sz w:val="20"/>
                <w:szCs w:val="20"/>
              </w:rPr>
              <w:t xml:space="preserve">Войкусова</w:t>
            </w:r>
            <w:r/>
          </w:p>
          <w:p>
            <w:pPr>
              <w:pStyle w:val="1063"/>
              <w:jc w:val="center"/>
              <w:widowControl w:val="off"/>
            </w:pPr>
            <w:r>
              <w:rPr>
                <w:rFonts w:ascii="Arial Narrow" w:hAnsi="Arial Narrow" w:cs="Calibri"/>
                <w:color w:val="0f0d29"/>
                <w:sz w:val="20"/>
                <w:szCs w:val="20"/>
              </w:rPr>
              <w:t xml:space="preserve">Тамара Юрьевна</w:t>
            </w:r>
            <w:r/>
          </w:p>
        </w:tc>
        <w:tc>
          <w:tcPr>
            <w:shd w:val="clear" w:color="auto" w:fill="ffffff"/>
            <w:tcBorders>
              <w:top w:val="single" w:color="000000" w:sz="4" w:space="0"/>
              <w:left w:val="single" w:color="000000" w:sz="4" w:space="0"/>
              <w:bottom w:val="single" w:color="000000" w:sz="4" w:space="0"/>
              <w:right w:val="single" w:color="000000" w:sz="4" w:space="0"/>
            </w:tcBorders>
            <w:tcW w:w="982" w:type="dxa"/>
            <w:vAlign w:val="center"/>
            <w:textDirection w:val="lrTb"/>
            <w:noWrap w:val="false"/>
          </w:tcPr>
          <w:p>
            <w:pPr>
              <w:pStyle w:val="1063"/>
              <w:jc w:val="center"/>
              <w:widowControl w:val="off"/>
            </w:pPr>
            <w:r>
              <w:rPr>
                <w:rFonts w:ascii="Arial Narrow" w:hAnsi="Arial Narrow" w:cs="Calibri"/>
                <w:color w:val="0f0d29"/>
                <w:sz w:val="20"/>
                <w:szCs w:val="20"/>
              </w:rPr>
              <w:t xml:space="preserve">1975</w:t>
            </w:r>
            <w:r/>
          </w:p>
        </w:tc>
        <w:tc>
          <w:tcPr>
            <w:shd w:val="clear" w:color="auto" w:fill="ffffff"/>
            <w:tcBorders>
              <w:top w:val="single" w:color="000000" w:sz="4" w:space="0"/>
              <w:left w:val="single" w:color="000000" w:sz="4" w:space="0"/>
              <w:bottom w:val="single" w:color="000000" w:sz="4" w:space="0"/>
              <w:right w:val="single" w:color="000000" w:sz="4" w:space="0"/>
            </w:tcBorders>
            <w:tcW w:w="1319" w:type="dxa"/>
            <w:vAlign w:val="center"/>
            <w:textDirection w:val="lrTb"/>
            <w:noWrap w:val="false"/>
          </w:tcPr>
          <w:p>
            <w:pPr>
              <w:pStyle w:val="1063"/>
              <w:jc w:val="center"/>
              <w:widowControl w:val="off"/>
            </w:pPr>
            <w:r>
              <w:rPr>
                <w:rFonts w:ascii="Arial Narrow" w:hAnsi="Arial Narrow" w:cs="Calibri"/>
                <w:color w:val="0f0d29"/>
                <w:sz w:val="20"/>
                <w:szCs w:val="20"/>
              </w:rPr>
              <w:t xml:space="preserve">Высшее</w:t>
            </w:r>
            <w:r/>
          </w:p>
        </w:tc>
        <w:tc>
          <w:tcPr>
            <w:shd w:val="clear" w:color="auto" w:fill="ffffff"/>
            <w:tcBorders>
              <w:top w:val="single" w:color="000000" w:sz="4" w:space="0"/>
              <w:left w:val="single" w:color="000000" w:sz="4" w:space="0"/>
              <w:bottom w:val="single" w:color="000000" w:sz="4" w:space="0"/>
              <w:right w:val="single" w:color="000000" w:sz="4" w:space="0"/>
            </w:tcBorders>
            <w:tcW w:w="3407" w:type="dxa"/>
            <w:vAlign w:val="center"/>
            <w:textDirection w:val="lrTb"/>
            <w:noWrap w:val="false"/>
          </w:tcPr>
          <w:p>
            <w:pPr>
              <w:pStyle w:val="1063"/>
              <w:jc w:val="center"/>
              <w:widowControl w:val="off"/>
            </w:pPr>
            <w:r>
              <w:rPr>
                <w:rFonts w:ascii="Arial Narrow" w:hAnsi="Arial Narrow" w:cs="Calibri"/>
                <w:color w:val="0f0d29"/>
                <w:sz w:val="20"/>
                <w:szCs w:val="20"/>
              </w:rPr>
              <w:t xml:space="preserve">Главный специалист Контрольно-ревизионного управления «Дальний Восток» Департамента контроля и управления рисками ПАО «РусГидро»</w:t>
            </w:r>
            <w:r/>
          </w:p>
        </w:tc>
        <w:tc>
          <w:tcPr>
            <w:shd w:val="clear" w:color="auto" w:fill="ffffff"/>
            <w:tcBorders>
              <w:top w:val="single" w:color="000000" w:sz="4" w:space="0"/>
              <w:left w:val="single" w:color="000000" w:sz="4" w:space="0"/>
              <w:bottom w:val="single" w:color="000000" w:sz="4" w:space="0"/>
              <w:right w:val="single" w:color="000000" w:sz="4" w:space="0"/>
            </w:tcBorders>
            <w:tcW w:w="1761" w:type="dxa"/>
            <w:vAlign w:val="center"/>
            <w:textDirection w:val="lrTb"/>
            <w:noWrap w:val="false"/>
          </w:tcPr>
          <w:p>
            <w:pPr>
              <w:pStyle w:val="1063"/>
              <w:jc w:val="center"/>
              <w:widowControl w:val="off"/>
              <w:rPr>
                <w:rFonts w:ascii="Arial Narrow" w:hAnsi="Arial Narrow" w:cs="Calibri"/>
                <w:color w:val="0f0d29"/>
                <w:sz w:val="20"/>
                <w:szCs w:val="20"/>
              </w:rPr>
            </w:pPr>
            <w:r>
              <w:rPr>
                <w:rFonts w:ascii="Arial Narrow" w:hAnsi="Arial Narrow" w:cs="Calibri"/>
                <w:color w:val="0f0d29"/>
                <w:sz w:val="20"/>
                <w:szCs w:val="20"/>
              </w:rPr>
              <w:t xml:space="preserve">0/0</w:t>
            </w:r>
            <w:r>
              <w:rPr>
                <w:rFonts w:ascii="Arial Narrow" w:hAnsi="Arial Narrow" w:cs="Calibri"/>
                <w:color w:val="0f0d29"/>
                <w:sz w:val="20"/>
                <w:szCs w:val="20"/>
              </w:rPr>
            </w:r>
            <w:r>
              <w:rPr>
                <w:rFonts w:ascii="Arial Narrow" w:hAnsi="Arial Narrow" w:cs="Calibri"/>
                <w:color w:val="0f0d29"/>
                <w:sz w:val="20"/>
                <w:szCs w:val="20"/>
              </w:rPr>
            </w:r>
          </w:p>
        </w:tc>
      </w:tr>
      <w:tr>
        <w:trPr>
          <w:jc w:val="center"/>
        </w:trPr>
        <w:tc>
          <w:tcPr>
            <w:shd w:val="clear" w:color="auto" w:fill="ffffff"/>
            <w:tcBorders>
              <w:top w:val="single" w:color="000000" w:sz="4" w:space="0"/>
              <w:left w:val="single" w:color="000000" w:sz="4" w:space="0"/>
              <w:bottom w:val="single" w:color="000000" w:sz="4" w:space="0"/>
              <w:right w:val="single" w:color="000000" w:sz="4" w:space="0"/>
            </w:tcBorders>
            <w:tcW w:w="416" w:type="dxa"/>
            <w:vAlign w:val="center"/>
            <w:textDirection w:val="lrTb"/>
            <w:noWrap w:val="false"/>
          </w:tcPr>
          <w:p>
            <w:pPr>
              <w:pStyle w:val="1063"/>
              <w:jc w:val="center"/>
              <w:widowControl w:val="off"/>
            </w:pPr>
            <w:r>
              <w:rPr>
                <w:rFonts w:ascii="Arial Narrow" w:hAnsi="Arial Narrow" w:cs="Calibri"/>
                <w:color w:val="0f0d29"/>
                <w:sz w:val="20"/>
                <w:szCs w:val="20"/>
              </w:rPr>
              <w:t xml:space="preserve">3</w:t>
            </w:r>
            <w:r/>
          </w:p>
        </w:tc>
        <w:tc>
          <w:tcPr>
            <w:shd w:val="clear" w:color="auto" w:fill="ffffff"/>
            <w:tcBorders>
              <w:top w:val="single" w:color="000000" w:sz="4" w:space="0"/>
              <w:left w:val="single" w:color="000000" w:sz="4" w:space="0"/>
              <w:bottom w:val="single" w:color="000000" w:sz="4" w:space="0"/>
              <w:right w:val="single" w:color="000000" w:sz="4" w:space="0"/>
            </w:tcBorders>
            <w:tcW w:w="2254" w:type="dxa"/>
            <w:vAlign w:val="center"/>
            <w:textDirection w:val="lrTb"/>
            <w:noWrap w:val="false"/>
          </w:tcPr>
          <w:p>
            <w:pPr>
              <w:pStyle w:val="1063"/>
              <w:jc w:val="center"/>
              <w:widowControl w:val="off"/>
            </w:pPr>
            <w:r>
              <w:rPr>
                <w:rFonts w:ascii="Arial Narrow" w:hAnsi="Arial Narrow" w:cs="Calibri"/>
                <w:color w:val="0f0d29"/>
                <w:sz w:val="20"/>
                <w:szCs w:val="20"/>
              </w:rPr>
              <w:t xml:space="preserve">Пиевский</w:t>
            </w:r>
            <w:r/>
          </w:p>
          <w:p>
            <w:pPr>
              <w:pStyle w:val="1063"/>
              <w:jc w:val="center"/>
              <w:widowControl w:val="off"/>
            </w:pPr>
            <w:r>
              <w:rPr>
                <w:rFonts w:ascii="Arial Narrow" w:hAnsi="Arial Narrow" w:cs="Calibri"/>
                <w:color w:val="0f0d29"/>
                <w:sz w:val="20"/>
                <w:szCs w:val="20"/>
              </w:rPr>
              <w:t xml:space="preserve">Сергей Александрович</w:t>
            </w:r>
            <w:r/>
          </w:p>
        </w:tc>
        <w:tc>
          <w:tcPr>
            <w:shd w:val="clear" w:color="auto" w:fill="ffffff"/>
            <w:tcBorders>
              <w:top w:val="single" w:color="000000" w:sz="4" w:space="0"/>
              <w:left w:val="single" w:color="000000" w:sz="4" w:space="0"/>
              <w:bottom w:val="single" w:color="000000" w:sz="4" w:space="0"/>
              <w:right w:val="single" w:color="000000" w:sz="4" w:space="0"/>
            </w:tcBorders>
            <w:tcW w:w="982" w:type="dxa"/>
            <w:vAlign w:val="center"/>
            <w:textDirection w:val="lrTb"/>
            <w:noWrap w:val="false"/>
          </w:tcPr>
          <w:p>
            <w:pPr>
              <w:pStyle w:val="1063"/>
              <w:jc w:val="center"/>
              <w:widowControl w:val="off"/>
            </w:pPr>
            <w:r>
              <w:rPr>
                <w:rFonts w:ascii="Arial Narrow" w:hAnsi="Arial Narrow" w:cs="Calibri"/>
                <w:color w:val="0f0d29"/>
                <w:sz w:val="20"/>
                <w:szCs w:val="20"/>
              </w:rPr>
              <w:t xml:space="preserve">1988</w:t>
            </w:r>
            <w:r/>
          </w:p>
        </w:tc>
        <w:tc>
          <w:tcPr>
            <w:shd w:val="clear" w:color="auto" w:fill="ffffff"/>
            <w:tcBorders>
              <w:top w:val="single" w:color="000000" w:sz="4" w:space="0"/>
              <w:left w:val="single" w:color="000000" w:sz="4" w:space="0"/>
              <w:bottom w:val="single" w:color="000000" w:sz="4" w:space="0"/>
              <w:right w:val="single" w:color="000000" w:sz="4" w:space="0"/>
            </w:tcBorders>
            <w:tcW w:w="1319" w:type="dxa"/>
            <w:vAlign w:val="center"/>
            <w:textDirection w:val="lrTb"/>
            <w:noWrap w:val="false"/>
          </w:tcPr>
          <w:p>
            <w:pPr>
              <w:pStyle w:val="1063"/>
              <w:jc w:val="center"/>
              <w:widowControl w:val="off"/>
            </w:pPr>
            <w:r>
              <w:rPr>
                <w:rFonts w:ascii="Arial Narrow" w:hAnsi="Arial Narrow" w:cs="Calibri"/>
                <w:color w:val="0f0d29"/>
                <w:sz w:val="20"/>
                <w:szCs w:val="20"/>
              </w:rPr>
              <w:t xml:space="preserve">Высшее</w:t>
            </w:r>
            <w:r/>
          </w:p>
        </w:tc>
        <w:tc>
          <w:tcPr>
            <w:shd w:val="clear" w:color="auto" w:fill="ffffff"/>
            <w:tcBorders>
              <w:top w:val="single" w:color="000000" w:sz="4" w:space="0"/>
              <w:left w:val="single" w:color="000000" w:sz="4" w:space="0"/>
              <w:bottom w:val="single" w:color="000000" w:sz="4" w:space="0"/>
              <w:right w:val="single" w:color="000000" w:sz="4" w:space="0"/>
            </w:tcBorders>
            <w:tcW w:w="3407" w:type="dxa"/>
            <w:vAlign w:val="center"/>
            <w:textDirection w:val="lrTb"/>
            <w:noWrap w:val="false"/>
          </w:tcPr>
          <w:p>
            <w:pPr>
              <w:pStyle w:val="1063"/>
              <w:jc w:val="center"/>
              <w:widowControl w:val="off"/>
            </w:pPr>
            <w:r>
              <w:rPr>
                <w:rFonts w:ascii="Arial Narrow" w:hAnsi="Arial Narrow" w:cs="Calibri"/>
                <w:color w:val="0f0d29"/>
                <w:sz w:val="20"/>
                <w:szCs w:val="20"/>
              </w:rPr>
              <w:t xml:space="preserve">Главный эксперт Контрольно-ревизионного управления «Дальний Восток» Департамента контроля и управления рисками ПАО «РусГидро»</w:t>
            </w:r>
            <w:r/>
          </w:p>
        </w:tc>
        <w:tc>
          <w:tcPr>
            <w:shd w:val="clear" w:color="auto" w:fill="ffffff"/>
            <w:tcBorders>
              <w:top w:val="single" w:color="000000" w:sz="4" w:space="0"/>
              <w:left w:val="single" w:color="000000" w:sz="4" w:space="0"/>
              <w:bottom w:val="single" w:color="000000" w:sz="4" w:space="0"/>
              <w:right w:val="single" w:color="000000" w:sz="4" w:space="0"/>
            </w:tcBorders>
            <w:tcW w:w="1761" w:type="dxa"/>
            <w:vAlign w:val="center"/>
            <w:textDirection w:val="lrTb"/>
            <w:noWrap w:val="false"/>
          </w:tcPr>
          <w:p>
            <w:pPr>
              <w:pStyle w:val="1063"/>
              <w:jc w:val="center"/>
              <w:widowControl w:val="off"/>
            </w:pPr>
            <w:r>
              <w:rPr>
                <w:rFonts w:ascii="Arial Narrow" w:hAnsi="Arial Narrow" w:cs="Calibri"/>
                <w:color w:val="0f0d29"/>
                <w:sz w:val="20"/>
                <w:szCs w:val="20"/>
              </w:rPr>
              <w:t xml:space="preserve">0/0</w:t>
            </w:r>
            <w:r/>
          </w:p>
        </w:tc>
      </w:tr>
      <w:tr>
        <w:trPr>
          <w:jc w:val="center"/>
        </w:trPr>
        <w:tc>
          <w:tcPr>
            <w:shd w:val="clear" w:color="auto" w:fill="ffffff"/>
            <w:tcBorders>
              <w:top w:val="single" w:color="000000" w:sz="4" w:space="0"/>
              <w:left w:val="single" w:color="000000" w:sz="4" w:space="0"/>
              <w:bottom w:val="single" w:color="000000" w:sz="4" w:space="0"/>
              <w:right w:val="single" w:color="000000" w:sz="4" w:space="0"/>
            </w:tcBorders>
            <w:tcW w:w="416" w:type="dxa"/>
            <w:vAlign w:val="center"/>
            <w:textDirection w:val="lrTb"/>
            <w:noWrap w:val="false"/>
          </w:tcPr>
          <w:p>
            <w:pPr>
              <w:pStyle w:val="1063"/>
              <w:jc w:val="center"/>
              <w:widowControl w:val="off"/>
            </w:pPr>
            <w:r>
              <w:rPr>
                <w:rFonts w:ascii="Arial Narrow" w:hAnsi="Arial Narrow" w:cs="Calibri"/>
                <w:color w:val="0f0d29"/>
                <w:sz w:val="20"/>
                <w:szCs w:val="20"/>
              </w:rPr>
              <w:t xml:space="preserve">4</w:t>
            </w:r>
            <w:r/>
          </w:p>
        </w:tc>
        <w:tc>
          <w:tcPr>
            <w:shd w:val="clear" w:color="auto" w:fill="ffffff"/>
            <w:tcBorders>
              <w:top w:val="single" w:color="000000" w:sz="4" w:space="0"/>
              <w:left w:val="single" w:color="000000" w:sz="4" w:space="0"/>
              <w:bottom w:val="single" w:color="000000" w:sz="4" w:space="0"/>
              <w:right w:val="single" w:color="000000" w:sz="4" w:space="0"/>
            </w:tcBorders>
            <w:tcW w:w="2254" w:type="dxa"/>
            <w:vAlign w:val="center"/>
            <w:textDirection w:val="lrTb"/>
            <w:noWrap w:val="false"/>
          </w:tcPr>
          <w:p>
            <w:pPr>
              <w:pStyle w:val="1063"/>
              <w:jc w:val="center"/>
              <w:widowControl w:val="off"/>
            </w:pPr>
            <w:r>
              <w:rPr>
                <w:rFonts w:ascii="Arial Narrow" w:hAnsi="Arial Narrow" w:cs="Calibri"/>
                <w:color w:val="0f0d29"/>
                <w:sz w:val="20"/>
                <w:szCs w:val="20"/>
              </w:rPr>
              <w:t xml:space="preserve">Слободин</w:t>
            </w:r>
            <w:r/>
          </w:p>
          <w:p>
            <w:pPr>
              <w:pStyle w:val="1063"/>
              <w:jc w:val="center"/>
              <w:widowControl w:val="off"/>
            </w:pPr>
            <w:r>
              <w:rPr>
                <w:rFonts w:ascii="Arial Narrow" w:hAnsi="Arial Narrow" w:cs="Calibri"/>
                <w:color w:val="0f0d29"/>
                <w:sz w:val="20"/>
                <w:szCs w:val="20"/>
              </w:rPr>
              <w:t xml:space="preserve">Алексей Исаакович</w:t>
            </w:r>
            <w:r/>
          </w:p>
        </w:tc>
        <w:tc>
          <w:tcPr>
            <w:shd w:val="clear" w:color="auto" w:fill="ffffff"/>
            <w:tcBorders>
              <w:top w:val="single" w:color="000000" w:sz="4" w:space="0"/>
              <w:left w:val="single" w:color="000000" w:sz="4" w:space="0"/>
              <w:bottom w:val="single" w:color="000000" w:sz="4" w:space="0"/>
              <w:right w:val="single" w:color="000000" w:sz="4" w:space="0"/>
            </w:tcBorders>
            <w:tcW w:w="982" w:type="dxa"/>
            <w:vAlign w:val="center"/>
            <w:textDirection w:val="lrTb"/>
            <w:noWrap w:val="false"/>
          </w:tcPr>
          <w:p>
            <w:pPr>
              <w:pStyle w:val="1063"/>
              <w:jc w:val="center"/>
              <w:widowControl w:val="off"/>
            </w:pPr>
            <w:r>
              <w:rPr>
                <w:rFonts w:ascii="Arial Narrow" w:hAnsi="Arial Narrow" w:cs="Calibri"/>
                <w:color w:val="0f0d29"/>
                <w:sz w:val="20"/>
                <w:szCs w:val="20"/>
              </w:rPr>
              <w:t xml:space="preserve">1982</w:t>
            </w:r>
            <w:r/>
          </w:p>
        </w:tc>
        <w:tc>
          <w:tcPr>
            <w:shd w:val="clear" w:color="auto" w:fill="ffffff"/>
            <w:tcBorders>
              <w:top w:val="single" w:color="000000" w:sz="4" w:space="0"/>
              <w:left w:val="single" w:color="000000" w:sz="4" w:space="0"/>
              <w:bottom w:val="single" w:color="000000" w:sz="4" w:space="0"/>
              <w:right w:val="single" w:color="000000" w:sz="4" w:space="0"/>
            </w:tcBorders>
            <w:tcW w:w="1319" w:type="dxa"/>
            <w:vAlign w:val="center"/>
            <w:textDirection w:val="lrTb"/>
            <w:noWrap w:val="false"/>
          </w:tcPr>
          <w:p>
            <w:pPr>
              <w:pStyle w:val="1063"/>
              <w:jc w:val="center"/>
              <w:widowControl w:val="off"/>
            </w:pPr>
            <w:r>
              <w:rPr>
                <w:rFonts w:ascii="Arial Narrow" w:hAnsi="Arial Narrow" w:cs="Calibri"/>
                <w:color w:val="0f0d29"/>
                <w:sz w:val="20"/>
                <w:szCs w:val="20"/>
              </w:rPr>
              <w:t xml:space="preserve">Высшее</w:t>
            </w:r>
            <w:r/>
          </w:p>
        </w:tc>
        <w:tc>
          <w:tcPr>
            <w:shd w:val="clear" w:color="auto" w:fill="ffffff"/>
            <w:tcBorders>
              <w:top w:val="single" w:color="000000" w:sz="4" w:space="0"/>
              <w:left w:val="single" w:color="000000" w:sz="4" w:space="0"/>
              <w:bottom w:val="single" w:color="000000" w:sz="4" w:space="0"/>
              <w:right w:val="single" w:color="000000" w:sz="4" w:space="0"/>
            </w:tcBorders>
            <w:tcW w:w="3407" w:type="dxa"/>
            <w:vAlign w:val="center"/>
            <w:textDirection w:val="lrTb"/>
            <w:noWrap w:val="false"/>
          </w:tcPr>
          <w:p>
            <w:pPr>
              <w:pStyle w:val="1063"/>
              <w:jc w:val="center"/>
              <w:widowControl w:val="off"/>
            </w:pPr>
            <w:r>
              <w:rPr>
                <w:rFonts w:ascii="Arial Narrow" w:hAnsi="Arial Narrow" w:cs="Calibri"/>
                <w:color w:val="0f0d29"/>
                <w:sz w:val="20"/>
                <w:szCs w:val="20"/>
              </w:rPr>
              <w:t xml:space="preserve">Начальник контрольно-ревизионного управления «Дальний Восток» - руководитель контрольно-ревизионной деятельности на Дальнем Востоке Департамента контроля и управления рисками ПАО «РусГидро»</w:t>
            </w:r>
            <w:r/>
          </w:p>
        </w:tc>
        <w:tc>
          <w:tcPr>
            <w:shd w:val="clear" w:color="auto" w:fill="ffffff"/>
            <w:tcBorders>
              <w:top w:val="single" w:color="000000" w:sz="4" w:space="0"/>
              <w:left w:val="single" w:color="000000" w:sz="4" w:space="0"/>
              <w:bottom w:val="single" w:color="000000" w:sz="4" w:space="0"/>
              <w:right w:val="single" w:color="000000" w:sz="4" w:space="0"/>
            </w:tcBorders>
            <w:tcW w:w="1761" w:type="dxa"/>
            <w:vAlign w:val="center"/>
            <w:textDirection w:val="lrTb"/>
            <w:noWrap w:val="false"/>
          </w:tcPr>
          <w:p>
            <w:pPr>
              <w:pStyle w:val="1063"/>
              <w:jc w:val="center"/>
              <w:widowControl w:val="off"/>
            </w:pPr>
            <w:r>
              <w:rPr>
                <w:rFonts w:ascii="Arial Narrow" w:hAnsi="Arial Narrow" w:cs="Calibri"/>
                <w:color w:val="0f0d29"/>
                <w:sz w:val="20"/>
                <w:szCs w:val="20"/>
              </w:rPr>
              <w:t xml:space="preserve">0/0</w:t>
            </w:r>
            <w:r/>
          </w:p>
        </w:tc>
      </w:tr>
      <w:tr>
        <w:trPr>
          <w:jc w:val="center"/>
        </w:trPr>
        <w:tc>
          <w:tcPr>
            <w:shd w:val="clear" w:color="auto" w:fill="ffffff"/>
            <w:tcBorders>
              <w:top w:val="single" w:color="000000" w:sz="4" w:space="0"/>
              <w:left w:val="single" w:color="000000" w:sz="4" w:space="0"/>
              <w:bottom w:val="single" w:color="000000" w:sz="4" w:space="0"/>
              <w:right w:val="single" w:color="000000" w:sz="4" w:space="0"/>
            </w:tcBorders>
            <w:tcW w:w="416" w:type="dxa"/>
            <w:vAlign w:val="center"/>
            <w:textDirection w:val="lrTb"/>
            <w:noWrap w:val="false"/>
          </w:tcPr>
          <w:p>
            <w:pPr>
              <w:pStyle w:val="1063"/>
              <w:jc w:val="center"/>
              <w:widowControl w:val="off"/>
            </w:pPr>
            <w:r>
              <w:rPr>
                <w:rFonts w:ascii="Arial Narrow" w:hAnsi="Arial Narrow" w:cs="Calibri"/>
                <w:color w:val="0f0d29"/>
                <w:sz w:val="20"/>
                <w:szCs w:val="20"/>
              </w:rPr>
              <w:t xml:space="preserve">5</w:t>
            </w:r>
            <w:r/>
          </w:p>
        </w:tc>
        <w:tc>
          <w:tcPr>
            <w:shd w:val="clear" w:color="auto" w:fill="ffffff"/>
            <w:tcBorders>
              <w:top w:val="single" w:color="000000" w:sz="4" w:space="0"/>
              <w:left w:val="single" w:color="000000" w:sz="4" w:space="0"/>
              <w:bottom w:val="single" w:color="000000" w:sz="4" w:space="0"/>
              <w:right w:val="single" w:color="000000" w:sz="4" w:space="0"/>
            </w:tcBorders>
            <w:tcW w:w="2254" w:type="dxa"/>
            <w:vAlign w:val="center"/>
            <w:textDirection w:val="lrTb"/>
            <w:noWrap w:val="false"/>
          </w:tcPr>
          <w:p>
            <w:pPr>
              <w:pStyle w:val="1063"/>
              <w:jc w:val="center"/>
              <w:widowControl w:val="off"/>
            </w:pPr>
            <w:r>
              <w:rPr>
                <w:rFonts w:ascii="Arial Narrow" w:hAnsi="Arial Narrow" w:cs="Calibri"/>
                <w:color w:val="0f0d29"/>
                <w:sz w:val="20"/>
                <w:szCs w:val="20"/>
              </w:rPr>
              <w:t xml:space="preserve">Коломиец</w:t>
            </w:r>
            <w:r/>
          </w:p>
          <w:p>
            <w:pPr>
              <w:pStyle w:val="1063"/>
              <w:jc w:val="center"/>
              <w:widowControl w:val="off"/>
            </w:pPr>
            <w:r>
              <w:rPr>
                <w:rFonts w:ascii="Arial Narrow" w:hAnsi="Arial Narrow" w:cs="Calibri"/>
                <w:color w:val="0f0d29"/>
                <w:sz w:val="20"/>
                <w:szCs w:val="20"/>
              </w:rPr>
              <w:t xml:space="preserve">Владимир Александрович</w:t>
            </w:r>
            <w:r/>
          </w:p>
        </w:tc>
        <w:tc>
          <w:tcPr>
            <w:shd w:val="clear" w:color="auto" w:fill="ffffff"/>
            <w:tcBorders>
              <w:top w:val="single" w:color="000000" w:sz="4" w:space="0"/>
              <w:left w:val="single" w:color="000000" w:sz="4" w:space="0"/>
              <w:bottom w:val="single" w:color="000000" w:sz="4" w:space="0"/>
              <w:right w:val="single" w:color="000000" w:sz="4" w:space="0"/>
            </w:tcBorders>
            <w:tcW w:w="982" w:type="dxa"/>
            <w:vAlign w:val="center"/>
            <w:textDirection w:val="lrTb"/>
            <w:noWrap w:val="false"/>
          </w:tcPr>
          <w:p>
            <w:pPr>
              <w:pStyle w:val="1063"/>
              <w:jc w:val="center"/>
              <w:widowControl w:val="off"/>
            </w:pPr>
            <w:r>
              <w:rPr>
                <w:rFonts w:ascii="Arial Narrow" w:hAnsi="Arial Narrow" w:cs="Calibri"/>
                <w:color w:val="0f0d29"/>
                <w:sz w:val="20"/>
                <w:szCs w:val="20"/>
              </w:rPr>
              <w:t xml:space="preserve">1972</w:t>
            </w:r>
            <w:r/>
          </w:p>
        </w:tc>
        <w:tc>
          <w:tcPr>
            <w:shd w:val="clear" w:color="auto" w:fill="ffffff"/>
            <w:tcBorders>
              <w:top w:val="single" w:color="000000" w:sz="4" w:space="0"/>
              <w:left w:val="single" w:color="000000" w:sz="4" w:space="0"/>
              <w:bottom w:val="single" w:color="000000" w:sz="4" w:space="0"/>
              <w:right w:val="single" w:color="000000" w:sz="4" w:space="0"/>
            </w:tcBorders>
            <w:tcW w:w="1319" w:type="dxa"/>
            <w:vAlign w:val="center"/>
            <w:textDirection w:val="lrTb"/>
            <w:noWrap w:val="false"/>
          </w:tcPr>
          <w:p>
            <w:pPr>
              <w:pStyle w:val="1063"/>
              <w:jc w:val="center"/>
              <w:widowControl w:val="off"/>
            </w:pPr>
            <w:r>
              <w:rPr>
                <w:rFonts w:ascii="Arial Narrow" w:hAnsi="Arial Narrow" w:cs="Calibri"/>
                <w:color w:val="0f0d29"/>
                <w:sz w:val="20"/>
                <w:szCs w:val="20"/>
              </w:rPr>
              <w:t xml:space="preserve">Высшее</w:t>
            </w:r>
            <w:r/>
          </w:p>
        </w:tc>
        <w:tc>
          <w:tcPr>
            <w:shd w:val="clear" w:color="auto" w:fill="ffffff"/>
            <w:tcBorders>
              <w:top w:val="single" w:color="000000" w:sz="4" w:space="0"/>
              <w:left w:val="single" w:color="000000" w:sz="4" w:space="0"/>
              <w:bottom w:val="single" w:color="000000" w:sz="4" w:space="0"/>
              <w:right w:val="single" w:color="000000" w:sz="4" w:space="0"/>
            </w:tcBorders>
            <w:tcW w:w="3407" w:type="dxa"/>
            <w:vAlign w:val="center"/>
            <w:textDirection w:val="lrTb"/>
            <w:noWrap w:val="false"/>
          </w:tcPr>
          <w:p>
            <w:pPr>
              <w:pStyle w:val="1063"/>
              <w:jc w:val="center"/>
              <w:widowControl w:val="off"/>
            </w:pPr>
            <w:r>
              <w:rPr>
                <w:rFonts w:ascii="Arial Narrow" w:hAnsi="Arial Narrow" w:cs="Calibri"/>
                <w:color w:val="0f0d29"/>
                <w:sz w:val="20"/>
                <w:szCs w:val="20"/>
              </w:rPr>
              <w:t xml:space="preserve">Главный специалист Контрольно-ревизионного управления «Дальний Восток», Департамента контроля и управления рисками ПАО «РусГидро»</w:t>
            </w:r>
            <w:r/>
          </w:p>
        </w:tc>
        <w:tc>
          <w:tcPr>
            <w:shd w:val="clear" w:color="auto" w:fill="ffffff"/>
            <w:tcBorders>
              <w:top w:val="single" w:color="000000" w:sz="4" w:space="0"/>
              <w:left w:val="single" w:color="000000" w:sz="4" w:space="0"/>
              <w:bottom w:val="single" w:color="000000" w:sz="4" w:space="0"/>
              <w:right w:val="single" w:color="000000" w:sz="4" w:space="0"/>
            </w:tcBorders>
            <w:tcW w:w="1761" w:type="dxa"/>
            <w:vAlign w:val="center"/>
            <w:textDirection w:val="lrTb"/>
            <w:noWrap w:val="false"/>
          </w:tcPr>
          <w:p>
            <w:pPr>
              <w:pStyle w:val="1063"/>
              <w:jc w:val="center"/>
              <w:widowControl w:val="off"/>
            </w:pPr>
            <w:r>
              <w:rPr>
                <w:rFonts w:ascii="Arial Narrow" w:hAnsi="Arial Narrow" w:cs="Calibri"/>
                <w:color w:val="0f0d29"/>
                <w:sz w:val="20"/>
                <w:szCs w:val="20"/>
              </w:rPr>
              <w:t xml:space="preserve">0/0</w:t>
            </w:r>
            <w:r/>
          </w:p>
        </w:tc>
      </w:tr>
    </w:tbl>
    <w:p>
      <w:pPr>
        <w:pStyle w:val="1063"/>
        <w:ind w:firstLine="567"/>
        <w:jc w:val="both"/>
        <w:rPr>
          <w:rFonts w:ascii="Arial Narrow" w:hAnsi="Arial Narrow" w:cs="Calibri"/>
          <w:iCs/>
          <w:sz w:val="12"/>
          <w:szCs w:val="12"/>
        </w:rPr>
      </w:pPr>
      <w:r>
        <w:rPr>
          <w:rFonts w:ascii="Arial Narrow" w:hAnsi="Arial Narrow" w:cs="Calibri"/>
          <w:iCs/>
          <w:sz w:val="12"/>
          <w:szCs w:val="12"/>
        </w:rPr>
      </w:r>
      <w:r>
        <w:rPr>
          <w:rFonts w:ascii="Arial Narrow" w:hAnsi="Arial Narrow" w:cs="Calibri"/>
          <w:iCs/>
          <w:sz w:val="12"/>
          <w:szCs w:val="12"/>
        </w:rPr>
      </w:r>
      <w:r>
        <w:rPr>
          <w:rFonts w:ascii="Arial Narrow" w:hAnsi="Arial Narrow" w:cs="Calibri"/>
          <w:iCs/>
          <w:sz w:val="12"/>
          <w:szCs w:val="12"/>
        </w:rPr>
      </w:r>
    </w:p>
    <w:p>
      <w:pPr>
        <w:rPr>
          <w:rFonts w:ascii="Arial Narrow" w:hAnsi="Arial Narrow" w:eastAsia="Times New Roman" w:cs="Calibri"/>
          <w:iCs/>
          <w:sz w:val="12"/>
          <w:szCs w:val="12"/>
          <w:lang w:eastAsia="zh-CN"/>
        </w:rPr>
      </w:pPr>
      <w:r>
        <w:br w:type="page" w:clear="all"/>
      </w:r>
      <w:r>
        <w:rPr>
          <w:rFonts w:ascii="Arial Narrow" w:hAnsi="Arial Narrow" w:eastAsia="Times New Roman" w:cs="Calibri"/>
          <w:iCs/>
          <w:sz w:val="12"/>
          <w:szCs w:val="12"/>
          <w:lang w:eastAsia="zh-CN"/>
        </w:rPr>
      </w:r>
      <w:r>
        <w:rPr>
          <w:rFonts w:ascii="Arial Narrow" w:hAnsi="Arial Narrow" w:eastAsia="Times New Roman" w:cs="Calibri"/>
          <w:iCs/>
          <w:sz w:val="12"/>
          <w:szCs w:val="12"/>
          <w:lang w:eastAsia="zh-CN"/>
        </w:rPr>
      </w:r>
    </w:p>
    <w:p>
      <w:pPr>
        <w:pStyle w:val="1063"/>
        <w:ind w:firstLine="567"/>
        <w:jc w:val="both"/>
      </w:pPr>
      <w:r>
        <w:rPr>
          <w:rFonts w:ascii="Arial Narrow" w:hAnsi="Arial Narrow" w:cs="Calibri"/>
          <w:iCs/>
        </w:rPr>
        <w:t xml:space="preserve">Выплата вознаграждений и компенсаций членам Ревизионн</w:t>
      </w:r>
      <w:r>
        <w:rPr>
          <w:rFonts w:ascii="Arial Narrow" w:hAnsi="Arial Narrow" w:cs="Calibri"/>
          <w:iCs/>
        </w:rPr>
        <w:t xml:space="preserve">ой комиссии в отчетном году производилась в соответствии с Положением о выплате членам Ревизионной комиссии ПАО «Камчатскэнерго» вознаграждений и компенсаций, утвержденным годовым Общим собранием акционеров Общества 20.05.2022 (протокол от 24.05.2022 № 1).</w:t>
      </w:r>
      <w:r/>
    </w:p>
    <w:p>
      <w:pPr>
        <w:pStyle w:val="1063"/>
        <w:ind w:firstLine="567"/>
        <w:jc w:val="both"/>
      </w:pPr>
      <w:r>
        <w:rPr>
          <w:rFonts w:ascii="Arial Narrow" w:hAnsi="Arial Narrow" w:cs="Calibri"/>
          <w:iCs/>
        </w:rPr>
        <w:t xml:space="preserve">За участие в проверке финансово-хо</w:t>
      </w:r>
      <w:r>
        <w:rPr>
          <w:rFonts w:ascii="Arial Narrow" w:hAnsi="Arial Narrow" w:cs="Calibri"/>
          <w:iCs/>
        </w:rPr>
        <w:t xml:space="preserve">зяйственной деятельности Общества членам Ревизионной комиссии выплачивается единовременное вознаграждение в размере суммы, эквивалентной 3 (Трем) минимальным месячным тарифным ставкам рабочего первого разряда, установленной отраслевым тарифным соглашением.</w:t>
      </w:r>
      <w:r/>
    </w:p>
    <w:p>
      <w:pPr>
        <w:pStyle w:val="1063"/>
        <w:ind w:firstLine="567"/>
        <w:jc w:val="both"/>
      </w:pPr>
      <w:r>
        <w:rPr>
          <w:rFonts w:ascii="Arial Narrow" w:hAnsi="Arial Narrow" w:cs="Calibri"/>
        </w:rPr>
        <w:t xml:space="preserve">Общая сумма вознаграждения, выплаченная в отчетном году членам Ревизионной комиссии Общества, составила: 180 767 (Сто восемьдесят тысяч семьсот шестьдесят семь) рублей 10 копеек.</w:t>
      </w:r>
      <w:r/>
    </w:p>
    <w:p>
      <w:pPr>
        <w:pStyle w:val="1063"/>
        <w:ind w:firstLine="567"/>
        <w:jc w:val="both"/>
      </w:pPr>
      <w:r>
        <w:rPr>
          <w:rFonts w:ascii="Arial Narrow" w:hAnsi="Arial Narrow" w:cs="Calibri"/>
          <w:iCs/>
        </w:rPr>
        <w:t xml:space="preserve">Компенсации расходов членам Ревизионной комиссии за отчетный период не проводились.</w:t>
      </w:r>
      <w:r/>
    </w:p>
    <w:p>
      <w:pPr>
        <w:pStyle w:val="1063"/>
        <w:ind w:firstLine="567"/>
        <w:jc w:val="both"/>
        <w:rPr>
          <w:rFonts w:ascii="Arial Narrow" w:hAnsi="Arial Narrow" w:cs="Calibri"/>
          <w:iCs/>
          <w:sz w:val="18"/>
        </w:rPr>
      </w:pPr>
      <w:r>
        <w:rPr>
          <w:rFonts w:ascii="Arial Narrow" w:hAnsi="Arial Narrow" w:cs="Calibri"/>
          <w:iCs/>
          <w:sz w:val="18"/>
        </w:rPr>
      </w:r>
      <w:r>
        <w:rPr>
          <w:rFonts w:ascii="Arial Narrow" w:hAnsi="Arial Narrow" w:cs="Calibri"/>
          <w:iCs/>
          <w:sz w:val="18"/>
        </w:rPr>
      </w:r>
      <w:r>
        <w:rPr>
          <w:rFonts w:ascii="Arial Narrow" w:hAnsi="Arial Narrow" w:cs="Calibri"/>
          <w:iCs/>
          <w:sz w:val="18"/>
        </w:rPr>
      </w:r>
    </w:p>
    <w:p>
      <w:pPr>
        <w:pStyle w:val="763"/>
        <w:jc w:val="both"/>
        <w:keepLines/>
        <w:spacing w:after="0" w:line="276" w:lineRule="auto"/>
        <w:rPr>
          <w:rFonts w:ascii="Arial Narrow" w:hAnsi="Arial Narrow" w:eastAsiaTheme="majorEastAsia" w:cstheme="minorHAnsi"/>
          <w:b/>
          <w:color w:val="314e87"/>
          <w:sz w:val="24"/>
          <w:szCs w:val="24"/>
          <w:lang w:eastAsia="en-US" w:bidi="ru-RU"/>
        </w:rPr>
      </w:pPr>
      <w:r/>
      <w:bookmarkStart w:id="150" w:name="_Toc193883509"/>
      <w:r/>
      <w:bookmarkStart w:id="151" w:name="_Toc196127009"/>
      <w:r>
        <w:rPr>
          <w:rFonts w:ascii="Arial Narrow" w:hAnsi="Arial Narrow" w:eastAsiaTheme="majorEastAsia" w:cstheme="minorHAnsi"/>
          <w:b/>
          <w:color w:val="314e87"/>
          <w:sz w:val="24"/>
          <w:szCs w:val="24"/>
          <w:lang w:eastAsia="en-US" w:bidi="ru-RU"/>
        </w:rPr>
        <w:t xml:space="preserve">11.5. Организация внутреннего аудита</w:t>
      </w:r>
      <w:bookmarkEnd w:id="150"/>
      <w:r/>
      <w:bookmarkEnd w:id="151"/>
      <w:r>
        <w:rPr>
          <w:rFonts w:ascii="Arial Narrow" w:hAnsi="Arial Narrow" w:eastAsiaTheme="majorEastAsia" w:cstheme="minorHAnsi"/>
          <w:b/>
          <w:color w:val="314e87"/>
          <w:sz w:val="24"/>
          <w:szCs w:val="24"/>
          <w:lang w:eastAsia="en-US" w:bidi="ru-RU"/>
        </w:rPr>
      </w:r>
      <w:r>
        <w:rPr>
          <w:rFonts w:ascii="Arial Narrow" w:hAnsi="Arial Narrow" w:eastAsiaTheme="majorEastAsia" w:cstheme="minorHAnsi"/>
          <w:b/>
          <w:color w:val="314e87"/>
          <w:sz w:val="24"/>
          <w:szCs w:val="24"/>
          <w:lang w:eastAsia="en-US" w:bidi="ru-RU"/>
        </w:rPr>
      </w:r>
    </w:p>
    <w:p>
      <w:pPr>
        <w:pStyle w:val="1063"/>
        <w:ind w:firstLine="567"/>
        <w:jc w:val="both"/>
      </w:pPr>
      <w:r>
        <w:rPr>
          <w:rFonts w:ascii="Arial Narrow" w:hAnsi="Arial Narrow" w:cs="Calibri"/>
          <w:iCs/>
          <w:color w:val="0f0d29"/>
        </w:rPr>
        <w:t xml:space="preserve">Решением Совета директоров Общества 19.05.2021 (протокол от 19.05.2021 № 21) назначен внутренний аудитор Общества.</w:t>
      </w:r>
      <w:r/>
    </w:p>
    <w:p>
      <w:pPr>
        <w:pStyle w:val="1063"/>
        <w:ind w:firstLine="567"/>
        <w:jc w:val="both"/>
      </w:pPr>
      <w:r>
        <w:rPr>
          <w:rFonts w:ascii="Arial Narrow" w:hAnsi="Arial Narrow" w:cs="Calibri"/>
          <w:iCs/>
          <w:color w:val="0f0d29"/>
        </w:rPr>
        <w:t xml:space="preserve">Осн</w:t>
      </w:r>
      <w:r>
        <w:rPr>
          <w:rFonts w:ascii="Arial Narrow" w:hAnsi="Arial Narrow" w:cs="Calibri"/>
          <w:iCs/>
          <w:color w:val="0f0d29"/>
        </w:rPr>
        <w:t xml:space="preserve">овные цели и задачи внутреннего аудитора Общества, его подотчетность, полномочия и ответственность закреплены в Положении о внутреннем аудите (далее – Положение), утвержденным Советом директоров ПАО «Камчатскэнерго» 08.07.2021 (протокол от 08.07.2021 № 2).</w:t>
      </w:r>
      <w:r/>
    </w:p>
    <w:p>
      <w:pPr>
        <w:pStyle w:val="1063"/>
        <w:ind w:firstLine="567"/>
        <w:jc w:val="both"/>
      </w:pPr>
      <w:r>
        <w:rPr>
          <w:rFonts w:ascii="Arial Narrow" w:hAnsi="Arial Narrow" w:cs="Calibri"/>
          <w:iCs/>
          <w:color w:val="0f0d29"/>
        </w:rPr>
        <w:t xml:space="preserve">В соответствии с разделом 4 Положения вн</w:t>
      </w:r>
      <w:r>
        <w:rPr>
          <w:rFonts w:ascii="Arial Narrow" w:hAnsi="Arial Narrow" w:cs="Calibri"/>
          <w:iCs/>
          <w:color w:val="0f0d29"/>
        </w:rPr>
        <w:t xml:space="preserve">утренний аудитор функционально подчинен Совету директоров и административно - генеральному директору ПАО «Камчатскэнерго», что обеспечивает независимость и объективность внутреннего аудитора в процессе сбора, оценки и передачи информации об объекте аудита.</w:t>
      </w:r>
      <w:r/>
    </w:p>
    <w:p>
      <w:pPr>
        <w:pStyle w:val="1063"/>
        <w:ind w:firstLine="567"/>
        <w:jc w:val="both"/>
      </w:pPr>
      <w:r>
        <w:rPr>
          <w:rFonts w:ascii="Arial Narrow" w:hAnsi="Arial Narrow" w:cs="Calibri"/>
          <w:iCs/>
          <w:color w:val="0f0d29"/>
        </w:rPr>
        <w:t xml:space="preserve">В соответствии с Положением внутренний аудитор осуществляет:</w:t>
      </w:r>
      <w:r/>
    </w:p>
    <w:p>
      <w:pPr>
        <w:pStyle w:val="1063"/>
        <w:ind w:firstLine="567"/>
        <w:jc w:val="both"/>
      </w:pPr>
      <w:r>
        <w:rPr>
          <w:rFonts w:ascii="Arial Narrow" w:hAnsi="Arial Narrow" w:cs="Calibri"/>
          <w:iCs/>
          <w:color w:val="0f0d29"/>
        </w:rPr>
        <w:t xml:space="preserve">подготовку заключения по результатам оценки надежности и эффективности управления рисками, системы внутреннего контроля Общества и представление его годовому Общему собранию акционеров Общества;</w:t>
      </w:r>
      <w:r/>
    </w:p>
    <w:p>
      <w:pPr>
        <w:pStyle w:val="1063"/>
        <w:ind w:firstLine="567"/>
        <w:jc w:val="both"/>
      </w:pPr>
      <w:r>
        <w:rPr>
          <w:rFonts w:ascii="Arial Narrow" w:hAnsi="Arial Narrow" w:cs="Calibri"/>
          <w:iCs/>
          <w:color w:val="0f0d29"/>
        </w:rPr>
        <w:t xml:space="preserve">подготовку и предоставление Совету директоров Общества отчетов по результатам деятельности внутреннего аудитора, в том числе о результатах оценки фактического состояния, надежности и эффективности системы управления рисками, внутреннего контроля;</w:t>
      </w:r>
      <w:r/>
    </w:p>
    <w:p>
      <w:pPr>
        <w:pStyle w:val="1063"/>
        <w:ind w:firstLine="567"/>
        <w:jc w:val="both"/>
      </w:pPr>
      <w:r>
        <w:rPr>
          <w:rFonts w:ascii="Arial Narrow" w:hAnsi="Arial Narrow" w:cs="Calibri"/>
          <w:iCs/>
          <w:color w:val="0f0d29"/>
        </w:rPr>
        <w:t xml:space="preserve">разработку и поддержание в актуальном состоянии ЛНД Общества по вопросам внутреннего аудита, требуемые в соответствии с законодательством Российской Федерации и нормативными актами федеральных Органов исполнительной власти.</w:t>
      </w:r>
      <w:r/>
    </w:p>
    <w:p>
      <w:pPr>
        <w:pStyle w:val="1063"/>
        <w:ind w:firstLine="567"/>
        <w:jc w:val="both"/>
      </w:pPr>
      <w:r>
        <w:rPr>
          <w:rFonts w:ascii="Arial Narrow" w:hAnsi="Arial Narrow" w:cs="Calibri"/>
          <w:iCs/>
          <w:color w:val="0f0d29"/>
        </w:rPr>
        <w:t xml:space="preserve">Внутренним аудитором по итогам 2024 года проведена оц</w:t>
      </w:r>
      <w:r>
        <w:rPr>
          <w:rFonts w:ascii="Arial Narrow" w:hAnsi="Arial Narrow" w:cs="Calibri"/>
          <w:iCs/>
          <w:color w:val="0f0d29"/>
        </w:rPr>
        <w:t xml:space="preserve">енка надежности и эффективности системы внутреннего контроля и управления рисками ПАО «Камчатскэнерго». За отчетный период система внутреннего контроля и управления рисками ПАО «Камчатскэнерго» функционирует должным образом во всех существенных отношениях.</w:t>
      </w:r>
      <w:r/>
    </w:p>
    <w:p>
      <w:pPr>
        <w:pStyle w:val="1063"/>
        <w:ind w:firstLine="567"/>
        <w:jc w:val="both"/>
      </w:pPr>
      <w:r>
        <w:rPr>
          <w:rFonts w:ascii="Arial Narrow" w:hAnsi="Arial Narrow" w:cs="Calibri"/>
          <w:iCs/>
          <w:color w:val="0f0d29"/>
        </w:rPr>
        <w:t xml:space="preserve">Заключение внутреннего аудитора Общества по результатам оценки надежности и э</w:t>
      </w:r>
      <w:r>
        <w:rPr>
          <w:rFonts w:ascii="Arial Narrow" w:hAnsi="Arial Narrow" w:cs="Calibri"/>
          <w:iCs/>
          <w:color w:val="0f0d29"/>
        </w:rPr>
        <w:t xml:space="preserve">ффективности системы внутреннего контроля и управления рисками ПАО «Камчатскэнерго» за 2024 год доведено до сведения исполнительного органа и Совета директоров ПАО «Камчатскэнерго» и представлено в материалах к годовому общему собранию акционеров Общества.</w:t>
      </w:r>
      <w:r/>
    </w:p>
    <w:p>
      <w:pPr>
        <w:pStyle w:val="1063"/>
        <w:ind w:firstLine="567"/>
        <w:jc w:val="both"/>
        <w:rPr>
          <w:rFonts w:ascii="Arial Narrow" w:hAnsi="Arial Narrow" w:cs="Calibri"/>
          <w:iCs/>
        </w:rPr>
      </w:pPr>
      <w:r>
        <w:rPr>
          <w:rFonts w:ascii="Arial Narrow" w:hAnsi="Arial Narrow" w:cs="Calibri"/>
          <w:iCs/>
        </w:rPr>
      </w:r>
      <w:r>
        <w:rPr>
          <w:rFonts w:ascii="Arial Narrow" w:hAnsi="Arial Narrow" w:cs="Calibri"/>
          <w:iCs/>
        </w:rPr>
      </w:r>
      <w:r>
        <w:rPr>
          <w:rFonts w:ascii="Arial Narrow" w:hAnsi="Arial Narrow" w:cs="Calibri"/>
          <w:iCs/>
        </w:rPr>
      </w:r>
    </w:p>
    <w:p>
      <w:pPr>
        <w:pStyle w:val="763"/>
        <w:jc w:val="both"/>
        <w:keepLines/>
        <w:spacing w:after="0" w:line="276" w:lineRule="auto"/>
        <w:rPr>
          <w:rFonts w:ascii="Arial Narrow" w:hAnsi="Arial Narrow" w:eastAsiaTheme="majorEastAsia" w:cstheme="minorHAnsi"/>
          <w:b/>
          <w:color w:val="314e87"/>
          <w:sz w:val="24"/>
          <w:szCs w:val="24"/>
          <w:lang w:eastAsia="en-US" w:bidi="ru-RU"/>
        </w:rPr>
      </w:pPr>
      <w:r/>
      <w:bookmarkStart w:id="152" w:name="_Toc193883510"/>
      <w:r/>
      <w:bookmarkStart w:id="153" w:name="_Toc196127010"/>
      <w:r>
        <w:rPr>
          <w:rFonts w:ascii="Arial Narrow" w:hAnsi="Arial Narrow" w:eastAsiaTheme="majorEastAsia" w:cstheme="minorHAnsi"/>
          <w:b/>
          <w:color w:val="314e87"/>
          <w:sz w:val="24"/>
          <w:szCs w:val="24"/>
          <w:lang w:eastAsia="en-US" w:bidi="ru-RU"/>
        </w:rPr>
        <w:t xml:space="preserve">11.6. Управление рисками</w:t>
      </w:r>
      <w:bookmarkEnd w:id="152"/>
      <w:r/>
      <w:bookmarkEnd w:id="153"/>
      <w:r>
        <w:rPr>
          <w:rFonts w:ascii="Arial Narrow" w:hAnsi="Arial Narrow" w:eastAsiaTheme="majorEastAsia" w:cstheme="minorHAnsi"/>
          <w:b/>
          <w:color w:val="314e87"/>
          <w:sz w:val="24"/>
          <w:szCs w:val="24"/>
          <w:lang w:eastAsia="en-US" w:bidi="ru-RU"/>
        </w:rPr>
      </w:r>
      <w:r>
        <w:rPr>
          <w:rFonts w:ascii="Arial Narrow" w:hAnsi="Arial Narrow" w:eastAsiaTheme="majorEastAsia" w:cstheme="minorHAnsi"/>
          <w:b/>
          <w:color w:val="314e87"/>
          <w:sz w:val="24"/>
          <w:szCs w:val="24"/>
          <w:lang w:eastAsia="en-US" w:bidi="ru-RU"/>
        </w:rPr>
      </w:r>
    </w:p>
    <w:p>
      <w:pPr>
        <w:pStyle w:val="1063"/>
        <w:ind w:firstLine="567"/>
        <w:jc w:val="both"/>
      </w:pPr>
      <w:r>
        <w:rPr>
          <w:rFonts w:ascii="Arial Narrow" w:hAnsi="Arial Narrow" w:cs="Calibri"/>
          <w:iCs/>
        </w:rPr>
        <w:t xml:space="preserve">Общество осуществляет управление рисками в рамках системы внутреннего контроля и управления рисками (далее - СВКиУР) Общества.</w:t>
      </w:r>
      <w:r/>
    </w:p>
    <w:p>
      <w:pPr>
        <w:pStyle w:val="1063"/>
        <w:ind w:firstLine="567"/>
        <w:jc w:val="both"/>
      </w:pPr>
      <w:r>
        <w:rPr>
          <w:rFonts w:ascii="Arial Narrow" w:hAnsi="Arial Narrow" w:cs="Calibri"/>
          <w:iCs/>
        </w:rPr>
        <w:t xml:space="preserve">Функционирование СВКиУР Общества осуществляется в рамках СВКиУР Группы РусГидро и регулируется следующими документами:</w:t>
      </w:r>
      <w:r/>
    </w:p>
    <w:p>
      <w:pPr>
        <w:pStyle w:val="1093"/>
        <w:numPr>
          <w:ilvl w:val="0"/>
          <w:numId w:val="19"/>
        </w:numPr>
        <w:ind w:left="0" w:firstLine="709"/>
        <w:jc w:val="both"/>
        <w:spacing w:before="0" w:after="0" w:line="276" w:lineRule="auto"/>
        <w:tabs>
          <w:tab w:val="left" w:pos="993" w:leader="none"/>
        </w:tabs>
      </w:pPr>
      <w:r>
        <w:rPr>
          <w:rFonts w:ascii="Arial Narrow" w:hAnsi="Arial Narrow" w:cs="Calibri"/>
          <w:sz w:val="24"/>
          <w:szCs w:val="24"/>
        </w:rPr>
        <w:t xml:space="preserve">Политикой в области внутреннего контроля и управления рисками Группы РусГидро, которая утверждена решением Совета директоров ПАО «РусГидро»;</w:t>
      </w:r>
      <w:r/>
    </w:p>
    <w:p>
      <w:pPr>
        <w:pStyle w:val="1093"/>
        <w:numPr>
          <w:ilvl w:val="0"/>
          <w:numId w:val="19"/>
        </w:numPr>
        <w:ind w:left="0" w:firstLine="709"/>
        <w:jc w:val="both"/>
        <w:spacing w:before="0" w:after="0" w:line="276" w:lineRule="auto"/>
        <w:tabs>
          <w:tab w:val="left" w:pos="993" w:leader="none"/>
        </w:tabs>
      </w:pPr>
      <w:r>
        <w:rPr>
          <w:rFonts w:ascii="Arial Narrow" w:hAnsi="Arial Narrow" w:cs="Calibri"/>
          <w:sz w:val="24"/>
          <w:szCs w:val="24"/>
        </w:rPr>
        <w:t xml:space="preserve">Положением о системе внутреннего контроля Группы РусГидро;</w:t>
      </w:r>
      <w:r/>
    </w:p>
    <w:p>
      <w:pPr>
        <w:pStyle w:val="1093"/>
        <w:numPr>
          <w:ilvl w:val="0"/>
          <w:numId w:val="19"/>
        </w:numPr>
        <w:ind w:left="0" w:firstLine="709"/>
        <w:jc w:val="both"/>
        <w:spacing w:before="0" w:after="0" w:line="276" w:lineRule="auto"/>
        <w:tabs>
          <w:tab w:val="left" w:pos="993" w:leader="none"/>
        </w:tabs>
      </w:pPr>
      <w:r>
        <w:rPr>
          <w:rFonts w:ascii="Arial Narrow" w:hAnsi="Arial Narrow" w:cs="Calibri"/>
          <w:sz w:val="24"/>
          <w:szCs w:val="24"/>
        </w:rPr>
        <w:t xml:space="preserve">Положением об управлении рисками Группы РусГидро.</w:t>
      </w:r>
      <w:r/>
    </w:p>
    <w:p>
      <w:pPr>
        <w:pStyle w:val="1063"/>
        <w:ind w:firstLine="567"/>
        <w:jc w:val="both"/>
      </w:pPr>
      <w:r>
        <w:rPr>
          <w:rFonts w:ascii="Arial Narrow" w:hAnsi="Arial Narrow" w:cs="Calibri"/>
          <w:iCs/>
        </w:rPr>
        <w:t xml:space="preserve">Общество присоединилось к указанным документам решением Совета директоров ПАО «Камчатскэнерго» 22.05.2020 (протокол от 22.05.2020 № 24).</w:t>
      </w:r>
      <w:r/>
    </w:p>
    <w:p>
      <w:pPr>
        <w:pStyle w:val="1063"/>
        <w:ind w:firstLine="567"/>
        <w:jc w:val="both"/>
      </w:pPr>
      <w:r>
        <w:rPr>
          <w:rFonts w:ascii="Arial Narrow" w:hAnsi="Arial Narrow" w:cs="Calibri"/>
          <w:iCs/>
        </w:rPr>
        <w:t xml:space="preserve">Стратегические риски определяются на верхнем уровне Группы РусГидро с учетом их влияния на достижение стратегических целей, которые заявлены в Стратегии развития Группы РусГидро.</w:t>
      </w:r>
      <w:r/>
    </w:p>
    <w:p>
      <w:pPr>
        <w:pStyle w:val="1063"/>
        <w:ind w:firstLine="567"/>
        <w:jc w:val="both"/>
      </w:pPr>
      <w:r>
        <w:rPr>
          <w:rFonts w:ascii="Arial Narrow" w:hAnsi="Arial Narrow" w:cs="Calibri"/>
          <w:iCs/>
        </w:rPr>
        <w:t xml:space="preserve">Информация по рискам подготовлена с учетом мониторинга Плана мероприятий по управлению рисками Общества на 2024 год, а также Плана мероприятий по управлению рисками Общества на 2025 год.</w:t>
      </w:r>
      <w:r/>
    </w:p>
    <w:p>
      <w:pPr>
        <w:pStyle w:val="1063"/>
        <w:ind w:firstLine="567"/>
        <w:jc w:val="both"/>
      </w:pPr>
      <w:r>
        <w:rPr>
          <w:rFonts w:ascii="Arial Narrow" w:hAnsi="Arial Narrow" w:cs="Calibri"/>
          <w:iCs/>
        </w:rPr>
        <w:t xml:space="preserve">Указанные ниже риски могут существенно повлиять на операционную</w:t>
      </w:r>
      <w:r>
        <w:rPr>
          <w:rFonts w:ascii="Arial Narrow" w:hAnsi="Arial Narrow" w:cs="Calibri"/>
          <w:iCs/>
        </w:rPr>
        <w:t xml:space="preserve"> деятельность Общества, его ликвидность, инвестиционную деятельность. Они определяются спецификой деятельности Общества, а также целями и задачами в области системы внутреннего контроля и управления рисками Группы РусГидро, ситуацией в регионе присутствия.</w:t>
      </w:r>
      <w:r/>
    </w:p>
    <w:p>
      <w:pPr>
        <w:pStyle w:val="1063"/>
        <w:ind w:firstLine="567"/>
        <w:jc w:val="both"/>
      </w:pPr>
      <w:r>
        <w:rPr>
          <w:rFonts w:ascii="Arial Narrow" w:hAnsi="Arial Narrow" w:cs="Calibri"/>
          <w:iCs/>
        </w:rPr>
        <w:t xml:space="preserve">Некоторые риски, которые не являются значимыми на данный момент, могут стать материально существенными в будущем. Все оценки и прогнозы, представленные в Годовом отчете, должны рассматриваться в контексте с данными рисками.</w:t>
      </w:r>
      <w:r/>
    </w:p>
    <w:p>
      <w:pPr>
        <w:pStyle w:val="1063"/>
        <w:ind w:right="56" w:firstLine="567"/>
        <w:jc w:val="both"/>
        <w:rPr>
          <w:rFonts w:ascii="Arial Narrow" w:hAnsi="Arial Narrow" w:eastAsia="Arial" w:cs="Calibri"/>
          <w:iCs/>
          <w:lang w:eastAsia="en-US"/>
        </w:rPr>
      </w:pPr>
      <w:r>
        <w:rPr>
          <w:rFonts w:ascii="Arial Narrow" w:hAnsi="Arial Narrow" w:cs="Calibri"/>
          <w:iCs/>
        </w:rPr>
        <w:t xml:space="preserve">Приоритизированный реестр ключевых рисков Общества на 2024 год представлен на тепловой карте.</w:t>
      </w:r>
      <w:r>
        <w:rPr>
          <w:rFonts w:ascii="Arial Narrow" w:hAnsi="Arial Narrow" w:eastAsia="Arial" w:cs="Calibri"/>
          <w:iCs/>
          <w:lang w:eastAsia="en-US"/>
        </w:rPr>
      </w:r>
      <w:r>
        <w:rPr>
          <w:rFonts w:ascii="Arial Narrow" w:hAnsi="Arial Narrow" w:eastAsia="Arial" w:cs="Calibri"/>
          <w:iCs/>
          <w:lang w:eastAsia="en-US"/>
        </w:rPr>
      </w:r>
    </w:p>
    <w:p>
      <w:pPr>
        <w:pStyle w:val="1063"/>
        <w:ind w:right="56" w:firstLine="567"/>
        <w:jc w:val="both"/>
        <w:rPr>
          <w:rFonts w:ascii="Arial Narrow" w:hAnsi="Arial Narrow"/>
        </w:rPr>
      </w:pPr>
      <w:r>
        <w:rPr>
          <w:lang w:eastAsia="ru-RU"/>
        </w:rPr>
        <mc:AlternateContent>
          <mc:Choice Requires="wpg">
            <w:drawing>
              <wp:inline xmlns:wp="http://schemas.openxmlformats.org/drawingml/2006/wordprocessingDrawing" distT="0" distB="0" distL="0" distR="0">
                <wp:extent cx="5817870" cy="4443730"/>
                <wp:effectExtent l="0" t="0" r="0" b="0"/>
                <wp:docPr id="9"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14"/>
                        <pic:cNvPicPr>
                          <a:picLocks noChangeAspect="1"/>
                        </pic:cNvPicPr>
                        <pic:nvPr/>
                      </pic:nvPicPr>
                      <pic:blipFill>
                        <a:blip r:embed="rId19"/>
                        <a:stretch/>
                      </pic:blipFill>
                      <pic:spPr bwMode="auto">
                        <a:xfrm>
                          <a:off x="0" y="0"/>
                          <a:ext cx="5817870" cy="4443730"/>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8" o:spid="_x0000_s8" type="#_x0000_t75" style="width:458.10pt;height:349.90pt;mso-wrap-distance-left:0.00pt;mso-wrap-distance-top:0.00pt;mso-wrap-distance-right:0.00pt;mso-wrap-distance-bottom:0.00pt;" stroked="false">
                <v:path textboxrect="0,0,0,0"/>
                <v:imagedata r:id="rId19" o:title=""/>
              </v:shape>
            </w:pict>
          </mc:Fallback>
        </mc:AlternateContent>
      </w:r>
      <w:r>
        <w:rPr>
          <w:rFonts w:ascii="Arial Narrow" w:hAnsi="Arial Narrow"/>
        </w:rPr>
      </w:r>
      <w:r>
        <w:rPr>
          <w:rFonts w:ascii="Arial Narrow" w:hAnsi="Arial Narrow"/>
        </w:rPr>
      </w:r>
    </w:p>
    <w:p>
      <w:pPr>
        <w:pStyle w:val="1063"/>
        <w:ind w:right="56"/>
        <w:rPr>
          <w:rFonts w:ascii="Arial Narrow" w:hAnsi="Arial Narrow"/>
        </w:rPr>
      </w:pPr>
      <w:r>
        <w:rPr>
          <w:lang w:eastAsia="ru-RU"/>
        </w:rPr>
        <mc:AlternateContent>
          <mc:Choice Requires="wpg">
            <w:drawing>
              <wp:inline xmlns:wp="http://schemas.openxmlformats.org/drawingml/2006/wordprocessingDrawing" distT="0" distB="0" distL="0" distR="0">
                <wp:extent cx="3057525" cy="1123950"/>
                <wp:effectExtent l="0" t="0" r="0" b="0"/>
                <wp:docPr id="10" name="Изображение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Изображение7"/>
                        <pic:cNvPicPr>
                          <a:picLocks noChangeAspect="1"/>
                        </pic:cNvPicPr>
                        <pic:nvPr/>
                      </pic:nvPicPr>
                      <pic:blipFill>
                        <a:blip r:embed="rId20"/>
                        <a:stretch/>
                      </pic:blipFill>
                      <pic:spPr bwMode="auto">
                        <a:xfrm>
                          <a:off x="0" y="0"/>
                          <a:ext cx="3057525" cy="1123950"/>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9" o:spid="_x0000_s9" type="#_x0000_t75" style="width:240.75pt;height:88.50pt;mso-wrap-distance-left:0.00pt;mso-wrap-distance-top:0.00pt;mso-wrap-distance-right:0.00pt;mso-wrap-distance-bottom:0.00pt;" stroked="false">
                <v:path textboxrect="0,0,0,0"/>
                <v:imagedata r:id="rId20" o:title=""/>
              </v:shape>
            </w:pict>
          </mc:Fallback>
        </mc:AlternateContent>
      </w:r>
      <w:r>
        <w:rPr>
          <w:rFonts w:ascii="Arial Narrow" w:hAnsi="Arial Narrow"/>
        </w:rPr>
      </w:r>
      <w:r>
        <w:rPr>
          <w:rFonts w:ascii="Arial Narrow" w:hAnsi="Arial Narrow"/>
        </w:rPr>
      </w:r>
    </w:p>
    <w:p>
      <w:pPr>
        <w:pStyle w:val="1063"/>
        <w:ind w:right="-141"/>
        <w:rPr>
          <w:rFonts w:ascii="Arial Narrow" w:hAnsi="Arial Narrow" w:eastAsia="Calibri" w:cs="Calibri"/>
          <w:b/>
          <w:color w:val="314e87"/>
          <w:lang w:eastAsia="ja-JP"/>
        </w:rPr>
      </w:pPr>
      <w:r>
        <w:rPr>
          <w:rFonts w:ascii="Arial Narrow" w:hAnsi="Arial Narrow" w:eastAsia="Calibri" w:cs="Calibri"/>
          <w:b/>
          <w:color w:val="314e87"/>
          <w:lang w:eastAsia="ja-JP"/>
        </w:rPr>
        <w:t xml:space="preserve">Описание ключевых рисков Общества на 2024 год с прогнозной оценкой на 2025 год</w:t>
      </w:r>
      <w:r>
        <w:rPr>
          <w:rFonts w:ascii="Arial Narrow" w:hAnsi="Arial Narrow" w:eastAsia="Calibri" w:cs="Calibri"/>
          <w:b/>
          <w:color w:val="314e87"/>
          <w:lang w:eastAsia="ja-JP"/>
        </w:rPr>
      </w:r>
      <w:r>
        <w:rPr>
          <w:rFonts w:ascii="Arial Narrow" w:hAnsi="Arial Narrow" w:eastAsia="Calibri" w:cs="Calibri"/>
          <w:b/>
          <w:color w:val="314e87"/>
          <w:lang w:eastAsia="ja-JP"/>
        </w:rPr>
      </w:r>
    </w:p>
    <w:p>
      <w:pPr>
        <w:pStyle w:val="1063"/>
        <w:ind w:left="7920"/>
        <w:jc w:val="center"/>
      </w:pPr>
      <w:r>
        <w:rPr>
          <w:rFonts w:ascii="Arial Narrow" w:hAnsi="Arial Narrow" w:eastAsia="Calibri" w:cs="Calibri"/>
          <w:i/>
          <w:lang w:eastAsia="ja-JP"/>
        </w:rPr>
        <w:t xml:space="preserve">              Таблица № </w:t>
      </w:r>
      <w:r>
        <w:rPr>
          <w:rFonts w:ascii="Arial Narrow" w:hAnsi="Arial Narrow" w:eastAsia="Calibri" w:cs="Calibri"/>
          <w:i/>
          <w:lang w:val="en-US" w:eastAsia="ja-JP"/>
        </w:rPr>
        <w:t xml:space="preserve">5</w:t>
      </w:r>
      <w:r>
        <w:rPr>
          <w:rFonts w:ascii="Arial Narrow" w:hAnsi="Arial Narrow" w:eastAsia="Calibri" w:cs="Calibri"/>
          <w:i/>
          <w:lang w:eastAsia="ja-JP"/>
        </w:rPr>
        <w:t xml:space="preserve">4</w:t>
      </w:r>
      <w:r/>
    </w:p>
    <w:tbl>
      <w:tblPr>
        <w:tblW w:w="10320" w:type="dxa"/>
        <w:tblInd w:w="-147" w:type="dxa"/>
        <w:tblLayout w:type="fixed"/>
        <w:tblLook w:val="04A0" w:firstRow="1" w:lastRow="0" w:firstColumn="1" w:lastColumn="0" w:noHBand="0" w:noVBand="1"/>
      </w:tblPr>
      <w:tblGrid>
        <w:gridCol w:w="539"/>
        <w:gridCol w:w="4207"/>
        <w:gridCol w:w="1954"/>
        <w:gridCol w:w="3620"/>
      </w:tblGrid>
      <w:tr>
        <w:trPr>
          <w:tblHeader/>
        </w:trPr>
        <w:tc>
          <w:tcPr>
            <w:tcBorders>
              <w:top w:val="single" w:color="000000" w:sz="4" w:space="0"/>
              <w:left w:val="single" w:color="000000" w:sz="4" w:space="0"/>
              <w:bottom w:val="single" w:color="000000" w:sz="4" w:space="0"/>
              <w:right w:val="single" w:color="000000" w:sz="4" w:space="0"/>
            </w:tcBorders>
            <w:tcW w:w="539" w:type="dxa"/>
            <w:vAlign w:val="center"/>
            <w:textDirection w:val="lrTb"/>
            <w:noWrap w:val="false"/>
          </w:tcPr>
          <w:p>
            <w:pPr>
              <w:pStyle w:val="1063"/>
              <w:ind w:left="-136" w:right="-105"/>
              <w:jc w:val="center"/>
              <w:widowControl w:val="off"/>
              <w:rPr>
                <w:rFonts w:ascii="Arial Narrow" w:hAnsi="Arial Narrow"/>
                <w:b/>
                <w:sz w:val="20"/>
                <w:szCs w:val="20"/>
              </w:rPr>
            </w:pPr>
            <w:r>
              <w:rPr>
                <w:rFonts w:ascii="Arial Narrow" w:hAnsi="Arial Narrow" w:cs="Calibri"/>
                <w:b/>
                <w:sz w:val="20"/>
                <w:szCs w:val="20"/>
              </w:rPr>
              <w:t xml:space="preserve">№</w:t>
            </w:r>
            <w:r>
              <w:rPr>
                <w:rFonts w:ascii="Arial Narrow" w:hAnsi="Arial Narrow"/>
                <w:b/>
                <w:sz w:val="20"/>
                <w:szCs w:val="20"/>
              </w:rPr>
            </w:r>
            <w:r>
              <w:rPr>
                <w:rFonts w:ascii="Arial Narrow" w:hAnsi="Arial Narrow"/>
                <w:b/>
                <w:sz w:val="20"/>
                <w:szCs w:val="20"/>
              </w:rPr>
            </w:r>
          </w:p>
          <w:p>
            <w:pPr>
              <w:pStyle w:val="1063"/>
              <w:ind w:left="-136" w:right="-105"/>
              <w:jc w:val="center"/>
              <w:widowControl w:val="off"/>
              <w:rPr>
                <w:rFonts w:ascii="Arial Narrow" w:hAnsi="Arial Narrow"/>
                <w:b/>
                <w:sz w:val="20"/>
                <w:szCs w:val="20"/>
              </w:rPr>
            </w:pPr>
            <w:r>
              <w:rPr>
                <w:rFonts w:ascii="Arial Narrow" w:hAnsi="Arial Narrow" w:cs="Calibri"/>
                <w:b/>
                <w:sz w:val="20"/>
                <w:szCs w:val="20"/>
              </w:rPr>
              <w:t xml:space="preserve">п/п</w:t>
            </w:r>
            <w:r>
              <w:rPr>
                <w:rFonts w:ascii="Arial Narrow" w:hAnsi="Arial Narrow"/>
                <w:b/>
                <w:sz w:val="20"/>
                <w:szCs w:val="20"/>
              </w:rPr>
            </w:r>
            <w:r>
              <w:rPr>
                <w:rFonts w:ascii="Arial Narrow" w:hAnsi="Arial Narrow"/>
                <w:b/>
                <w:sz w:val="20"/>
                <w:szCs w:val="20"/>
              </w:rPr>
            </w:r>
          </w:p>
        </w:tc>
        <w:tc>
          <w:tcPr>
            <w:tcBorders>
              <w:top w:val="single" w:color="000000" w:sz="4" w:space="0"/>
              <w:left w:val="single" w:color="000000" w:sz="4" w:space="0"/>
              <w:bottom w:val="single" w:color="000000" w:sz="4" w:space="0"/>
              <w:right w:val="single" w:color="000000" w:sz="4" w:space="0"/>
            </w:tcBorders>
            <w:tcW w:w="4207" w:type="dxa"/>
            <w:vAlign w:val="center"/>
            <w:textDirection w:val="lrTb"/>
            <w:noWrap w:val="false"/>
          </w:tcPr>
          <w:p>
            <w:pPr>
              <w:pStyle w:val="1063"/>
              <w:jc w:val="center"/>
              <w:widowControl w:val="off"/>
              <w:rPr>
                <w:rFonts w:ascii="Arial Narrow" w:hAnsi="Arial Narrow"/>
                <w:b/>
                <w:sz w:val="20"/>
                <w:szCs w:val="20"/>
              </w:rPr>
            </w:pPr>
            <w:r>
              <w:rPr>
                <w:rFonts w:ascii="Arial Narrow" w:hAnsi="Arial Narrow" w:cs="Calibri"/>
                <w:b/>
                <w:sz w:val="20"/>
                <w:szCs w:val="20"/>
              </w:rPr>
              <w:t xml:space="preserve">Наименование риска</w:t>
            </w:r>
            <w:r>
              <w:rPr>
                <w:rFonts w:ascii="Arial Narrow" w:hAnsi="Arial Narrow"/>
                <w:b/>
                <w:sz w:val="20"/>
                <w:szCs w:val="20"/>
              </w:rPr>
            </w:r>
            <w:r>
              <w:rPr>
                <w:rFonts w:ascii="Arial Narrow" w:hAnsi="Arial Narrow"/>
                <w:b/>
                <w:sz w:val="20"/>
                <w:szCs w:val="20"/>
              </w:rPr>
            </w:r>
          </w:p>
        </w:tc>
        <w:tc>
          <w:tcPr>
            <w:tcBorders>
              <w:top w:val="single" w:color="000000" w:sz="4" w:space="0"/>
              <w:left w:val="single" w:color="000000" w:sz="4" w:space="0"/>
              <w:bottom w:val="single" w:color="000000" w:sz="4" w:space="0"/>
              <w:right w:val="single" w:color="000000" w:sz="4" w:space="0"/>
            </w:tcBorders>
            <w:tcW w:w="1954" w:type="dxa"/>
            <w:vAlign w:val="center"/>
            <w:textDirection w:val="lrTb"/>
            <w:noWrap w:val="false"/>
          </w:tcPr>
          <w:p>
            <w:pPr>
              <w:pStyle w:val="1063"/>
              <w:jc w:val="center"/>
              <w:widowControl w:val="off"/>
              <w:rPr>
                <w:rFonts w:ascii="Arial Narrow" w:hAnsi="Arial Narrow"/>
                <w:b/>
                <w:sz w:val="20"/>
                <w:szCs w:val="20"/>
              </w:rPr>
            </w:pPr>
            <w:r>
              <w:rPr>
                <w:rFonts w:ascii="Arial Narrow" w:hAnsi="Arial Narrow" w:cs="Calibri"/>
                <w:b/>
                <w:sz w:val="20"/>
                <w:szCs w:val="20"/>
              </w:rPr>
              <w:t xml:space="preserve">Итоги мониторинга риска за 2024 год</w:t>
            </w:r>
            <w:r>
              <w:rPr>
                <w:rFonts w:ascii="Arial Narrow" w:hAnsi="Arial Narrow"/>
                <w:b/>
                <w:sz w:val="20"/>
                <w:szCs w:val="20"/>
              </w:rPr>
            </w:r>
            <w:r>
              <w:rPr>
                <w:rFonts w:ascii="Arial Narrow" w:hAnsi="Arial Narrow"/>
                <w:b/>
                <w:sz w:val="20"/>
                <w:szCs w:val="20"/>
              </w:rPr>
            </w:r>
          </w:p>
        </w:tc>
        <w:tc>
          <w:tcPr>
            <w:tcBorders>
              <w:top w:val="single" w:color="000000" w:sz="4" w:space="0"/>
              <w:left w:val="single" w:color="000000" w:sz="4" w:space="0"/>
              <w:bottom w:val="single" w:color="000000" w:sz="4" w:space="0"/>
              <w:right w:val="single" w:color="000000" w:sz="4" w:space="0"/>
            </w:tcBorders>
            <w:tcW w:w="3620" w:type="dxa"/>
            <w:vAlign w:val="center"/>
            <w:textDirection w:val="lrTb"/>
            <w:noWrap w:val="false"/>
          </w:tcPr>
          <w:p>
            <w:pPr>
              <w:pStyle w:val="1063"/>
              <w:jc w:val="center"/>
              <w:widowControl w:val="off"/>
              <w:rPr>
                <w:rFonts w:ascii="Arial Narrow" w:hAnsi="Arial Narrow"/>
                <w:b/>
                <w:sz w:val="20"/>
                <w:szCs w:val="20"/>
              </w:rPr>
            </w:pPr>
            <w:r>
              <w:rPr>
                <w:rFonts w:ascii="Arial Narrow" w:hAnsi="Arial Narrow" w:cs="Calibri"/>
                <w:b/>
                <w:sz w:val="20"/>
                <w:szCs w:val="20"/>
              </w:rPr>
              <w:t xml:space="preserve">Прогнозная оценка на 2025 год</w:t>
            </w:r>
            <w:r>
              <w:rPr>
                <w:rFonts w:ascii="Arial Narrow" w:hAnsi="Arial Narrow"/>
                <w:b/>
                <w:sz w:val="20"/>
                <w:szCs w:val="20"/>
              </w:rPr>
            </w:r>
            <w:r>
              <w:rPr>
                <w:rFonts w:ascii="Arial Narrow" w:hAnsi="Arial Narrow"/>
                <w:b/>
                <w:sz w:val="20"/>
                <w:szCs w:val="20"/>
              </w:rPr>
            </w:r>
          </w:p>
        </w:tc>
      </w:tr>
      <w:tr>
        <w:trPr>
          <w:trHeight w:val="374"/>
        </w:trPr>
        <w:tc>
          <w:tcPr>
            <w:tcBorders>
              <w:top w:val="single" w:color="000000" w:sz="4" w:space="0"/>
              <w:left w:val="single" w:color="000000" w:sz="4" w:space="0"/>
              <w:bottom w:val="single" w:color="000000" w:sz="4" w:space="0"/>
              <w:right w:val="single" w:color="000000" w:sz="4" w:space="0"/>
            </w:tcBorders>
            <w:tcW w:w="539" w:type="dxa"/>
            <w:vAlign w:val="center"/>
            <w:textDirection w:val="lrTb"/>
            <w:noWrap w:val="false"/>
          </w:tcPr>
          <w:p>
            <w:pPr>
              <w:pStyle w:val="1063"/>
              <w:jc w:val="center"/>
              <w:widowControl w:val="off"/>
              <w:tabs>
                <w:tab w:val="left" w:pos="709" w:leader="none"/>
              </w:tabs>
              <w:rPr>
                <w:rFonts w:ascii="Arial Narrow" w:hAnsi="Arial Narrow"/>
                <w:sz w:val="20"/>
                <w:szCs w:val="20"/>
              </w:rPr>
            </w:pPr>
            <w:r>
              <w:rPr>
                <w:rFonts w:ascii="Arial Narrow" w:hAnsi="Arial Narrow" w:cs="Calibri"/>
                <w:sz w:val="20"/>
                <w:szCs w:val="20"/>
              </w:rPr>
              <w:t xml:space="preserve">1</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4207" w:type="dxa"/>
            <w:vAlign w:val="center"/>
            <w:textDirection w:val="lrTb"/>
            <w:noWrap w:val="false"/>
          </w:tcPr>
          <w:p>
            <w:pPr>
              <w:pStyle w:val="1093"/>
              <w:spacing w:before="0" w:after="0"/>
              <w:widowControl w:val="off"/>
              <w:rPr>
                <w:rFonts w:ascii="Arial Narrow" w:hAnsi="Arial Narrow"/>
                <w:sz w:val="20"/>
                <w:szCs w:val="20"/>
              </w:rPr>
            </w:pPr>
            <w:r>
              <w:rPr>
                <w:rFonts w:ascii="Arial Narrow" w:hAnsi="Arial Narrow" w:eastAsia="Calibri" w:cs="Calibri"/>
                <w:sz w:val="20"/>
                <w:szCs w:val="20"/>
              </w:rPr>
              <w:t xml:space="preserve">Снижение прибыли от продаж по ПО ДФО</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954" w:type="dxa"/>
            <w:vAlign w:val="center"/>
            <w:textDirection w:val="lrTb"/>
            <w:noWrap w:val="false"/>
          </w:tcPr>
          <w:p>
            <w:pPr>
              <w:pStyle w:val="1063"/>
              <w:jc w:val="center"/>
              <w:widowControl w:val="off"/>
              <w:tabs>
                <w:tab w:val="left" w:pos="709" w:leader="none"/>
              </w:tabs>
              <w:rPr>
                <w:rFonts w:ascii="Arial Narrow" w:hAnsi="Arial Narrow"/>
                <w:sz w:val="20"/>
                <w:szCs w:val="20"/>
              </w:rPr>
            </w:pPr>
            <w:r>
              <w:rPr>
                <w:rFonts w:ascii="Arial Narrow" w:hAnsi="Arial Narrow" w:cs="Calibri"/>
                <w:sz w:val="20"/>
                <w:szCs w:val="20"/>
              </w:rPr>
              <w:t xml:space="preserve">Риск реализовался</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3620" w:type="dxa"/>
            <w:vAlign w:val="center"/>
            <w:textDirection w:val="lrTb"/>
            <w:noWrap w:val="false"/>
          </w:tcPr>
          <w:p>
            <w:pPr>
              <w:pStyle w:val="1063"/>
              <w:jc w:val="both"/>
              <w:widowControl w:val="off"/>
              <w:tabs>
                <w:tab w:val="left" w:pos="709" w:leader="none"/>
              </w:tabs>
              <w:rPr>
                <w:rFonts w:ascii="Arial Narrow" w:hAnsi="Arial Narrow"/>
                <w:sz w:val="20"/>
                <w:szCs w:val="20"/>
              </w:rPr>
            </w:pPr>
            <w:r>
              <w:rPr>
                <w:rFonts w:ascii="Arial Narrow" w:hAnsi="Arial Narrow"/>
                <w:sz w:val="20"/>
                <w:szCs w:val="20"/>
              </w:rPr>
              <w:t xml:space="preserve">Риск крайне высокий. Оценка риска без изменения</w:t>
            </w:r>
            <w:r>
              <w:rPr>
                <w:rFonts w:ascii="Arial Narrow" w:hAnsi="Arial Narrow"/>
                <w:sz w:val="20"/>
                <w:szCs w:val="20"/>
              </w:rPr>
            </w:r>
            <w:r>
              <w:rPr>
                <w:rFonts w:ascii="Arial Narrow" w:hAnsi="Arial Narrow"/>
                <w:sz w:val="20"/>
                <w:szCs w:val="20"/>
              </w:rPr>
            </w:r>
          </w:p>
        </w:tc>
      </w:tr>
      <w:tr>
        <w:trPr>
          <w:trHeight w:val="409"/>
        </w:trPr>
        <w:tc>
          <w:tcPr>
            <w:shd w:val="clear" w:color="auto" w:fill="ffffff"/>
            <w:tcBorders>
              <w:top w:val="single" w:color="000000" w:sz="4" w:space="0"/>
              <w:left w:val="single" w:color="000000" w:sz="4" w:space="0"/>
              <w:bottom w:val="single" w:color="000000" w:sz="4" w:space="0"/>
              <w:right w:val="single" w:color="000000" w:sz="4" w:space="0"/>
            </w:tcBorders>
            <w:tcW w:w="539" w:type="dxa"/>
            <w:vAlign w:val="center"/>
            <w:textDirection w:val="lrTb"/>
            <w:noWrap w:val="false"/>
          </w:tcPr>
          <w:p>
            <w:pPr>
              <w:pStyle w:val="1063"/>
              <w:jc w:val="center"/>
              <w:widowControl w:val="off"/>
              <w:tabs>
                <w:tab w:val="left" w:pos="709" w:leader="none"/>
              </w:tabs>
              <w:rPr>
                <w:rFonts w:ascii="Arial Narrow" w:hAnsi="Arial Narrow"/>
                <w:sz w:val="20"/>
                <w:szCs w:val="20"/>
              </w:rPr>
            </w:pPr>
            <w:r>
              <w:rPr>
                <w:rFonts w:ascii="Arial Narrow" w:hAnsi="Arial Narrow" w:cs="Calibri"/>
                <w:sz w:val="20"/>
                <w:szCs w:val="20"/>
              </w:rPr>
              <w:t xml:space="preserve">2</w:t>
            </w:r>
            <w:r>
              <w:rPr>
                <w:rFonts w:ascii="Arial Narrow" w:hAnsi="Arial Narrow"/>
                <w:sz w:val="20"/>
                <w:szCs w:val="20"/>
              </w:rPr>
            </w:r>
            <w:r>
              <w:rPr>
                <w:rFonts w:ascii="Arial Narrow" w:hAnsi="Arial Narrow"/>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4207" w:type="dxa"/>
            <w:vAlign w:val="center"/>
            <w:textDirection w:val="lrTb"/>
            <w:noWrap w:val="false"/>
          </w:tcPr>
          <w:p>
            <w:pPr>
              <w:pStyle w:val="1093"/>
              <w:jc w:val="both"/>
              <w:spacing w:before="0" w:after="0"/>
              <w:widowControl w:val="off"/>
              <w:rPr>
                <w:rFonts w:ascii="Arial Narrow" w:hAnsi="Arial Narrow"/>
                <w:sz w:val="20"/>
                <w:szCs w:val="20"/>
              </w:rPr>
            </w:pPr>
            <w:r>
              <w:rPr>
                <w:rFonts w:ascii="Arial Narrow" w:hAnsi="Arial Narrow" w:eastAsia="Calibri" w:cs="Calibri"/>
                <w:sz w:val="20"/>
                <w:szCs w:val="20"/>
              </w:rPr>
              <w:t xml:space="preserve">Дефицит запаса топлива</w:t>
            </w:r>
            <w:r>
              <w:rPr>
                <w:rFonts w:ascii="Arial Narrow" w:hAnsi="Arial Narrow"/>
                <w:sz w:val="20"/>
                <w:szCs w:val="20"/>
              </w:rPr>
            </w:r>
            <w:r>
              <w:rPr>
                <w:rFonts w:ascii="Arial Narrow" w:hAnsi="Arial Narrow"/>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954" w:type="dxa"/>
            <w:vAlign w:val="center"/>
            <w:textDirection w:val="lrTb"/>
            <w:noWrap w:val="false"/>
          </w:tcPr>
          <w:p>
            <w:pPr>
              <w:pStyle w:val="1063"/>
              <w:jc w:val="center"/>
              <w:widowControl w:val="off"/>
              <w:tabs>
                <w:tab w:val="left" w:pos="709" w:leader="none"/>
              </w:tabs>
              <w:rPr>
                <w:rFonts w:ascii="Arial Narrow" w:hAnsi="Arial Narrow"/>
                <w:sz w:val="20"/>
                <w:szCs w:val="20"/>
              </w:rPr>
            </w:pPr>
            <w:r>
              <w:rPr>
                <w:rFonts w:ascii="Arial Narrow" w:hAnsi="Arial Narrow" w:cs="Calibri"/>
                <w:sz w:val="20"/>
                <w:szCs w:val="20"/>
              </w:rPr>
              <w:t xml:space="preserve">Риск не реализовался</w:t>
            </w:r>
            <w:r>
              <w:rPr>
                <w:rFonts w:ascii="Arial Narrow" w:hAnsi="Arial Narrow"/>
                <w:sz w:val="20"/>
                <w:szCs w:val="20"/>
              </w:rPr>
            </w:r>
            <w:r>
              <w:rPr>
                <w:rFonts w:ascii="Arial Narrow" w:hAnsi="Arial Narrow"/>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3620" w:type="dxa"/>
            <w:vAlign w:val="center"/>
            <w:textDirection w:val="lrTb"/>
            <w:noWrap w:val="false"/>
          </w:tcPr>
          <w:p>
            <w:pPr>
              <w:pStyle w:val="1063"/>
              <w:jc w:val="both"/>
              <w:widowControl w:val="off"/>
              <w:tabs>
                <w:tab w:val="left" w:pos="709" w:leader="none"/>
              </w:tabs>
              <w:rPr>
                <w:rFonts w:ascii="Arial Narrow" w:hAnsi="Arial Narrow"/>
                <w:sz w:val="20"/>
                <w:szCs w:val="20"/>
              </w:rPr>
            </w:pPr>
            <w:r>
              <w:rPr>
                <w:rFonts w:ascii="Arial Narrow" w:hAnsi="Arial Narrow"/>
                <w:sz w:val="20"/>
                <w:szCs w:val="20"/>
              </w:rPr>
              <w:t xml:space="preserve">Вероятность реализации риска на 2025 год пересмотрена до крайне высокой. Итоговая оценка без изменений. Риск высокий.</w:t>
            </w:r>
            <w:r>
              <w:rPr>
                <w:rFonts w:ascii="Arial Narrow" w:hAnsi="Arial Narrow"/>
                <w:sz w:val="20"/>
                <w:szCs w:val="20"/>
              </w:rPr>
            </w:r>
            <w:r>
              <w:rPr>
                <w:rFonts w:ascii="Arial Narrow" w:hAnsi="Arial Narrow"/>
                <w:sz w:val="20"/>
                <w:szCs w:val="20"/>
              </w:rPr>
            </w:r>
          </w:p>
        </w:tc>
      </w:tr>
      <w:tr>
        <w:trPr>
          <w:trHeight w:val="401"/>
        </w:trPr>
        <w:tc>
          <w:tcPr>
            <w:shd w:val="clear" w:color="auto" w:fill="ffffff"/>
            <w:tcBorders>
              <w:top w:val="single" w:color="000000" w:sz="4" w:space="0"/>
              <w:left w:val="single" w:color="000000" w:sz="4" w:space="0"/>
              <w:bottom w:val="single" w:color="000000" w:sz="4" w:space="0"/>
              <w:right w:val="single" w:color="000000" w:sz="4" w:space="0"/>
            </w:tcBorders>
            <w:tcW w:w="539" w:type="dxa"/>
            <w:vAlign w:val="center"/>
            <w:textDirection w:val="lrTb"/>
            <w:noWrap w:val="false"/>
          </w:tcPr>
          <w:p>
            <w:pPr>
              <w:pStyle w:val="1063"/>
              <w:jc w:val="center"/>
              <w:widowControl w:val="off"/>
              <w:tabs>
                <w:tab w:val="left" w:pos="709" w:leader="none"/>
              </w:tabs>
              <w:rPr>
                <w:rFonts w:ascii="Arial Narrow" w:hAnsi="Arial Narrow"/>
                <w:sz w:val="20"/>
                <w:szCs w:val="20"/>
              </w:rPr>
            </w:pPr>
            <w:r>
              <w:rPr>
                <w:rFonts w:ascii="Arial Narrow" w:hAnsi="Arial Narrow" w:cs="Calibri"/>
                <w:sz w:val="20"/>
                <w:szCs w:val="20"/>
              </w:rPr>
              <w:t xml:space="preserve">3</w:t>
            </w:r>
            <w:r>
              <w:rPr>
                <w:rFonts w:ascii="Arial Narrow" w:hAnsi="Arial Narrow"/>
                <w:sz w:val="20"/>
                <w:szCs w:val="20"/>
              </w:rPr>
            </w:r>
            <w:r>
              <w:rPr>
                <w:rFonts w:ascii="Arial Narrow" w:hAnsi="Arial Narrow"/>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4207" w:type="dxa"/>
            <w:vAlign w:val="center"/>
            <w:textDirection w:val="lrTb"/>
            <w:noWrap w:val="false"/>
          </w:tcPr>
          <w:p>
            <w:pPr>
              <w:pStyle w:val="1093"/>
              <w:jc w:val="both"/>
              <w:spacing w:before="0" w:after="0"/>
              <w:widowControl w:val="off"/>
              <w:rPr>
                <w:rFonts w:ascii="Arial Narrow" w:hAnsi="Arial Narrow"/>
                <w:sz w:val="20"/>
                <w:szCs w:val="20"/>
              </w:rPr>
            </w:pPr>
            <w:r>
              <w:rPr>
                <w:rFonts w:ascii="Arial Narrow" w:hAnsi="Arial Narrow" w:eastAsia="Calibri" w:cs="Calibri"/>
                <w:sz w:val="20"/>
                <w:szCs w:val="20"/>
              </w:rPr>
              <w:t xml:space="preserve">Несчастные случаи на производстве</w:t>
            </w:r>
            <w:r>
              <w:rPr>
                <w:rFonts w:ascii="Arial Narrow" w:hAnsi="Arial Narrow"/>
                <w:sz w:val="20"/>
                <w:szCs w:val="20"/>
              </w:rPr>
            </w:r>
            <w:r>
              <w:rPr>
                <w:rFonts w:ascii="Arial Narrow" w:hAnsi="Arial Narrow"/>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954" w:type="dxa"/>
            <w:vAlign w:val="center"/>
            <w:textDirection w:val="lrTb"/>
            <w:noWrap w:val="false"/>
          </w:tcPr>
          <w:p>
            <w:pPr>
              <w:pStyle w:val="1063"/>
              <w:jc w:val="center"/>
              <w:widowControl w:val="off"/>
              <w:tabs>
                <w:tab w:val="left" w:pos="709" w:leader="none"/>
              </w:tabs>
              <w:rPr>
                <w:rFonts w:ascii="Arial Narrow" w:hAnsi="Arial Narrow"/>
                <w:sz w:val="20"/>
                <w:szCs w:val="20"/>
              </w:rPr>
            </w:pPr>
            <w:r>
              <w:rPr>
                <w:rFonts w:ascii="Arial Narrow" w:hAnsi="Arial Narrow" w:cs="Calibri"/>
                <w:sz w:val="20"/>
                <w:szCs w:val="20"/>
              </w:rPr>
              <w:t xml:space="preserve">Риск не реализовался</w:t>
            </w:r>
            <w:r>
              <w:rPr>
                <w:rFonts w:ascii="Arial Narrow" w:hAnsi="Arial Narrow"/>
                <w:sz w:val="20"/>
                <w:szCs w:val="20"/>
              </w:rPr>
            </w:r>
            <w:r>
              <w:rPr>
                <w:rFonts w:ascii="Arial Narrow" w:hAnsi="Arial Narrow"/>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3620" w:type="dxa"/>
            <w:vAlign w:val="center"/>
            <w:textDirection w:val="lrTb"/>
            <w:noWrap w:val="false"/>
          </w:tcPr>
          <w:p>
            <w:pPr>
              <w:pStyle w:val="1063"/>
              <w:jc w:val="both"/>
              <w:widowControl w:val="off"/>
              <w:tabs>
                <w:tab w:val="left" w:pos="709" w:leader="none"/>
              </w:tabs>
              <w:rPr>
                <w:rFonts w:ascii="Arial Narrow" w:hAnsi="Arial Narrow"/>
                <w:sz w:val="20"/>
                <w:szCs w:val="20"/>
              </w:rPr>
            </w:pPr>
            <w:r>
              <w:rPr>
                <w:rFonts w:ascii="Arial Narrow" w:hAnsi="Arial Narrow"/>
                <w:sz w:val="20"/>
                <w:szCs w:val="20"/>
              </w:rPr>
              <w:t xml:space="preserve">Оценка риска без изменения. Риск высокий.</w:t>
            </w:r>
            <w:r>
              <w:rPr>
                <w:rFonts w:ascii="Arial Narrow" w:hAnsi="Arial Narrow"/>
                <w:sz w:val="20"/>
                <w:szCs w:val="20"/>
              </w:rPr>
            </w:r>
            <w:r>
              <w:rPr>
                <w:rFonts w:ascii="Arial Narrow" w:hAnsi="Arial Narrow"/>
                <w:sz w:val="20"/>
                <w:szCs w:val="20"/>
              </w:rPr>
            </w:r>
          </w:p>
        </w:tc>
      </w:tr>
      <w:tr>
        <w:trPr/>
        <w:tc>
          <w:tcPr>
            <w:tcBorders>
              <w:top w:val="single" w:color="000000" w:sz="4" w:space="0"/>
              <w:left w:val="single" w:color="000000" w:sz="4" w:space="0"/>
              <w:bottom w:val="single" w:color="000000" w:sz="4" w:space="0"/>
              <w:right w:val="single" w:color="000000" w:sz="4" w:space="0"/>
            </w:tcBorders>
            <w:tcW w:w="539" w:type="dxa"/>
            <w:vAlign w:val="center"/>
            <w:textDirection w:val="lrTb"/>
            <w:noWrap w:val="false"/>
          </w:tcPr>
          <w:p>
            <w:pPr>
              <w:pStyle w:val="1063"/>
              <w:jc w:val="center"/>
              <w:widowControl w:val="off"/>
              <w:tabs>
                <w:tab w:val="left" w:pos="709" w:leader="none"/>
              </w:tabs>
              <w:rPr>
                <w:rFonts w:ascii="Arial Narrow" w:hAnsi="Arial Narrow"/>
                <w:sz w:val="20"/>
                <w:szCs w:val="20"/>
              </w:rPr>
            </w:pPr>
            <w:r>
              <w:rPr>
                <w:rFonts w:ascii="Arial Narrow" w:hAnsi="Arial Narrow" w:cs="Calibri"/>
                <w:sz w:val="20"/>
                <w:szCs w:val="20"/>
              </w:rPr>
              <w:t xml:space="preserve">4</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4207" w:type="dxa"/>
            <w:vAlign w:val="center"/>
            <w:textDirection w:val="lrTb"/>
            <w:noWrap w:val="false"/>
          </w:tcPr>
          <w:p>
            <w:pPr>
              <w:pStyle w:val="1093"/>
              <w:jc w:val="both"/>
              <w:spacing w:before="0" w:after="0"/>
              <w:widowControl w:val="off"/>
              <w:rPr>
                <w:rFonts w:ascii="Arial Narrow" w:hAnsi="Arial Narrow"/>
                <w:sz w:val="20"/>
                <w:szCs w:val="20"/>
              </w:rPr>
            </w:pPr>
            <w:r>
              <w:rPr>
                <w:rFonts w:ascii="Arial Narrow" w:hAnsi="Arial Narrow" w:eastAsia="Calibri" w:cs="Calibri"/>
                <w:sz w:val="20"/>
                <w:szCs w:val="20"/>
              </w:rPr>
              <w:t xml:space="preserve">Несоответствие требованиям законодательства (комплаенс) в области обеспечения безопасности критической информационной инфраструктуры РФ</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954" w:type="dxa"/>
            <w:vAlign w:val="center"/>
            <w:textDirection w:val="lrTb"/>
            <w:noWrap w:val="false"/>
          </w:tcPr>
          <w:p>
            <w:pPr>
              <w:pStyle w:val="1063"/>
              <w:jc w:val="center"/>
              <w:widowControl w:val="off"/>
              <w:tabs>
                <w:tab w:val="left" w:pos="709" w:leader="none"/>
              </w:tabs>
              <w:rPr>
                <w:rFonts w:ascii="Arial Narrow" w:hAnsi="Arial Narrow"/>
                <w:sz w:val="20"/>
                <w:szCs w:val="20"/>
              </w:rPr>
            </w:pPr>
            <w:r>
              <w:rPr>
                <w:rFonts w:ascii="Arial Narrow" w:hAnsi="Arial Narrow" w:cs="Calibri"/>
                <w:sz w:val="20"/>
                <w:szCs w:val="20"/>
              </w:rPr>
              <w:t xml:space="preserve">Риск не реализовался</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3620" w:type="dxa"/>
            <w:vAlign w:val="center"/>
            <w:textDirection w:val="lrTb"/>
            <w:noWrap w:val="false"/>
          </w:tcPr>
          <w:p>
            <w:pPr>
              <w:pStyle w:val="1063"/>
              <w:jc w:val="both"/>
              <w:widowControl w:val="off"/>
              <w:tabs>
                <w:tab w:val="left" w:pos="709" w:leader="none"/>
              </w:tabs>
              <w:rPr>
                <w:rFonts w:ascii="Arial Narrow" w:hAnsi="Arial Narrow"/>
                <w:sz w:val="20"/>
                <w:szCs w:val="20"/>
              </w:rPr>
            </w:pPr>
            <w:r>
              <w:rPr>
                <w:rFonts w:ascii="Arial Narrow" w:hAnsi="Arial Narrow"/>
                <w:sz w:val="20"/>
                <w:szCs w:val="20"/>
              </w:rPr>
              <w:t xml:space="preserve">Оценка риска без изменения. Риск высокий.</w:t>
            </w:r>
            <w:r>
              <w:rPr>
                <w:rFonts w:ascii="Arial Narrow" w:hAnsi="Arial Narrow"/>
                <w:sz w:val="20"/>
                <w:szCs w:val="20"/>
              </w:rPr>
            </w:r>
            <w:r>
              <w:rPr>
                <w:rFonts w:ascii="Arial Narrow" w:hAnsi="Arial Narrow"/>
                <w:sz w:val="20"/>
                <w:szCs w:val="20"/>
              </w:rPr>
            </w:r>
          </w:p>
        </w:tc>
      </w:tr>
      <w:tr>
        <w:trPr>
          <w:trHeight w:val="229"/>
        </w:trPr>
        <w:tc>
          <w:tcPr>
            <w:shd w:val="clear" w:color="auto" w:fill="ffffff"/>
            <w:tcBorders>
              <w:top w:val="single" w:color="000000" w:sz="4" w:space="0"/>
              <w:left w:val="single" w:color="000000" w:sz="4" w:space="0"/>
              <w:bottom w:val="single" w:color="000000" w:sz="4" w:space="0"/>
              <w:right w:val="single" w:color="000000" w:sz="4" w:space="0"/>
            </w:tcBorders>
            <w:tcW w:w="539" w:type="dxa"/>
            <w:vAlign w:val="center"/>
            <w:textDirection w:val="lrTb"/>
            <w:noWrap w:val="false"/>
          </w:tcPr>
          <w:p>
            <w:pPr>
              <w:pStyle w:val="1063"/>
              <w:jc w:val="center"/>
              <w:widowControl w:val="off"/>
              <w:tabs>
                <w:tab w:val="left" w:pos="709" w:leader="none"/>
              </w:tabs>
              <w:rPr>
                <w:rFonts w:ascii="Arial Narrow" w:hAnsi="Arial Narrow"/>
                <w:sz w:val="20"/>
                <w:szCs w:val="20"/>
              </w:rPr>
            </w:pPr>
            <w:r>
              <w:rPr>
                <w:rFonts w:ascii="Arial Narrow" w:hAnsi="Arial Narrow" w:cs="Calibri"/>
                <w:sz w:val="20"/>
                <w:szCs w:val="20"/>
              </w:rPr>
              <w:t xml:space="preserve">5</w:t>
            </w:r>
            <w:r>
              <w:rPr>
                <w:rFonts w:ascii="Arial Narrow" w:hAnsi="Arial Narrow"/>
                <w:sz w:val="20"/>
                <w:szCs w:val="20"/>
              </w:rPr>
            </w:r>
            <w:r>
              <w:rPr>
                <w:rFonts w:ascii="Arial Narrow" w:hAnsi="Arial Narrow"/>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4207" w:type="dxa"/>
            <w:vAlign w:val="center"/>
            <w:textDirection w:val="lrTb"/>
            <w:noWrap w:val="false"/>
          </w:tcPr>
          <w:p>
            <w:pPr>
              <w:pStyle w:val="1093"/>
              <w:jc w:val="both"/>
              <w:spacing w:before="0" w:after="0"/>
              <w:widowControl w:val="off"/>
              <w:rPr>
                <w:rFonts w:ascii="Arial Narrow" w:hAnsi="Arial Narrow"/>
                <w:sz w:val="20"/>
                <w:szCs w:val="20"/>
              </w:rPr>
            </w:pPr>
            <w:r>
              <w:rPr>
                <w:rFonts w:ascii="Arial Narrow" w:hAnsi="Arial Narrow" w:eastAsia="Calibri" w:cs="Calibri"/>
                <w:sz w:val="20"/>
                <w:szCs w:val="20"/>
              </w:rPr>
              <w:t xml:space="preserve">Рост дебиторской задолженности за поставку электроэнергии (мощности), теплоэнергии</w:t>
            </w:r>
            <w:r>
              <w:rPr>
                <w:rFonts w:ascii="Arial Narrow" w:hAnsi="Arial Narrow"/>
                <w:sz w:val="20"/>
                <w:szCs w:val="20"/>
              </w:rPr>
            </w:r>
            <w:r>
              <w:rPr>
                <w:rFonts w:ascii="Arial Narrow" w:hAnsi="Arial Narrow"/>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954" w:type="dxa"/>
            <w:vAlign w:val="center"/>
            <w:textDirection w:val="lrTb"/>
            <w:noWrap w:val="false"/>
          </w:tcPr>
          <w:p>
            <w:pPr>
              <w:pStyle w:val="1063"/>
              <w:jc w:val="center"/>
              <w:widowControl w:val="off"/>
              <w:tabs>
                <w:tab w:val="left" w:pos="709" w:leader="none"/>
              </w:tabs>
              <w:rPr>
                <w:rFonts w:ascii="Arial Narrow" w:hAnsi="Arial Narrow"/>
                <w:sz w:val="20"/>
                <w:szCs w:val="20"/>
              </w:rPr>
            </w:pPr>
            <w:r>
              <w:rPr>
                <w:rFonts w:ascii="Arial Narrow" w:hAnsi="Arial Narrow" w:cs="Calibri"/>
                <w:sz w:val="20"/>
                <w:szCs w:val="20"/>
              </w:rPr>
              <w:t xml:space="preserve">Риск не реализовался</w:t>
            </w:r>
            <w:r>
              <w:rPr>
                <w:rFonts w:ascii="Arial Narrow" w:hAnsi="Arial Narrow"/>
                <w:sz w:val="20"/>
                <w:szCs w:val="20"/>
              </w:rPr>
            </w:r>
            <w:r>
              <w:rPr>
                <w:rFonts w:ascii="Arial Narrow" w:hAnsi="Arial Narrow"/>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3620" w:type="dxa"/>
            <w:vAlign w:val="center"/>
            <w:textDirection w:val="lrTb"/>
            <w:noWrap w:val="false"/>
          </w:tcPr>
          <w:p>
            <w:pPr>
              <w:pStyle w:val="1063"/>
              <w:jc w:val="both"/>
              <w:widowControl w:val="off"/>
              <w:tabs>
                <w:tab w:val="left" w:pos="709" w:leader="none"/>
              </w:tabs>
              <w:rPr>
                <w:rFonts w:ascii="Arial Narrow" w:hAnsi="Arial Narrow"/>
                <w:sz w:val="20"/>
                <w:szCs w:val="20"/>
              </w:rPr>
            </w:pPr>
            <w:r>
              <w:rPr>
                <w:rFonts w:ascii="Arial Narrow" w:hAnsi="Arial Narrow"/>
                <w:sz w:val="20"/>
                <w:szCs w:val="20"/>
              </w:rPr>
              <w:t xml:space="preserve">Риск исключен в связи с включением в план риска «Несвоевременная оплата потребителями / контрагентами»</w:t>
            </w:r>
            <w:r>
              <w:rPr>
                <w:rFonts w:ascii="Arial Narrow" w:hAnsi="Arial Narrow"/>
                <w:sz w:val="20"/>
                <w:szCs w:val="20"/>
              </w:rPr>
            </w:r>
            <w:r>
              <w:rPr>
                <w:rFonts w:ascii="Arial Narrow" w:hAnsi="Arial Narrow"/>
                <w:sz w:val="20"/>
                <w:szCs w:val="20"/>
              </w:rPr>
            </w:r>
          </w:p>
        </w:tc>
      </w:tr>
      <w:tr>
        <w:trPr>
          <w:trHeight w:val="229"/>
        </w:trPr>
        <w:tc>
          <w:tcPr>
            <w:shd w:val="clear" w:color="auto" w:fill="ffffff"/>
            <w:tcBorders>
              <w:top w:val="single" w:color="000000" w:sz="4" w:space="0"/>
              <w:left w:val="single" w:color="000000" w:sz="4" w:space="0"/>
              <w:bottom w:val="single" w:color="000000" w:sz="4" w:space="0"/>
              <w:right w:val="single" w:color="000000" w:sz="4" w:space="0"/>
            </w:tcBorders>
            <w:tcW w:w="539" w:type="dxa"/>
            <w:vAlign w:val="center"/>
            <w:textDirection w:val="lrTb"/>
            <w:noWrap w:val="false"/>
          </w:tcPr>
          <w:p>
            <w:pPr>
              <w:pStyle w:val="1063"/>
              <w:jc w:val="center"/>
              <w:widowControl w:val="off"/>
              <w:tabs>
                <w:tab w:val="left" w:pos="709" w:leader="none"/>
              </w:tabs>
              <w:rPr>
                <w:rFonts w:ascii="Arial Narrow" w:hAnsi="Arial Narrow"/>
                <w:sz w:val="20"/>
                <w:szCs w:val="20"/>
              </w:rPr>
            </w:pPr>
            <w:r>
              <w:rPr>
                <w:rFonts w:ascii="Arial Narrow" w:hAnsi="Arial Narrow" w:cs="Calibri"/>
                <w:sz w:val="20"/>
                <w:szCs w:val="20"/>
              </w:rPr>
              <w:t xml:space="preserve">6</w:t>
            </w:r>
            <w:r>
              <w:rPr>
                <w:rFonts w:ascii="Arial Narrow" w:hAnsi="Arial Narrow"/>
                <w:sz w:val="20"/>
                <w:szCs w:val="20"/>
              </w:rPr>
            </w:r>
            <w:r>
              <w:rPr>
                <w:rFonts w:ascii="Arial Narrow" w:hAnsi="Arial Narrow"/>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4207" w:type="dxa"/>
            <w:vAlign w:val="center"/>
            <w:textDirection w:val="lrTb"/>
            <w:noWrap w:val="false"/>
          </w:tcPr>
          <w:p>
            <w:pPr>
              <w:pStyle w:val="1093"/>
              <w:jc w:val="both"/>
              <w:spacing w:before="0" w:after="0"/>
              <w:widowControl w:val="off"/>
              <w:rPr>
                <w:rFonts w:ascii="Arial Narrow" w:hAnsi="Arial Narrow"/>
                <w:sz w:val="20"/>
                <w:szCs w:val="20"/>
              </w:rPr>
            </w:pPr>
            <w:r>
              <w:rPr>
                <w:rFonts w:ascii="Arial Narrow" w:hAnsi="Arial Narrow" w:cs="Calibri"/>
                <w:sz w:val="20"/>
                <w:szCs w:val="20"/>
              </w:rPr>
              <w:t xml:space="preserve">Нарушение сроков выполнения работ на объекте</w:t>
            </w:r>
            <w:r>
              <w:rPr>
                <w:rFonts w:ascii="Arial Narrow" w:hAnsi="Arial Narrow"/>
                <w:sz w:val="20"/>
                <w:szCs w:val="20"/>
              </w:rPr>
            </w:r>
            <w:r>
              <w:rPr>
                <w:rFonts w:ascii="Arial Narrow" w:hAnsi="Arial Narrow"/>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954" w:type="dxa"/>
            <w:vAlign w:val="center"/>
            <w:textDirection w:val="lrTb"/>
            <w:noWrap w:val="false"/>
          </w:tcPr>
          <w:p>
            <w:pPr>
              <w:pStyle w:val="1063"/>
              <w:jc w:val="center"/>
              <w:widowControl w:val="off"/>
              <w:tabs>
                <w:tab w:val="left" w:pos="709" w:leader="none"/>
              </w:tabs>
              <w:rPr>
                <w:rFonts w:ascii="Arial Narrow" w:hAnsi="Arial Narrow"/>
                <w:sz w:val="20"/>
                <w:szCs w:val="20"/>
              </w:rPr>
            </w:pPr>
            <w:r>
              <w:rPr>
                <w:rFonts w:ascii="Arial Narrow" w:hAnsi="Arial Narrow" w:cs="Calibri"/>
                <w:sz w:val="20"/>
                <w:szCs w:val="20"/>
              </w:rPr>
              <w:t xml:space="preserve">Риск не реализовался</w:t>
            </w:r>
            <w:r>
              <w:rPr>
                <w:rFonts w:ascii="Arial Narrow" w:hAnsi="Arial Narrow"/>
                <w:sz w:val="20"/>
                <w:szCs w:val="20"/>
              </w:rPr>
            </w:r>
            <w:r>
              <w:rPr>
                <w:rFonts w:ascii="Arial Narrow" w:hAnsi="Arial Narrow"/>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3620" w:type="dxa"/>
            <w:vAlign w:val="center"/>
            <w:textDirection w:val="lrTb"/>
            <w:noWrap w:val="false"/>
          </w:tcPr>
          <w:p>
            <w:pPr>
              <w:pStyle w:val="1063"/>
              <w:jc w:val="both"/>
              <w:widowControl w:val="off"/>
              <w:tabs>
                <w:tab w:val="left" w:pos="709" w:leader="none"/>
              </w:tabs>
              <w:rPr>
                <w:rFonts w:ascii="Arial Narrow" w:hAnsi="Arial Narrow" w:cs="Calibri"/>
                <w:sz w:val="20"/>
                <w:szCs w:val="20"/>
                <w:lang w:val="en-US"/>
              </w:rPr>
            </w:pPr>
            <w:r>
              <w:rPr>
                <w:rFonts w:ascii="Arial Narrow" w:hAnsi="Arial Narrow" w:cs="Calibri"/>
                <w:sz w:val="20"/>
                <w:szCs w:val="20"/>
              </w:rPr>
              <w:t xml:space="preserve">Оценка вероятности снизилась. Итоговая оценка без изменений. Р</w:t>
            </w:r>
            <w:r>
              <w:rPr>
                <w:rFonts w:ascii="Arial Narrow" w:hAnsi="Arial Narrow" w:cs="Calibri"/>
                <w:sz w:val="20"/>
                <w:szCs w:val="20"/>
                <w:lang w:val="en-US"/>
              </w:rPr>
              <w:t xml:space="preserve">иск средний.</w:t>
            </w:r>
            <w:r>
              <w:rPr>
                <w:rFonts w:ascii="Arial Narrow" w:hAnsi="Arial Narrow" w:cs="Calibri"/>
                <w:sz w:val="20"/>
                <w:szCs w:val="20"/>
                <w:lang w:val="en-US"/>
              </w:rPr>
            </w:r>
            <w:r>
              <w:rPr>
                <w:rFonts w:ascii="Arial Narrow" w:hAnsi="Arial Narrow" w:cs="Calibri"/>
                <w:sz w:val="20"/>
                <w:szCs w:val="20"/>
                <w:lang w:val="en-US"/>
              </w:rPr>
            </w:r>
          </w:p>
        </w:tc>
      </w:tr>
      <w:tr>
        <w:trPr>
          <w:trHeight w:val="229"/>
        </w:trPr>
        <w:tc>
          <w:tcPr>
            <w:shd w:val="clear" w:color="auto" w:fill="ffffff"/>
            <w:tcBorders>
              <w:top w:val="single" w:color="000000" w:sz="4" w:space="0"/>
              <w:left w:val="single" w:color="000000" w:sz="4" w:space="0"/>
              <w:bottom w:val="single" w:color="000000" w:sz="4" w:space="0"/>
              <w:right w:val="single" w:color="000000" w:sz="4" w:space="0"/>
            </w:tcBorders>
            <w:tcW w:w="539" w:type="dxa"/>
            <w:vAlign w:val="center"/>
            <w:textDirection w:val="lrTb"/>
            <w:noWrap w:val="false"/>
          </w:tcPr>
          <w:p>
            <w:pPr>
              <w:pStyle w:val="1063"/>
              <w:jc w:val="center"/>
              <w:widowControl w:val="off"/>
              <w:tabs>
                <w:tab w:val="left" w:pos="709" w:leader="none"/>
              </w:tabs>
              <w:rPr>
                <w:rFonts w:ascii="Arial Narrow" w:hAnsi="Arial Narrow"/>
                <w:sz w:val="20"/>
                <w:szCs w:val="20"/>
              </w:rPr>
            </w:pPr>
            <w:r>
              <w:rPr>
                <w:rFonts w:ascii="Arial Narrow" w:hAnsi="Arial Narrow" w:cs="Calibri"/>
                <w:sz w:val="20"/>
                <w:szCs w:val="20"/>
              </w:rPr>
              <w:t xml:space="preserve">7</w:t>
            </w:r>
            <w:r>
              <w:rPr>
                <w:rFonts w:ascii="Arial Narrow" w:hAnsi="Arial Narrow"/>
                <w:sz w:val="20"/>
                <w:szCs w:val="20"/>
              </w:rPr>
            </w:r>
            <w:r>
              <w:rPr>
                <w:rFonts w:ascii="Arial Narrow" w:hAnsi="Arial Narrow"/>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4207" w:type="dxa"/>
            <w:vAlign w:val="center"/>
            <w:textDirection w:val="lrTb"/>
            <w:noWrap w:val="false"/>
          </w:tcPr>
          <w:p>
            <w:pPr>
              <w:pStyle w:val="1093"/>
              <w:jc w:val="both"/>
              <w:spacing w:before="0" w:after="0"/>
              <w:widowControl w:val="off"/>
              <w:rPr>
                <w:rFonts w:ascii="Arial Narrow" w:hAnsi="Arial Narrow"/>
                <w:sz w:val="20"/>
                <w:szCs w:val="20"/>
              </w:rPr>
            </w:pPr>
            <w:r>
              <w:rPr>
                <w:rFonts w:ascii="Arial Narrow" w:hAnsi="Arial Narrow" w:eastAsia="Calibri" w:cs="Calibri"/>
                <w:sz w:val="20"/>
                <w:szCs w:val="20"/>
              </w:rPr>
              <w:t xml:space="preserve">Нереализация  инициатив, предусмотренных стратегией и иными документами, направленными на перспективное развитие</w:t>
            </w:r>
            <w:r>
              <w:rPr>
                <w:rFonts w:ascii="Arial Narrow" w:hAnsi="Arial Narrow"/>
                <w:sz w:val="20"/>
                <w:szCs w:val="20"/>
              </w:rPr>
            </w:r>
            <w:r>
              <w:rPr>
                <w:rFonts w:ascii="Arial Narrow" w:hAnsi="Arial Narrow"/>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954" w:type="dxa"/>
            <w:vAlign w:val="center"/>
            <w:textDirection w:val="lrTb"/>
            <w:noWrap w:val="false"/>
          </w:tcPr>
          <w:p>
            <w:pPr>
              <w:pStyle w:val="1063"/>
              <w:jc w:val="center"/>
              <w:widowControl w:val="off"/>
              <w:tabs>
                <w:tab w:val="left" w:pos="709" w:leader="none"/>
              </w:tabs>
              <w:rPr>
                <w:rFonts w:ascii="Arial Narrow" w:hAnsi="Arial Narrow"/>
                <w:sz w:val="20"/>
                <w:szCs w:val="20"/>
              </w:rPr>
            </w:pPr>
            <w:r>
              <w:rPr>
                <w:rFonts w:ascii="Arial Narrow" w:hAnsi="Arial Narrow" w:cs="Calibri"/>
                <w:sz w:val="20"/>
                <w:szCs w:val="20"/>
              </w:rPr>
              <w:t xml:space="preserve">Риск реализовался</w:t>
            </w:r>
            <w:r>
              <w:rPr>
                <w:rFonts w:ascii="Arial Narrow" w:hAnsi="Arial Narrow"/>
                <w:sz w:val="20"/>
                <w:szCs w:val="20"/>
              </w:rPr>
            </w:r>
            <w:r>
              <w:rPr>
                <w:rFonts w:ascii="Arial Narrow" w:hAnsi="Arial Narrow"/>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3620" w:type="dxa"/>
            <w:vAlign w:val="center"/>
            <w:textDirection w:val="lrTb"/>
            <w:noWrap w:val="false"/>
          </w:tcPr>
          <w:p>
            <w:pPr>
              <w:pStyle w:val="1063"/>
              <w:jc w:val="both"/>
              <w:widowControl w:val="off"/>
              <w:tabs>
                <w:tab w:val="left" w:pos="709" w:leader="none"/>
              </w:tabs>
              <w:rPr>
                <w:rFonts w:ascii="Arial Narrow" w:hAnsi="Arial Narrow" w:cs="Calibri"/>
                <w:sz w:val="20"/>
                <w:szCs w:val="20"/>
                <w:lang w:val="en-US"/>
              </w:rPr>
            </w:pPr>
            <w:r>
              <w:rPr>
                <w:rFonts w:ascii="Arial Narrow" w:hAnsi="Arial Narrow" w:cs="Calibri"/>
                <w:sz w:val="20"/>
                <w:szCs w:val="20"/>
                <w:lang w:val="en-US"/>
              </w:rPr>
              <w:t xml:space="preserve">Риск оценен как высокий.</w:t>
            </w:r>
            <w:r>
              <w:rPr>
                <w:rFonts w:ascii="Arial Narrow" w:hAnsi="Arial Narrow" w:cs="Calibri"/>
                <w:sz w:val="20"/>
                <w:szCs w:val="20"/>
                <w:lang w:val="en-US"/>
              </w:rPr>
            </w:r>
            <w:r>
              <w:rPr>
                <w:rFonts w:ascii="Arial Narrow" w:hAnsi="Arial Narrow" w:cs="Calibri"/>
                <w:sz w:val="20"/>
                <w:szCs w:val="20"/>
                <w:lang w:val="en-US"/>
              </w:rPr>
            </w:r>
          </w:p>
        </w:tc>
      </w:tr>
      <w:tr>
        <w:trPr>
          <w:trHeight w:val="229"/>
        </w:trPr>
        <w:tc>
          <w:tcPr>
            <w:shd w:val="clear" w:color="auto" w:fill="ffffff"/>
            <w:tcBorders>
              <w:top w:val="single" w:color="000000" w:sz="4" w:space="0"/>
              <w:left w:val="single" w:color="000000" w:sz="4" w:space="0"/>
              <w:bottom w:val="single" w:color="000000" w:sz="4" w:space="0"/>
              <w:right w:val="single" w:color="000000" w:sz="4" w:space="0"/>
            </w:tcBorders>
            <w:tcW w:w="539" w:type="dxa"/>
            <w:vAlign w:val="center"/>
            <w:textDirection w:val="lrTb"/>
            <w:noWrap w:val="false"/>
          </w:tcPr>
          <w:p>
            <w:pPr>
              <w:pStyle w:val="1063"/>
              <w:jc w:val="center"/>
              <w:widowControl w:val="off"/>
              <w:tabs>
                <w:tab w:val="left" w:pos="709" w:leader="none"/>
              </w:tabs>
              <w:rPr>
                <w:rFonts w:ascii="Arial Narrow" w:hAnsi="Arial Narrow"/>
                <w:sz w:val="20"/>
                <w:szCs w:val="20"/>
              </w:rPr>
            </w:pPr>
            <w:r>
              <w:rPr>
                <w:rFonts w:ascii="Arial Narrow" w:hAnsi="Arial Narrow" w:cs="Calibri"/>
                <w:sz w:val="20"/>
                <w:szCs w:val="20"/>
              </w:rPr>
              <w:t xml:space="preserve">8</w:t>
            </w:r>
            <w:r>
              <w:rPr>
                <w:rFonts w:ascii="Arial Narrow" w:hAnsi="Arial Narrow"/>
                <w:sz w:val="20"/>
                <w:szCs w:val="20"/>
              </w:rPr>
            </w:r>
            <w:r>
              <w:rPr>
                <w:rFonts w:ascii="Arial Narrow" w:hAnsi="Arial Narrow"/>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4207" w:type="dxa"/>
            <w:vAlign w:val="center"/>
            <w:textDirection w:val="lrTb"/>
            <w:noWrap w:val="false"/>
          </w:tcPr>
          <w:p>
            <w:pPr>
              <w:pStyle w:val="1093"/>
              <w:jc w:val="both"/>
              <w:spacing w:before="0" w:after="0"/>
              <w:widowControl w:val="off"/>
              <w:rPr>
                <w:rFonts w:ascii="Arial Narrow" w:hAnsi="Arial Narrow"/>
                <w:sz w:val="20"/>
                <w:szCs w:val="20"/>
              </w:rPr>
            </w:pPr>
            <w:r>
              <w:rPr>
                <w:rFonts w:ascii="Arial Narrow" w:hAnsi="Arial Narrow" w:cs="Calibri"/>
                <w:sz w:val="20"/>
                <w:szCs w:val="20"/>
              </w:rPr>
              <w:t xml:space="preserve">Аварии</w:t>
            </w:r>
            <w:r>
              <w:rPr>
                <w:rFonts w:ascii="Arial Narrow" w:hAnsi="Arial Narrow" w:eastAsia="Calibri" w:cs="Calibri"/>
                <w:sz w:val="20"/>
                <w:szCs w:val="20"/>
              </w:rPr>
              <w:t xml:space="preserve">/ инциденты в результате незаконного вмешательства в функционирование объектов</w:t>
            </w:r>
            <w:r>
              <w:rPr>
                <w:rFonts w:ascii="Arial Narrow" w:hAnsi="Arial Narrow"/>
                <w:sz w:val="20"/>
                <w:szCs w:val="20"/>
              </w:rPr>
            </w:r>
            <w:r>
              <w:rPr>
                <w:rFonts w:ascii="Arial Narrow" w:hAnsi="Arial Narrow"/>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954" w:type="dxa"/>
            <w:vAlign w:val="center"/>
            <w:textDirection w:val="lrTb"/>
            <w:noWrap w:val="false"/>
          </w:tcPr>
          <w:p>
            <w:pPr>
              <w:pStyle w:val="1063"/>
              <w:jc w:val="center"/>
              <w:widowControl w:val="off"/>
              <w:tabs>
                <w:tab w:val="left" w:pos="709" w:leader="none"/>
              </w:tabs>
              <w:rPr>
                <w:rFonts w:ascii="Arial Narrow" w:hAnsi="Arial Narrow"/>
                <w:sz w:val="20"/>
                <w:szCs w:val="20"/>
              </w:rPr>
            </w:pPr>
            <w:r>
              <w:rPr>
                <w:rFonts w:ascii="Arial Narrow" w:hAnsi="Arial Narrow" w:cs="Calibri"/>
                <w:sz w:val="20"/>
                <w:szCs w:val="20"/>
              </w:rPr>
              <w:t xml:space="preserve">Риск не реализовался</w:t>
            </w:r>
            <w:r>
              <w:rPr>
                <w:rFonts w:ascii="Arial Narrow" w:hAnsi="Arial Narrow"/>
                <w:sz w:val="20"/>
                <w:szCs w:val="20"/>
              </w:rPr>
            </w:r>
            <w:r>
              <w:rPr>
                <w:rFonts w:ascii="Arial Narrow" w:hAnsi="Arial Narrow"/>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3620" w:type="dxa"/>
            <w:vAlign w:val="center"/>
            <w:textDirection w:val="lrTb"/>
            <w:noWrap w:val="false"/>
          </w:tcPr>
          <w:p>
            <w:pPr>
              <w:pStyle w:val="1063"/>
              <w:jc w:val="both"/>
              <w:widowControl w:val="off"/>
              <w:tabs>
                <w:tab w:val="left" w:pos="709" w:leader="none"/>
              </w:tabs>
              <w:rPr>
                <w:rFonts w:ascii="Arial Narrow" w:hAnsi="Arial Narrow"/>
                <w:sz w:val="20"/>
                <w:szCs w:val="20"/>
              </w:rPr>
            </w:pPr>
            <w:r>
              <w:rPr>
                <w:rFonts w:ascii="Arial Narrow" w:hAnsi="Arial Narrow"/>
                <w:sz w:val="20"/>
                <w:szCs w:val="20"/>
              </w:rPr>
              <w:t xml:space="preserve">Оценка последствий риска на 2025 год увеличена до крайне высокой. Итоговая оценка без изменений. Риск средний.</w:t>
            </w:r>
            <w:r>
              <w:rPr>
                <w:rFonts w:ascii="Arial Narrow" w:hAnsi="Arial Narrow"/>
                <w:sz w:val="20"/>
                <w:szCs w:val="20"/>
              </w:rPr>
            </w:r>
            <w:r>
              <w:rPr>
                <w:rFonts w:ascii="Arial Narrow" w:hAnsi="Arial Narrow"/>
                <w:sz w:val="20"/>
                <w:szCs w:val="20"/>
              </w:rPr>
            </w:r>
          </w:p>
        </w:tc>
      </w:tr>
      <w:tr>
        <w:trPr>
          <w:trHeight w:val="383"/>
        </w:trPr>
        <w:tc>
          <w:tcPr>
            <w:shd w:val="clear" w:color="auto" w:fill="ffffff"/>
            <w:tcBorders>
              <w:top w:val="single" w:color="000000" w:sz="4" w:space="0"/>
              <w:left w:val="single" w:color="000000" w:sz="4" w:space="0"/>
              <w:bottom w:val="single" w:color="000000" w:sz="4" w:space="0"/>
              <w:right w:val="single" w:color="000000" w:sz="4" w:space="0"/>
            </w:tcBorders>
            <w:tcW w:w="539" w:type="dxa"/>
            <w:vAlign w:val="center"/>
            <w:textDirection w:val="lrTb"/>
            <w:noWrap w:val="false"/>
          </w:tcPr>
          <w:p>
            <w:pPr>
              <w:pStyle w:val="1063"/>
              <w:jc w:val="center"/>
              <w:widowControl w:val="off"/>
              <w:tabs>
                <w:tab w:val="left" w:pos="709" w:leader="none"/>
              </w:tabs>
              <w:rPr>
                <w:rFonts w:ascii="Arial Narrow" w:hAnsi="Arial Narrow"/>
                <w:sz w:val="20"/>
                <w:szCs w:val="20"/>
              </w:rPr>
            </w:pPr>
            <w:r>
              <w:rPr>
                <w:rFonts w:ascii="Arial Narrow" w:hAnsi="Arial Narrow" w:cs="Calibri"/>
                <w:sz w:val="20"/>
                <w:szCs w:val="20"/>
              </w:rPr>
              <w:t xml:space="preserve">9</w:t>
            </w:r>
            <w:r>
              <w:rPr>
                <w:rFonts w:ascii="Arial Narrow" w:hAnsi="Arial Narrow"/>
                <w:sz w:val="20"/>
                <w:szCs w:val="20"/>
              </w:rPr>
            </w:r>
            <w:r>
              <w:rPr>
                <w:rFonts w:ascii="Arial Narrow" w:hAnsi="Arial Narrow"/>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4207" w:type="dxa"/>
            <w:vAlign w:val="center"/>
            <w:textDirection w:val="lrTb"/>
            <w:noWrap w:val="false"/>
          </w:tcPr>
          <w:p>
            <w:pPr>
              <w:pStyle w:val="1093"/>
              <w:jc w:val="both"/>
              <w:spacing w:before="0" w:after="0"/>
              <w:widowControl w:val="off"/>
              <w:rPr>
                <w:rFonts w:ascii="Arial Narrow" w:hAnsi="Arial Narrow"/>
                <w:sz w:val="20"/>
                <w:szCs w:val="20"/>
              </w:rPr>
            </w:pPr>
            <w:r>
              <w:rPr>
                <w:rFonts w:ascii="Arial Narrow" w:hAnsi="Arial Narrow" w:eastAsia="Calibri" w:cs="Calibri"/>
                <w:sz w:val="20"/>
                <w:szCs w:val="20"/>
              </w:rPr>
              <w:t xml:space="preserve">Нехватка квалифицированного персонала</w:t>
            </w:r>
            <w:r>
              <w:rPr>
                <w:rFonts w:ascii="Arial Narrow" w:hAnsi="Arial Narrow"/>
                <w:sz w:val="20"/>
                <w:szCs w:val="20"/>
              </w:rPr>
            </w:r>
            <w:r>
              <w:rPr>
                <w:rFonts w:ascii="Arial Narrow" w:hAnsi="Arial Narrow"/>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1954" w:type="dxa"/>
            <w:vAlign w:val="center"/>
            <w:textDirection w:val="lrTb"/>
            <w:noWrap w:val="false"/>
          </w:tcPr>
          <w:p>
            <w:pPr>
              <w:pStyle w:val="1063"/>
              <w:jc w:val="center"/>
              <w:widowControl w:val="off"/>
              <w:tabs>
                <w:tab w:val="left" w:pos="709" w:leader="none"/>
              </w:tabs>
              <w:rPr>
                <w:rFonts w:ascii="Arial Narrow" w:hAnsi="Arial Narrow"/>
                <w:sz w:val="20"/>
                <w:szCs w:val="20"/>
              </w:rPr>
            </w:pPr>
            <w:r>
              <w:rPr>
                <w:rFonts w:ascii="Arial Narrow" w:hAnsi="Arial Narrow" w:cs="Calibri"/>
                <w:sz w:val="20"/>
                <w:szCs w:val="20"/>
              </w:rPr>
              <w:t xml:space="preserve">Риск не реализовался</w:t>
            </w:r>
            <w:r>
              <w:rPr>
                <w:rFonts w:ascii="Arial Narrow" w:hAnsi="Arial Narrow"/>
                <w:sz w:val="20"/>
                <w:szCs w:val="20"/>
              </w:rPr>
            </w:r>
            <w:r>
              <w:rPr>
                <w:rFonts w:ascii="Arial Narrow" w:hAnsi="Arial Narrow"/>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3620" w:type="dxa"/>
            <w:vAlign w:val="center"/>
            <w:textDirection w:val="lrTb"/>
            <w:noWrap w:val="false"/>
          </w:tcPr>
          <w:p>
            <w:pPr>
              <w:pStyle w:val="1063"/>
              <w:jc w:val="both"/>
              <w:widowControl w:val="off"/>
              <w:tabs>
                <w:tab w:val="left" w:pos="709" w:leader="none"/>
              </w:tabs>
              <w:rPr>
                <w:rFonts w:ascii="Arial Narrow" w:hAnsi="Arial Narrow"/>
                <w:sz w:val="20"/>
                <w:szCs w:val="20"/>
              </w:rPr>
            </w:pPr>
            <w:r>
              <w:rPr>
                <w:rFonts w:ascii="Arial Narrow" w:hAnsi="Arial Narrow"/>
                <w:sz w:val="20"/>
                <w:szCs w:val="20"/>
              </w:rPr>
              <w:t xml:space="preserve">Оценка риска без изменения. Риск низкий.</w:t>
            </w:r>
            <w:r>
              <w:rPr>
                <w:rFonts w:ascii="Arial Narrow" w:hAnsi="Arial Narrow"/>
                <w:sz w:val="20"/>
                <w:szCs w:val="20"/>
              </w:rPr>
            </w:r>
            <w:r>
              <w:rPr>
                <w:rFonts w:ascii="Arial Narrow" w:hAnsi="Arial Narrow"/>
                <w:sz w:val="20"/>
                <w:szCs w:val="20"/>
              </w:rPr>
            </w:r>
          </w:p>
        </w:tc>
      </w:tr>
      <w:tr>
        <w:trPr/>
        <w:tc>
          <w:tcPr>
            <w:tcBorders>
              <w:top w:val="single" w:color="000000" w:sz="4" w:space="0"/>
              <w:left w:val="single" w:color="000000" w:sz="4" w:space="0"/>
              <w:bottom w:val="single" w:color="000000" w:sz="4" w:space="0"/>
              <w:right w:val="single" w:color="000000" w:sz="4" w:space="0"/>
            </w:tcBorders>
            <w:tcW w:w="539" w:type="dxa"/>
            <w:vAlign w:val="center"/>
            <w:textDirection w:val="lrTb"/>
            <w:noWrap w:val="false"/>
          </w:tcPr>
          <w:p>
            <w:pPr>
              <w:pStyle w:val="1063"/>
              <w:jc w:val="center"/>
              <w:widowControl w:val="off"/>
              <w:tabs>
                <w:tab w:val="left" w:pos="709" w:leader="none"/>
              </w:tabs>
              <w:rPr>
                <w:rFonts w:ascii="Arial Narrow" w:hAnsi="Arial Narrow"/>
                <w:sz w:val="20"/>
                <w:szCs w:val="20"/>
              </w:rPr>
            </w:pPr>
            <w:r>
              <w:rPr>
                <w:rFonts w:ascii="Arial Narrow" w:hAnsi="Arial Narrow" w:cs="Calibri"/>
                <w:sz w:val="20"/>
                <w:szCs w:val="20"/>
              </w:rPr>
              <w:t xml:space="preserve">10</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4207" w:type="dxa"/>
            <w:vAlign w:val="center"/>
            <w:textDirection w:val="lrTb"/>
            <w:noWrap w:val="false"/>
          </w:tcPr>
          <w:p>
            <w:pPr>
              <w:pStyle w:val="1093"/>
              <w:jc w:val="both"/>
              <w:spacing w:before="0" w:after="0"/>
              <w:widowControl w:val="off"/>
              <w:rPr>
                <w:rFonts w:ascii="Arial Narrow" w:hAnsi="Arial Narrow"/>
                <w:sz w:val="20"/>
                <w:szCs w:val="20"/>
              </w:rPr>
            </w:pPr>
            <w:r>
              <w:rPr>
                <w:rFonts w:ascii="Arial Narrow" w:hAnsi="Arial Narrow" w:eastAsia="Calibri" w:cs="Calibri"/>
                <w:sz w:val="20"/>
                <w:szCs w:val="20"/>
              </w:rPr>
              <w:t xml:space="preserve">Аварии/инциденты (Управление охраной труда, промышленной и пожарной безопасностью)</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954" w:type="dxa"/>
            <w:vAlign w:val="center"/>
            <w:textDirection w:val="lrTb"/>
            <w:noWrap w:val="false"/>
          </w:tcPr>
          <w:p>
            <w:pPr>
              <w:pStyle w:val="1063"/>
              <w:jc w:val="center"/>
              <w:widowControl w:val="off"/>
              <w:tabs>
                <w:tab w:val="left" w:pos="709" w:leader="none"/>
              </w:tabs>
              <w:rPr>
                <w:rFonts w:ascii="Arial Narrow" w:hAnsi="Arial Narrow"/>
                <w:sz w:val="20"/>
                <w:szCs w:val="20"/>
              </w:rPr>
            </w:pPr>
            <w:r>
              <w:rPr>
                <w:rFonts w:ascii="Arial Narrow" w:hAnsi="Arial Narrow" w:cs="Calibri"/>
                <w:sz w:val="20"/>
                <w:szCs w:val="20"/>
              </w:rPr>
              <w:t xml:space="preserve">Риск не реализовался</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3620" w:type="dxa"/>
            <w:vAlign w:val="center"/>
            <w:textDirection w:val="lrTb"/>
            <w:noWrap w:val="false"/>
          </w:tcPr>
          <w:p>
            <w:pPr>
              <w:pStyle w:val="1063"/>
              <w:jc w:val="both"/>
              <w:widowControl w:val="off"/>
              <w:tabs>
                <w:tab w:val="left" w:pos="709" w:leader="none"/>
              </w:tabs>
              <w:rPr>
                <w:rFonts w:ascii="Arial Narrow" w:hAnsi="Arial Narrow"/>
                <w:sz w:val="20"/>
                <w:szCs w:val="20"/>
              </w:rPr>
            </w:pPr>
            <w:r>
              <w:rPr>
                <w:rFonts w:ascii="Arial Narrow" w:hAnsi="Arial Narrow"/>
                <w:sz w:val="20"/>
                <w:szCs w:val="20"/>
              </w:rPr>
              <w:t xml:space="preserve">Оценка последствий риска на 2025 год увеличена до крайне высокой. Итоговая оценка без изменений. Риск средний.</w:t>
            </w:r>
            <w:r>
              <w:rPr>
                <w:rFonts w:ascii="Arial Narrow" w:hAnsi="Arial Narrow"/>
                <w:sz w:val="20"/>
                <w:szCs w:val="20"/>
              </w:rPr>
            </w:r>
            <w:r>
              <w:rPr>
                <w:rFonts w:ascii="Arial Narrow" w:hAnsi="Arial Narrow"/>
                <w:sz w:val="20"/>
                <w:szCs w:val="20"/>
              </w:rPr>
            </w:r>
          </w:p>
        </w:tc>
      </w:tr>
      <w:tr>
        <w:trPr/>
        <w:tc>
          <w:tcPr>
            <w:tcBorders>
              <w:top w:val="single" w:color="000000" w:sz="4" w:space="0"/>
              <w:left w:val="single" w:color="000000" w:sz="4" w:space="0"/>
              <w:bottom w:val="single" w:color="000000" w:sz="4" w:space="0"/>
              <w:right w:val="single" w:color="000000" w:sz="4" w:space="0"/>
            </w:tcBorders>
            <w:tcW w:w="539" w:type="dxa"/>
            <w:vAlign w:val="center"/>
            <w:textDirection w:val="lrTb"/>
            <w:noWrap w:val="false"/>
          </w:tcPr>
          <w:p>
            <w:pPr>
              <w:pStyle w:val="1063"/>
              <w:jc w:val="center"/>
              <w:widowControl w:val="off"/>
              <w:tabs>
                <w:tab w:val="left" w:pos="709" w:leader="none"/>
              </w:tabs>
              <w:rPr>
                <w:rFonts w:ascii="Arial Narrow" w:hAnsi="Arial Narrow"/>
                <w:sz w:val="20"/>
                <w:szCs w:val="20"/>
              </w:rPr>
            </w:pPr>
            <w:r>
              <w:rPr>
                <w:rFonts w:ascii="Arial Narrow" w:hAnsi="Arial Narrow" w:cs="Calibri"/>
                <w:sz w:val="20"/>
                <w:szCs w:val="20"/>
              </w:rPr>
              <w:t xml:space="preserve">11</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4207" w:type="dxa"/>
            <w:vAlign w:val="center"/>
            <w:textDirection w:val="lrTb"/>
            <w:noWrap w:val="false"/>
          </w:tcPr>
          <w:p>
            <w:pPr>
              <w:pStyle w:val="1093"/>
              <w:jc w:val="both"/>
              <w:spacing w:before="0" w:after="0"/>
              <w:widowControl w:val="off"/>
              <w:rPr>
                <w:rFonts w:ascii="Arial Narrow" w:hAnsi="Arial Narrow"/>
                <w:sz w:val="20"/>
                <w:szCs w:val="20"/>
              </w:rPr>
            </w:pPr>
            <w:r>
              <w:rPr>
                <w:rFonts w:ascii="Arial Narrow" w:hAnsi="Arial Narrow" w:eastAsia="Calibri" w:cs="Calibri"/>
                <w:sz w:val="20"/>
                <w:szCs w:val="20"/>
              </w:rPr>
              <w:t xml:space="preserve">Превышение (злоупотребление)  должностных полномочий</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1954" w:type="dxa"/>
            <w:vAlign w:val="center"/>
            <w:textDirection w:val="lrTb"/>
            <w:noWrap w:val="false"/>
          </w:tcPr>
          <w:p>
            <w:pPr>
              <w:pStyle w:val="1063"/>
              <w:jc w:val="center"/>
              <w:widowControl w:val="off"/>
              <w:rPr>
                <w:rFonts w:ascii="Arial Narrow" w:hAnsi="Arial Narrow"/>
                <w:sz w:val="20"/>
                <w:szCs w:val="20"/>
              </w:rPr>
            </w:pPr>
            <w:r>
              <w:rPr>
                <w:rFonts w:ascii="Arial Narrow" w:hAnsi="Arial Narrow" w:cs="Calibri"/>
                <w:sz w:val="20"/>
                <w:szCs w:val="20"/>
              </w:rPr>
              <w:t xml:space="preserve">Риск не реализовался</w:t>
            </w:r>
            <w:r>
              <w:rPr>
                <w:rFonts w:ascii="Arial Narrow" w:hAnsi="Arial Narrow"/>
                <w:sz w:val="20"/>
                <w:szCs w:val="20"/>
              </w:rPr>
            </w:r>
            <w:r>
              <w:rPr>
                <w:rFonts w:ascii="Arial Narrow" w:hAnsi="Arial Narrow"/>
                <w:sz w:val="20"/>
                <w:szCs w:val="20"/>
              </w:rPr>
            </w:r>
          </w:p>
        </w:tc>
        <w:tc>
          <w:tcPr>
            <w:tcBorders>
              <w:top w:val="single" w:color="000000" w:sz="4" w:space="0"/>
              <w:left w:val="single" w:color="000000" w:sz="4" w:space="0"/>
              <w:bottom w:val="single" w:color="000000" w:sz="4" w:space="0"/>
              <w:right w:val="single" w:color="000000" w:sz="4" w:space="0"/>
            </w:tcBorders>
            <w:tcW w:w="3620" w:type="dxa"/>
            <w:vAlign w:val="center"/>
            <w:textDirection w:val="lrTb"/>
            <w:noWrap w:val="false"/>
          </w:tcPr>
          <w:p>
            <w:pPr>
              <w:pStyle w:val="1063"/>
              <w:jc w:val="both"/>
              <w:widowControl w:val="off"/>
              <w:tabs>
                <w:tab w:val="left" w:pos="709" w:leader="none"/>
              </w:tabs>
              <w:rPr>
                <w:rFonts w:ascii="Arial Narrow" w:hAnsi="Arial Narrow"/>
                <w:sz w:val="20"/>
                <w:szCs w:val="20"/>
              </w:rPr>
            </w:pPr>
            <w:r>
              <w:rPr>
                <w:rFonts w:ascii="Arial Narrow" w:hAnsi="Arial Narrow"/>
                <w:sz w:val="20"/>
                <w:szCs w:val="20"/>
              </w:rPr>
              <w:t xml:space="preserve">Оценка риска без изменения. Риск крайне низкий.</w:t>
            </w:r>
            <w:r>
              <w:rPr>
                <w:rFonts w:ascii="Arial Narrow" w:hAnsi="Arial Narrow"/>
                <w:sz w:val="20"/>
                <w:szCs w:val="20"/>
              </w:rPr>
            </w:r>
            <w:r>
              <w:rPr>
                <w:rFonts w:ascii="Arial Narrow" w:hAnsi="Arial Narrow"/>
                <w:sz w:val="20"/>
                <w:szCs w:val="20"/>
              </w:rPr>
            </w:r>
          </w:p>
        </w:tc>
      </w:tr>
      <w:tr>
        <w:trPr>
          <w:trHeight w:val="43"/>
        </w:trPr>
        <w:tc>
          <w:tcPr>
            <w:tcBorders>
              <w:top w:val="single" w:color="000000" w:sz="4" w:space="0"/>
              <w:left w:val="single" w:color="000000" w:sz="4" w:space="0"/>
              <w:bottom w:val="single" w:color="000000" w:sz="4" w:space="0"/>
              <w:right w:val="single" w:color="000000" w:sz="4" w:space="0"/>
            </w:tcBorders>
            <w:tcW w:w="539" w:type="dxa"/>
            <w:vAlign w:val="center"/>
            <w:textDirection w:val="lrTb"/>
            <w:noWrap w:val="false"/>
          </w:tcPr>
          <w:p>
            <w:pPr>
              <w:pStyle w:val="1063"/>
              <w:jc w:val="center"/>
              <w:widowControl w:val="off"/>
              <w:tabs>
                <w:tab w:val="left" w:pos="709" w:leader="none"/>
              </w:tabs>
              <w:rPr>
                <w:rFonts w:ascii="Arial Narrow" w:hAnsi="Arial Narrow" w:cs="Calibri"/>
                <w:sz w:val="20"/>
                <w:szCs w:val="20"/>
              </w:rPr>
            </w:pPr>
            <w:r>
              <w:rPr>
                <w:rFonts w:ascii="Arial Narrow" w:hAnsi="Arial Narrow" w:cs="Calibri"/>
                <w:sz w:val="20"/>
                <w:szCs w:val="20"/>
              </w:rPr>
              <w:t xml:space="preserve">12</w:t>
            </w:r>
            <w:r>
              <w:rPr>
                <w:rFonts w:ascii="Arial Narrow" w:hAnsi="Arial Narrow" w:cs="Calibri"/>
                <w:sz w:val="20"/>
                <w:szCs w:val="20"/>
              </w:rPr>
            </w:r>
            <w:r>
              <w:rPr>
                <w:rFonts w:ascii="Arial Narrow" w:hAnsi="Arial Narrow" w:cs="Calibri"/>
                <w:sz w:val="20"/>
                <w:szCs w:val="20"/>
              </w:rPr>
            </w:r>
          </w:p>
        </w:tc>
        <w:tc>
          <w:tcPr>
            <w:tcBorders>
              <w:top w:val="single" w:color="000000" w:sz="4" w:space="0"/>
              <w:left w:val="single" w:color="000000" w:sz="4" w:space="0"/>
              <w:bottom w:val="single" w:color="000000" w:sz="4" w:space="0"/>
              <w:right w:val="single" w:color="000000" w:sz="4" w:space="0"/>
            </w:tcBorders>
            <w:tcW w:w="4207" w:type="dxa"/>
            <w:vAlign w:val="center"/>
            <w:textDirection w:val="lrTb"/>
            <w:noWrap w:val="false"/>
          </w:tcPr>
          <w:p>
            <w:pPr>
              <w:pStyle w:val="1093"/>
              <w:jc w:val="both"/>
              <w:spacing w:before="0" w:after="0"/>
              <w:widowControl w:val="off"/>
              <w:rPr>
                <w:rFonts w:ascii="Arial Narrow" w:hAnsi="Arial Narrow" w:eastAsia="Calibri" w:cs="Calibri"/>
                <w:sz w:val="20"/>
                <w:szCs w:val="20"/>
              </w:rPr>
            </w:pPr>
            <w:r>
              <w:rPr>
                <w:rFonts w:ascii="Arial Narrow" w:hAnsi="Arial Narrow" w:eastAsia="Calibri" w:cs="Calibri"/>
                <w:sz w:val="20"/>
                <w:szCs w:val="20"/>
              </w:rPr>
              <w:t xml:space="preserve">Несвоевременная оплата потребителями / контрагентами</w:t>
            </w:r>
            <w:r>
              <w:rPr>
                <w:rFonts w:ascii="Arial Narrow" w:hAnsi="Arial Narrow" w:eastAsia="Calibri" w:cs="Calibri"/>
                <w:sz w:val="20"/>
                <w:szCs w:val="20"/>
              </w:rPr>
            </w:r>
            <w:r>
              <w:rPr>
                <w:rFonts w:ascii="Arial Narrow" w:hAnsi="Arial Narrow" w:eastAsia="Calibri" w:cs="Calibri"/>
                <w:sz w:val="20"/>
                <w:szCs w:val="20"/>
              </w:rPr>
            </w:r>
          </w:p>
        </w:tc>
        <w:tc>
          <w:tcPr>
            <w:tcBorders>
              <w:top w:val="single" w:color="000000" w:sz="4" w:space="0"/>
              <w:left w:val="single" w:color="000000" w:sz="4" w:space="0"/>
              <w:bottom w:val="single" w:color="000000" w:sz="4" w:space="0"/>
              <w:right w:val="single" w:color="000000" w:sz="4" w:space="0"/>
            </w:tcBorders>
            <w:tcW w:w="1954"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r>
            <w:r>
              <w:rPr>
                <w:rFonts w:ascii="Arial Narrow" w:hAnsi="Arial Narrow" w:cs="Calibri"/>
                <w:sz w:val="20"/>
                <w:szCs w:val="20"/>
              </w:rPr>
            </w:r>
            <w:r>
              <w:rPr>
                <w:rFonts w:ascii="Arial Narrow" w:hAnsi="Arial Narrow" w:cs="Calibri"/>
                <w:sz w:val="20"/>
                <w:szCs w:val="20"/>
              </w:rPr>
            </w:r>
          </w:p>
          <w:p>
            <w:pPr>
              <w:pStyle w:val="1063"/>
              <w:jc w:val="center"/>
              <w:widowControl w:val="off"/>
              <w:rPr>
                <w:rFonts w:ascii="Arial Narrow" w:hAnsi="Arial Narrow" w:cs="Calibri"/>
                <w:sz w:val="20"/>
                <w:szCs w:val="20"/>
              </w:rPr>
            </w:pPr>
            <w:r>
              <w:rPr>
                <w:rFonts w:ascii="Arial Narrow" w:hAnsi="Arial Narrow" w:cs="Calibri"/>
                <w:sz w:val="20"/>
                <w:szCs w:val="20"/>
              </w:rPr>
              <w:t xml:space="preserve">-</w:t>
            </w:r>
            <w:r>
              <w:rPr>
                <w:rFonts w:ascii="Arial Narrow" w:hAnsi="Arial Narrow" w:cs="Calibri"/>
                <w:sz w:val="20"/>
                <w:szCs w:val="20"/>
              </w:rPr>
            </w:r>
            <w:r>
              <w:rPr>
                <w:rFonts w:ascii="Arial Narrow" w:hAnsi="Arial Narrow" w:cs="Calibri"/>
                <w:sz w:val="20"/>
                <w:szCs w:val="20"/>
              </w:rPr>
            </w:r>
          </w:p>
          <w:p>
            <w:pPr>
              <w:pStyle w:val="1063"/>
              <w:jc w:val="center"/>
              <w:widowControl w:val="off"/>
              <w:rPr>
                <w:rFonts w:ascii="Arial Narrow" w:hAnsi="Arial Narrow" w:cs="Calibri"/>
                <w:sz w:val="20"/>
                <w:szCs w:val="20"/>
              </w:rPr>
            </w:pPr>
            <w:r>
              <w:rPr>
                <w:rFonts w:ascii="Arial Narrow" w:hAnsi="Arial Narrow" w:cs="Calibri"/>
                <w:sz w:val="20"/>
                <w:szCs w:val="20"/>
              </w:rPr>
            </w:r>
            <w:r>
              <w:rPr>
                <w:rFonts w:ascii="Arial Narrow" w:hAnsi="Arial Narrow" w:cs="Calibri"/>
                <w:sz w:val="20"/>
                <w:szCs w:val="20"/>
              </w:rPr>
            </w:r>
            <w:r>
              <w:rPr>
                <w:rFonts w:ascii="Arial Narrow" w:hAnsi="Arial Narrow" w:cs="Calibri"/>
                <w:sz w:val="20"/>
                <w:szCs w:val="20"/>
              </w:rPr>
            </w:r>
          </w:p>
        </w:tc>
        <w:tc>
          <w:tcPr>
            <w:tcBorders>
              <w:top w:val="single" w:color="000000" w:sz="4" w:space="0"/>
              <w:left w:val="single" w:color="000000" w:sz="4" w:space="0"/>
              <w:bottom w:val="single" w:color="000000" w:sz="4" w:space="0"/>
              <w:right w:val="single" w:color="000000" w:sz="4" w:space="0"/>
            </w:tcBorders>
            <w:tcW w:w="3620" w:type="dxa"/>
            <w:vAlign w:val="center"/>
            <w:textDirection w:val="lrTb"/>
            <w:noWrap w:val="false"/>
          </w:tcPr>
          <w:p>
            <w:pPr>
              <w:pStyle w:val="1063"/>
              <w:jc w:val="both"/>
              <w:widowControl w:val="off"/>
              <w:tabs>
                <w:tab w:val="left" w:pos="709" w:leader="none"/>
              </w:tabs>
              <w:rPr>
                <w:rFonts w:ascii="Arial Narrow" w:hAnsi="Arial Narrow"/>
                <w:sz w:val="20"/>
                <w:szCs w:val="20"/>
              </w:rPr>
            </w:pPr>
            <w:r>
              <w:rPr>
                <w:rFonts w:ascii="Arial Narrow" w:hAnsi="Arial Narrow"/>
                <w:sz w:val="20"/>
                <w:szCs w:val="20"/>
              </w:rPr>
              <w:t xml:space="preserve">Риск оценен в 2025 год как средний.</w:t>
            </w:r>
            <w:r>
              <w:rPr>
                <w:rFonts w:ascii="Arial Narrow" w:hAnsi="Arial Narrow"/>
                <w:sz w:val="20"/>
                <w:szCs w:val="20"/>
              </w:rPr>
            </w:r>
            <w:r>
              <w:rPr>
                <w:rFonts w:ascii="Arial Narrow" w:hAnsi="Arial Narrow"/>
                <w:sz w:val="20"/>
                <w:szCs w:val="20"/>
              </w:rPr>
            </w:r>
          </w:p>
        </w:tc>
      </w:tr>
    </w:tbl>
    <w:p>
      <w:pPr>
        <w:pStyle w:val="1063"/>
        <w:ind w:right="-141"/>
        <w:rPr>
          <w:rFonts w:ascii="Arial Narrow" w:hAnsi="Arial Narrow" w:eastAsia="Calibri" w:cs="Calibri"/>
          <w:b/>
          <w:color w:val="314e87"/>
          <w:lang w:eastAsia="ja-JP"/>
        </w:rPr>
      </w:pPr>
      <w:r>
        <w:rPr>
          <w:rFonts w:ascii="Arial Narrow" w:hAnsi="Arial Narrow" w:eastAsia="Calibri" w:cs="Calibri"/>
          <w:b/>
          <w:color w:val="314e87"/>
          <w:lang w:eastAsia="ja-JP"/>
        </w:rPr>
      </w:r>
      <w:r>
        <w:rPr>
          <w:rFonts w:ascii="Arial Narrow" w:hAnsi="Arial Narrow" w:eastAsia="Calibri" w:cs="Calibri"/>
          <w:b/>
          <w:color w:val="314e87"/>
          <w:lang w:eastAsia="ja-JP"/>
        </w:rPr>
      </w:r>
      <w:r>
        <w:rPr>
          <w:rFonts w:ascii="Arial Narrow" w:hAnsi="Arial Narrow" w:eastAsia="Calibri" w:cs="Calibri"/>
          <w:b/>
          <w:color w:val="314e87"/>
          <w:lang w:eastAsia="ja-JP"/>
        </w:rPr>
      </w:r>
    </w:p>
    <w:p>
      <w:pPr>
        <w:pStyle w:val="1063"/>
        <w:ind w:right="-143"/>
        <w:rPr>
          <w:rFonts w:ascii="Arial Narrow" w:hAnsi="Arial Narrow" w:eastAsia="Calibri" w:cs="Calibri"/>
          <w:b/>
          <w:color w:val="314e87"/>
          <w:lang w:eastAsia="ja-JP"/>
        </w:rPr>
      </w:pPr>
      <w:r>
        <w:rPr>
          <w:rFonts w:ascii="Arial Narrow" w:hAnsi="Arial Narrow" w:eastAsia="Calibri" w:cs="Calibri"/>
          <w:b/>
          <w:color w:val="314e87"/>
          <w:lang w:eastAsia="ja-JP"/>
        </w:rPr>
        <w:t xml:space="preserve">Управление коррупционным риском</w:t>
      </w:r>
      <w:r>
        <w:rPr>
          <w:rFonts w:ascii="Arial Narrow" w:hAnsi="Arial Narrow" w:eastAsia="Calibri" w:cs="Calibri"/>
          <w:b/>
          <w:color w:val="314e87"/>
          <w:lang w:eastAsia="ja-JP"/>
        </w:rPr>
      </w:r>
      <w:r>
        <w:rPr>
          <w:rFonts w:ascii="Arial Narrow" w:hAnsi="Arial Narrow" w:eastAsia="Calibri" w:cs="Calibri"/>
          <w:b/>
          <w:color w:val="314e87"/>
          <w:lang w:eastAsia="ja-JP"/>
        </w:rPr>
      </w:r>
    </w:p>
    <w:p>
      <w:pPr>
        <w:pStyle w:val="1063"/>
        <w:ind w:right="-143"/>
        <w:rPr>
          <w:rFonts w:ascii="Arial Narrow" w:hAnsi="Arial Narrow" w:eastAsia="Calibri" w:cs="Calibri"/>
          <w:b/>
          <w:color w:val="314e87"/>
          <w:sz w:val="12"/>
          <w:szCs w:val="12"/>
          <w:lang w:eastAsia="ja-JP"/>
        </w:rPr>
      </w:pPr>
      <w:r>
        <w:rPr>
          <w:rFonts w:ascii="Arial Narrow" w:hAnsi="Arial Narrow" w:eastAsia="Calibri" w:cs="Calibri"/>
          <w:b/>
          <w:color w:val="314e87"/>
          <w:sz w:val="12"/>
          <w:szCs w:val="12"/>
          <w:lang w:eastAsia="ja-JP"/>
        </w:rPr>
      </w:r>
      <w:r>
        <w:rPr>
          <w:rFonts w:ascii="Arial Narrow" w:hAnsi="Arial Narrow" w:eastAsia="Calibri" w:cs="Calibri"/>
          <w:b/>
          <w:color w:val="314e87"/>
          <w:sz w:val="12"/>
          <w:szCs w:val="12"/>
          <w:lang w:eastAsia="ja-JP"/>
        </w:rPr>
      </w:r>
      <w:r>
        <w:rPr>
          <w:rFonts w:ascii="Arial Narrow" w:hAnsi="Arial Narrow" w:eastAsia="Calibri" w:cs="Calibri"/>
          <w:b/>
          <w:color w:val="314e87"/>
          <w:sz w:val="12"/>
          <w:szCs w:val="12"/>
          <w:lang w:eastAsia="ja-JP"/>
        </w:rPr>
      </w:r>
    </w:p>
    <w:p>
      <w:pPr>
        <w:pStyle w:val="1063"/>
        <w:ind w:firstLine="567"/>
        <w:jc w:val="both"/>
      </w:pPr>
      <w:r>
        <w:rPr>
          <w:rFonts w:ascii="Arial Narrow" w:hAnsi="Arial Narrow" w:cs="Calibri"/>
          <w:iCs/>
        </w:rPr>
        <w:t xml:space="preserve">Обществом осуществляется непрерывная деятельность по минимизации коррупционных рисков, профилактике и противодействию коррупции, основанная на законодательстве Российской Федерации, применимом международном законодательстве и лучших практиках, в том числе:</w:t>
      </w:r>
      <w:r/>
    </w:p>
    <w:p>
      <w:pPr>
        <w:pStyle w:val="1091"/>
        <w:ind w:left="0"/>
        <w:jc w:val="both"/>
        <w:spacing w:line="276" w:lineRule="auto"/>
        <w:tabs>
          <w:tab w:val="left" w:pos="993" w:leader="none"/>
        </w:tabs>
        <w:rPr>
          <w:lang w:val="ru-RU"/>
        </w:rPr>
      </w:pPr>
      <w:r>
        <w:rPr>
          <w:rFonts w:ascii="Arial Narrow" w:hAnsi="Arial Narrow" w:cs="Calibri"/>
          <w:iCs/>
          <w:sz w:val="24"/>
          <w:szCs w:val="24"/>
          <w:lang w:val="ru-RU"/>
        </w:rPr>
        <w:tab/>
        <w:t xml:space="preserve">внедрена система корпоративных политик и стандартов, регламентирующих вопросы антикоррупционной деятельности, определяющих основные цели, задачи, принципы и направления профилактики и противодействия коррупции;</w:t>
      </w:r>
      <w:r>
        <w:rPr>
          <w:lang w:val="ru-RU"/>
        </w:rPr>
      </w:r>
      <w:r>
        <w:rPr>
          <w:lang w:val="ru-RU"/>
        </w:rPr>
      </w:r>
    </w:p>
    <w:p>
      <w:pPr>
        <w:pStyle w:val="1091"/>
        <w:ind w:left="0"/>
        <w:jc w:val="both"/>
        <w:spacing w:line="276" w:lineRule="auto"/>
        <w:tabs>
          <w:tab w:val="left" w:pos="993" w:leader="none"/>
        </w:tabs>
        <w:rPr>
          <w:lang w:val="ru-RU"/>
        </w:rPr>
      </w:pPr>
      <w:r>
        <w:rPr>
          <w:rFonts w:ascii="Arial Narrow" w:hAnsi="Arial Narrow" w:cs="Calibri"/>
          <w:iCs/>
          <w:sz w:val="24"/>
          <w:szCs w:val="24"/>
          <w:lang w:val="ru-RU"/>
        </w:rPr>
        <w:tab/>
        <w:t xml:space="preserve">реализуется комплекс мероприятий, направленных на снижение коррупционных рисков в Обществе, обеспечение соответствия деятельности Общества требованиям российского и международного законодательства, в том числе:</w:t>
      </w:r>
      <w:r>
        <w:rPr>
          <w:lang w:val="ru-RU"/>
        </w:rPr>
      </w:r>
      <w:r>
        <w:rPr>
          <w:lang w:val="ru-RU"/>
        </w:rPr>
      </w:r>
    </w:p>
    <w:p>
      <w:pPr>
        <w:pStyle w:val="1093"/>
        <w:numPr>
          <w:ilvl w:val="0"/>
          <w:numId w:val="4"/>
        </w:numPr>
        <w:ind w:left="0" w:firstLine="709"/>
        <w:jc w:val="both"/>
        <w:spacing w:before="0" w:after="0" w:line="276" w:lineRule="auto"/>
        <w:tabs>
          <w:tab w:val="left" w:pos="993" w:leader="none"/>
        </w:tabs>
      </w:pPr>
      <w:r>
        <w:rPr>
          <w:rFonts w:ascii="Arial Narrow" w:hAnsi="Arial Narrow" w:cs="Calibri"/>
          <w:sz w:val="24"/>
          <w:szCs w:val="24"/>
        </w:rPr>
        <w:t xml:space="preserve">разработка, актуализация базы локальных нормативных документов (актов) по противодействию коррупции;</w:t>
      </w:r>
      <w:r/>
    </w:p>
    <w:p>
      <w:pPr>
        <w:pStyle w:val="1093"/>
        <w:numPr>
          <w:ilvl w:val="0"/>
          <w:numId w:val="4"/>
        </w:numPr>
        <w:ind w:left="0" w:firstLine="709"/>
        <w:jc w:val="both"/>
        <w:spacing w:before="0" w:after="0" w:line="276" w:lineRule="auto"/>
        <w:tabs>
          <w:tab w:val="left" w:pos="993" w:leader="none"/>
        </w:tabs>
      </w:pPr>
      <w:r>
        <w:rPr>
          <w:rFonts w:ascii="Arial Narrow" w:hAnsi="Arial Narrow" w:cs="Calibri"/>
          <w:sz w:val="24"/>
          <w:szCs w:val="24"/>
        </w:rPr>
        <w:t xml:space="preserve">обеспечение информированности работников о требованиях антикоррупционного законодательства;</w:t>
      </w:r>
      <w:r/>
    </w:p>
    <w:p>
      <w:pPr>
        <w:pStyle w:val="1093"/>
        <w:numPr>
          <w:ilvl w:val="0"/>
          <w:numId w:val="4"/>
        </w:numPr>
        <w:ind w:left="0" w:firstLine="709"/>
        <w:jc w:val="both"/>
        <w:spacing w:before="0" w:after="0" w:line="276" w:lineRule="auto"/>
        <w:tabs>
          <w:tab w:val="left" w:pos="993" w:leader="none"/>
        </w:tabs>
      </w:pPr>
      <w:r>
        <w:rPr>
          <w:rFonts w:ascii="Arial Narrow" w:hAnsi="Arial Narrow" w:cs="Calibri"/>
          <w:sz w:val="24"/>
          <w:szCs w:val="24"/>
        </w:rPr>
        <w:t xml:space="preserve">организация работы по проверке сообщений о фактах противоправных действий;</w:t>
      </w:r>
      <w:r/>
    </w:p>
    <w:p>
      <w:pPr>
        <w:pStyle w:val="1093"/>
        <w:numPr>
          <w:ilvl w:val="0"/>
          <w:numId w:val="4"/>
        </w:numPr>
        <w:ind w:left="0" w:firstLine="709"/>
        <w:jc w:val="both"/>
        <w:spacing w:before="0" w:after="0" w:line="276" w:lineRule="auto"/>
        <w:tabs>
          <w:tab w:val="left" w:pos="993" w:leader="none"/>
        </w:tabs>
      </w:pPr>
      <w:r>
        <w:rPr>
          <w:rFonts w:ascii="Arial Narrow" w:hAnsi="Arial Narrow" w:cs="Calibri"/>
          <w:sz w:val="24"/>
          <w:szCs w:val="24"/>
        </w:rPr>
        <w:t xml:space="preserve">проведение обучения и тестирования работников;</w:t>
      </w:r>
      <w:r/>
    </w:p>
    <w:p>
      <w:pPr>
        <w:pStyle w:val="1093"/>
        <w:numPr>
          <w:ilvl w:val="0"/>
          <w:numId w:val="4"/>
        </w:numPr>
        <w:ind w:left="0" w:firstLine="709"/>
        <w:jc w:val="both"/>
        <w:spacing w:before="0" w:after="0" w:line="276" w:lineRule="auto"/>
        <w:tabs>
          <w:tab w:val="left" w:pos="993" w:leader="none"/>
        </w:tabs>
      </w:pPr>
      <w:r>
        <w:rPr>
          <w:rFonts w:ascii="Arial Narrow" w:hAnsi="Arial Narrow" w:cs="Calibri"/>
          <w:sz w:val="24"/>
          <w:szCs w:val="24"/>
        </w:rPr>
        <w:t xml:space="preserve">выявление и предотвращение конфликтов;</w:t>
      </w:r>
      <w:r/>
    </w:p>
    <w:p>
      <w:pPr>
        <w:pStyle w:val="1093"/>
        <w:numPr>
          <w:ilvl w:val="0"/>
          <w:numId w:val="4"/>
        </w:numPr>
        <w:ind w:left="0" w:firstLine="709"/>
        <w:jc w:val="both"/>
        <w:spacing w:before="0" w:after="0" w:line="276" w:lineRule="auto"/>
        <w:tabs>
          <w:tab w:val="left" w:pos="993" w:leader="none"/>
        </w:tabs>
      </w:pPr>
      <w:r>
        <w:rPr>
          <w:rFonts w:ascii="Arial Narrow" w:hAnsi="Arial Narrow" w:cs="Calibri"/>
          <w:sz w:val="24"/>
          <w:szCs w:val="24"/>
        </w:rPr>
        <w:t xml:space="preserve">совершенствование системы внутреннего контроля.</w:t>
      </w:r>
      <w:r/>
    </w:p>
    <w:p>
      <w:pPr>
        <w:pStyle w:val="1063"/>
        <w:tabs>
          <w:tab w:val="left" w:pos="709" w:leader="none"/>
        </w:tabs>
        <w:rPr>
          <w:rFonts w:ascii="Arial Narrow" w:hAnsi="Arial Narrow"/>
        </w:rPr>
      </w:pPr>
      <w:r>
        <w:rPr>
          <w:rFonts w:ascii="Arial Narrow" w:hAnsi="Arial Narrow"/>
        </w:rPr>
      </w:r>
      <w:r>
        <w:rPr>
          <w:rFonts w:ascii="Arial Narrow" w:hAnsi="Arial Narrow"/>
        </w:rPr>
      </w:r>
      <w:r>
        <w:rPr>
          <w:rFonts w:ascii="Arial Narrow" w:hAnsi="Arial Narrow"/>
        </w:rPr>
      </w:r>
    </w:p>
    <w:p>
      <w:pPr>
        <w:pStyle w:val="1063"/>
        <w:ind w:right="-143"/>
        <w:rPr>
          <w:rFonts w:ascii="Arial Narrow" w:hAnsi="Arial Narrow" w:eastAsia="Calibri" w:cs="Calibri"/>
          <w:b/>
          <w:color w:val="314e87"/>
          <w:lang w:eastAsia="ja-JP"/>
        </w:rPr>
      </w:pPr>
      <w:r>
        <w:rPr>
          <w:rFonts w:ascii="Arial Narrow" w:hAnsi="Arial Narrow" w:eastAsia="Calibri" w:cs="Calibri"/>
          <w:b/>
          <w:color w:val="314e87"/>
          <w:lang w:eastAsia="ja-JP"/>
        </w:rPr>
        <w:t xml:space="preserve">Основные результаты за отчетный год</w:t>
      </w:r>
      <w:r>
        <w:rPr>
          <w:rFonts w:ascii="Arial Narrow" w:hAnsi="Arial Narrow" w:eastAsia="Calibri" w:cs="Calibri"/>
          <w:b/>
          <w:color w:val="314e87"/>
          <w:lang w:eastAsia="ja-JP"/>
        </w:rPr>
      </w:r>
      <w:r>
        <w:rPr>
          <w:rFonts w:ascii="Arial Narrow" w:hAnsi="Arial Narrow" w:eastAsia="Calibri" w:cs="Calibri"/>
          <w:b/>
          <w:color w:val="314e87"/>
          <w:lang w:eastAsia="ja-JP"/>
        </w:rPr>
      </w:r>
    </w:p>
    <w:p>
      <w:pPr>
        <w:pStyle w:val="1063"/>
        <w:jc w:val="right"/>
        <w:rPr>
          <w:rFonts w:ascii="Arial Narrow" w:hAnsi="Arial Narrow" w:eastAsia="Calibri" w:cs="Calibri"/>
          <w:i/>
          <w:lang w:eastAsia="ja-JP"/>
        </w:rPr>
      </w:pPr>
      <w:r>
        <w:rPr>
          <w:rFonts w:ascii="Arial Narrow" w:hAnsi="Arial Narrow" w:eastAsia="Calibri" w:cs="Calibri"/>
          <w:i/>
          <w:lang w:eastAsia="ja-JP"/>
        </w:rPr>
        <w:t xml:space="preserve">Таблица № </w:t>
      </w:r>
      <w:r>
        <w:rPr>
          <w:rFonts w:ascii="Arial Narrow" w:hAnsi="Arial Narrow" w:eastAsia="Calibri" w:cs="Calibri"/>
          <w:i/>
          <w:lang w:val="en-US" w:eastAsia="ja-JP"/>
        </w:rPr>
        <w:t xml:space="preserve">5</w:t>
      </w:r>
      <w:r>
        <w:rPr>
          <w:rFonts w:ascii="Arial Narrow" w:hAnsi="Arial Narrow" w:eastAsia="Calibri" w:cs="Calibri"/>
          <w:i/>
          <w:lang w:eastAsia="ja-JP"/>
        </w:rPr>
        <w:t xml:space="preserve">5</w:t>
      </w:r>
      <w:r>
        <w:rPr>
          <w:rFonts w:ascii="Arial Narrow" w:hAnsi="Arial Narrow" w:eastAsia="Calibri" w:cs="Calibri"/>
          <w:i/>
          <w:lang w:eastAsia="ja-JP"/>
        </w:rPr>
      </w:r>
      <w:r>
        <w:rPr>
          <w:rFonts w:ascii="Arial Narrow" w:hAnsi="Arial Narrow" w:eastAsia="Calibri" w:cs="Calibri"/>
          <w:i/>
          <w:lang w:eastAsia="ja-JP"/>
        </w:rPr>
      </w:r>
    </w:p>
    <w:tbl>
      <w:tblPr>
        <w:tblW w:w="10112" w:type="dxa"/>
        <w:tblInd w:w="109" w:type="dxa"/>
        <w:tblLayout w:type="fixed"/>
        <w:tblLook w:val="04A0" w:firstRow="1" w:lastRow="0" w:firstColumn="1" w:lastColumn="0" w:noHBand="0" w:noVBand="1"/>
      </w:tblPr>
      <w:tblGrid>
        <w:gridCol w:w="566"/>
        <w:gridCol w:w="8222"/>
        <w:gridCol w:w="1324"/>
      </w:tblGrid>
      <w:tr>
        <w:trPr>
          <w:tblHeader/>
        </w:trPr>
        <w:tc>
          <w:tcPr>
            <w:tcBorders>
              <w:top w:val="single" w:color="000000" w:sz="4" w:space="0"/>
              <w:left w:val="single" w:color="000000" w:sz="4" w:space="0"/>
              <w:bottom w:val="single" w:color="000000" w:sz="4" w:space="0"/>
              <w:right w:val="single" w:color="000000" w:sz="4" w:space="0"/>
            </w:tcBorders>
            <w:tcW w:w="566" w:type="dxa"/>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t xml:space="preserve">№ </w:t>
            </w:r>
            <w:r>
              <w:rPr>
                <w:rFonts w:ascii="Arial Narrow" w:hAnsi="Arial Narrow" w:cs="Calibri"/>
                <w:sz w:val="20"/>
                <w:szCs w:val="20"/>
              </w:rPr>
            </w:r>
            <w:r>
              <w:rPr>
                <w:rFonts w:ascii="Arial Narrow" w:hAnsi="Arial Narrow" w:cs="Calibri"/>
                <w:sz w:val="20"/>
                <w:szCs w:val="20"/>
              </w:rPr>
            </w:r>
          </w:p>
          <w:p>
            <w:pPr>
              <w:pStyle w:val="1063"/>
              <w:jc w:val="center"/>
              <w:widowControl w:val="off"/>
            </w:pPr>
            <w:r>
              <w:rPr>
                <w:rFonts w:ascii="Arial Narrow" w:hAnsi="Arial Narrow" w:cs="Calibri"/>
                <w:sz w:val="20"/>
                <w:szCs w:val="20"/>
              </w:rPr>
              <w:t xml:space="preserve">п/п</w:t>
            </w:r>
            <w:r/>
          </w:p>
        </w:tc>
        <w:tc>
          <w:tcPr>
            <w:tcBorders>
              <w:top w:val="single" w:color="000000" w:sz="4" w:space="0"/>
              <w:left w:val="single" w:color="000000" w:sz="4" w:space="0"/>
              <w:bottom w:val="single" w:color="000000" w:sz="4" w:space="0"/>
              <w:right w:val="single" w:color="000000" w:sz="4" w:space="0"/>
            </w:tcBorders>
            <w:tcW w:w="8222" w:type="dxa"/>
            <w:textDirection w:val="lrTb"/>
            <w:noWrap w:val="false"/>
          </w:tcPr>
          <w:p>
            <w:pPr>
              <w:pStyle w:val="1063"/>
              <w:jc w:val="center"/>
              <w:widowControl w:val="off"/>
            </w:pPr>
            <w:r>
              <w:rPr>
                <w:rFonts w:ascii="Arial Narrow" w:hAnsi="Arial Narrow" w:cs="Calibri"/>
                <w:sz w:val="20"/>
                <w:szCs w:val="20"/>
              </w:rPr>
              <w:t xml:space="preserve">Показатель</w:t>
            </w:r>
            <w:r/>
          </w:p>
        </w:tc>
        <w:tc>
          <w:tcPr>
            <w:tcBorders>
              <w:top w:val="single" w:color="000000" w:sz="4" w:space="0"/>
              <w:left w:val="single" w:color="000000" w:sz="4" w:space="0"/>
              <w:bottom w:val="single" w:color="000000" w:sz="4" w:space="0"/>
              <w:right w:val="single" w:color="000000" w:sz="4" w:space="0"/>
            </w:tcBorders>
            <w:tcW w:w="1324" w:type="dxa"/>
            <w:textDirection w:val="lrTb"/>
            <w:noWrap w:val="false"/>
          </w:tcPr>
          <w:p>
            <w:pPr>
              <w:pStyle w:val="1063"/>
              <w:jc w:val="center"/>
              <w:widowControl w:val="off"/>
            </w:pPr>
            <w:r>
              <w:rPr>
                <w:rFonts w:ascii="Arial Narrow" w:hAnsi="Arial Narrow" w:cs="Calibri"/>
                <w:sz w:val="20"/>
                <w:szCs w:val="20"/>
              </w:rPr>
              <w:t xml:space="preserve">Результат (количество)</w:t>
            </w:r>
            <w:r/>
          </w:p>
        </w:tc>
      </w:tr>
      <w:tr>
        <w:trPr/>
        <w:tc>
          <w:tcPr>
            <w:tcBorders>
              <w:top w:val="single" w:color="000000" w:sz="4" w:space="0"/>
              <w:left w:val="single" w:color="000000" w:sz="4" w:space="0"/>
              <w:bottom w:val="single" w:color="000000" w:sz="4" w:space="0"/>
              <w:right w:val="single" w:color="000000" w:sz="4" w:space="0"/>
            </w:tcBorders>
            <w:tcW w:w="566" w:type="dxa"/>
            <w:vAlign w:val="center"/>
            <w:textDirection w:val="lrTb"/>
            <w:noWrap w:val="false"/>
          </w:tcPr>
          <w:p>
            <w:pPr>
              <w:pStyle w:val="1063"/>
              <w:jc w:val="center"/>
              <w:widowControl w:val="off"/>
            </w:pPr>
            <w:r>
              <w:rPr>
                <w:rFonts w:ascii="Arial Narrow" w:hAnsi="Arial Narrow" w:cs="Calibri"/>
                <w:sz w:val="20"/>
                <w:szCs w:val="20"/>
              </w:rPr>
              <w:t xml:space="preserve">1</w:t>
            </w:r>
            <w:r/>
          </w:p>
        </w:tc>
        <w:tc>
          <w:tcPr>
            <w:tcBorders>
              <w:top w:val="single" w:color="000000" w:sz="4" w:space="0"/>
              <w:left w:val="single" w:color="000000" w:sz="4" w:space="0"/>
              <w:bottom w:val="single" w:color="000000" w:sz="4" w:space="0"/>
              <w:right w:val="single" w:color="000000" w:sz="4" w:space="0"/>
            </w:tcBorders>
            <w:tcW w:w="8222" w:type="dxa"/>
            <w:textDirection w:val="lrTb"/>
            <w:noWrap w:val="false"/>
          </w:tcPr>
          <w:p>
            <w:pPr>
              <w:pStyle w:val="1063"/>
              <w:jc w:val="both"/>
              <w:widowControl w:val="off"/>
            </w:pPr>
            <w:r>
              <w:rPr>
                <w:rFonts w:ascii="Arial Narrow" w:hAnsi="Arial Narrow" w:cs="Calibri"/>
                <w:sz w:val="20"/>
                <w:szCs w:val="20"/>
              </w:rPr>
              <w:t xml:space="preserve">Количество подтвержденных случаев коррупции в отношении Общества или его работников</w:t>
            </w:r>
            <w:r/>
          </w:p>
        </w:tc>
        <w:tc>
          <w:tcPr>
            <w:tcBorders>
              <w:top w:val="single" w:color="000000" w:sz="4" w:space="0"/>
              <w:left w:val="single" w:color="000000" w:sz="4" w:space="0"/>
              <w:bottom w:val="single" w:color="000000" w:sz="4" w:space="0"/>
              <w:right w:val="single" w:color="000000" w:sz="4" w:space="0"/>
            </w:tcBorders>
            <w:tcW w:w="1324" w:type="dxa"/>
            <w:vAlign w:val="center"/>
            <w:textDirection w:val="lrTb"/>
            <w:noWrap w:val="false"/>
          </w:tcPr>
          <w:p>
            <w:pPr>
              <w:pStyle w:val="1063"/>
              <w:jc w:val="center"/>
              <w:widowControl w:val="off"/>
            </w:pPr>
            <w:r>
              <w:rPr>
                <w:rFonts w:ascii="Arial Narrow" w:hAnsi="Arial Narrow" w:cs="Calibri"/>
                <w:sz w:val="20"/>
                <w:szCs w:val="20"/>
              </w:rPr>
              <w:t xml:space="preserve">0</w:t>
            </w:r>
            <w:r/>
          </w:p>
        </w:tc>
      </w:tr>
      <w:tr>
        <w:trPr/>
        <w:tc>
          <w:tcPr>
            <w:tcBorders>
              <w:top w:val="single" w:color="000000" w:sz="4" w:space="0"/>
              <w:left w:val="single" w:color="000000" w:sz="4" w:space="0"/>
              <w:bottom w:val="single" w:color="000000" w:sz="4" w:space="0"/>
              <w:right w:val="single" w:color="000000" w:sz="4" w:space="0"/>
            </w:tcBorders>
            <w:tcW w:w="566" w:type="dxa"/>
            <w:vAlign w:val="center"/>
            <w:textDirection w:val="lrTb"/>
            <w:noWrap w:val="false"/>
          </w:tcPr>
          <w:p>
            <w:pPr>
              <w:pStyle w:val="1063"/>
              <w:jc w:val="center"/>
              <w:widowControl w:val="off"/>
            </w:pPr>
            <w:r>
              <w:rPr>
                <w:rFonts w:ascii="Arial Narrow" w:hAnsi="Arial Narrow" w:cs="Calibri"/>
                <w:sz w:val="20"/>
                <w:szCs w:val="20"/>
              </w:rPr>
              <w:t xml:space="preserve">2</w:t>
            </w:r>
            <w:r/>
          </w:p>
        </w:tc>
        <w:tc>
          <w:tcPr>
            <w:tcBorders>
              <w:top w:val="single" w:color="000000" w:sz="4" w:space="0"/>
              <w:left w:val="single" w:color="000000" w:sz="4" w:space="0"/>
              <w:bottom w:val="single" w:color="000000" w:sz="4" w:space="0"/>
              <w:right w:val="single" w:color="000000" w:sz="4" w:space="0"/>
            </w:tcBorders>
            <w:tcW w:w="8222" w:type="dxa"/>
            <w:textDirection w:val="lrTb"/>
            <w:noWrap w:val="false"/>
          </w:tcPr>
          <w:p>
            <w:pPr>
              <w:pStyle w:val="1063"/>
              <w:jc w:val="both"/>
              <w:widowControl w:val="off"/>
            </w:pPr>
            <w:r>
              <w:rPr>
                <w:rFonts w:ascii="Arial Narrow" w:hAnsi="Arial Narrow" w:cs="Calibri"/>
                <w:sz w:val="20"/>
                <w:szCs w:val="20"/>
              </w:rPr>
              <w:t xml:space="preserve">Принятые меры по признакам конфликта интересов (далее - КИ):</w:t>
            </w:r>
            <w:r/>
          </w:p>
          <w:p>
            <w:pPr>
              <w:pStyle w:val="1063"/>
              <w:jc w:val="both"/>
              <w:widowControl w:val="off"/>
            </w:pPr>
            <w:r>
              <w:rPr>
                <w:rFonts w:ascii="Arial Narrow" w:hAnsi="Arial Narrow" w:cs="Calibri"/>
                <w:sz w:val="20"/>
                <w:szCs w:val="20"/>
              </w:rPr>
              <w:t xml:space="preserve">- выявлено/рассмотрено ситуаций КИ</w:t>
            </w:r>
            <w:r/>
          </w:p>
          <w:p>
            <w:pPr>
              <w:pStyle w:val="1063"/>
              <w:jc w:val="both"/>
              <w:widowControl w:val="off"/>
            </w:pPr>
            <w:r>
              <w:rPr>
                <w:rFonts w:ascii="Arial Narrow" w:hAnsi="Arial Narrow" w:cs="Calibri"/>
                <w:sz w:val="20"/>
                <w:szCs w:val="20"/>
              </w:rPr>
              <w:t xml:space="preserve">- принято мер по ситуациям (количество ситуаций, в отношении которых приняты меры)</w:t>
            </w:r>
            <w:r/>
          </w:p>
        </w:tc>
        <w:tc>
          <w:tcPr>
            <w:tcBorders>
              <w:top w:val="single" w:color="000000" w:sz="4" w:space="0"/>
              <w:left w:val="single" w:color="000000" w:sz="4" w:space="0"/>
              <w:bottom w:val="single" w:color="000000" w:sz="4" w:space="0"/>
              <w:right w:val="single" w:color="000000" w:sz="4" w:space="0"/>
            </w:tcBorders>
            <w:tcW w:w="1324"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r>
            <w:r>
              <w:rPr>
                <w:rFonts w:ascii="Arial Narrow" w:hAnsi="Arial Narrow" w:cs="Calibri"/>
                <w:sz w:val="20"/>
                <w:szCs w:val="20"/>
              </w:rPr>
            </w:r>
            <w:r>
              <w:rPr>
                <w:rFonts w:ascii="Arial Narrow" w:hAnsi="Arial Narrow" w:cs="Calibri"/>
                <w:sz w:val="20"/>
                <w:szCs w:val="20"/>
              </w:rPr>
            </w:r>
          </w:p>
          <w:p>
            <w:pPr>
              <w:pStyle w:val="1063"/>
              <w:jc w:val="center"/>
              <w:widowControl w:val="off"/>
            </w:pPr>
            <w:r>
              <w:rPr>
                <w:rFonts w:ascii="Arial Narrow" w:hAnsi="Arial Narrow" w:cs="Calibri"/>
                <w:sz w:val="20"/>
                <w:szCs w:val="20"/>
              </w:rPr>
              <w:t xml:space="preserve">2</w:t>
            </w:r>
            <w:r/>
          </w:p>
          <w:p>
            <w:pPr>
              <w:pStyle w:val="1063"/>
              <w:jc w:val="center"/>
              <w:widowControl w:val="off"/>
            </w:pPr>
            <w:r>
              <w:rPr>
                <w:rFonts w:ascii="Arial Narrow" w:hAnsi="Arial Narrow" w:cs="Calibri"/>
                <w:sz w:val="20"/>
                <w:szCs w:val="20"/>
              </w:rPr>
              <w:t xml:space="preserve">2</w:t>
            </w:r>
            <w:r/>
          </w:p>
        </w:tc>
      </w:tr>
      <w:tr>
        <w:trPr/>
        <w:tc>
          <w:tcPr>
            <w:tcBorders>
              <w:top w:val="single" w:color="000000" w:sz="4" w:space="0"/>
              <w:left w:val="single" w:color="000000" w:sz="4" w:space="0"/>
              <w:bottom w:val="single" w:color="000000" w:sz="4" w:space="0"/>
              <w:right w:val="single" w:color="000000" w:sz="4" w:space="0"/>
            </w:tcBorders>
            <w:tcW w:w="566" w:type="dxa"/>
            <w:vAlign w:val="center"/>
            <w:textDirection w:val="lrTb"/>
            <w:noWrap w:val="false"/>
          </w:tcPr>
          <w:p>
            <w:pPr>
              <w:pStyle w:val="1063"/>
              <w:jc w:val="center"/>
              <w:widowControl w:val="off"/>
            </w:pPr>
            <w:r>
              <w:rPr>
                <w:rFonts w:ascii="Arial Narrow" w:hAnsi="Arial Narrow" w:cs="Calibri"/>
                <w:sz w:val="20"/>
                <w:szCs w:val="20"/>
              </w:rPr>
              <w:t xml:space="preserve">3</w:t>
            </w:r>
            <w:r/>
          </w:p>
        </w:tc>
        <w:tc>
          <w:tcPr>
            <w:tcBorders>
              <w:top w:val="single" w:color="000000" w:sz="4" w:space="0"/>
              <w:left w:val="single" w:color="000000" w:sz="4" w:space="0"/>
              <w:bottom w:val="single" w:color="000000" w:sz="4" w:space="0"/>
              <w:right w:val="single" w:color="000000" w:sz="4" w:space="0"/>
            </w:tcBorders>
            <w:tcW w:w="8222" w:type="dxa"/>
            <w:textDirection w:val="lrTb"/>
            <w:noWrap w:val="false"/>
          </w:tcPr>
          <w:p>
            <w:pPr>
              <w:pStyle w:val="1063"/>
              <w:jc w:val="both"/>
              <w:widowControl w:val="off"/>
            </w:pPr>
            <w:r>
              <w:rPr>
                <w:rFonts w:ascii="Arial Narrow" w:hAnsi="Arial Narrow" w:cs="Calibri"/>
                <w:sz w:val="20"/>
                <w:szCs w:val="20"/>
              </w:rPr>
              <w:t xml:space="preserve">Количество рассмотренных обращений по признакам нарушений:</w:t>
            </w:r>
            <w:r/>
          </w:p>
          <w:p>
            <w:pPr>
              <w:pStyle w:val="1063"/>
              <w:jc w:val="both"/>
              <w:widowControl w:val="off"/>
            </w:pPr>
            <w:r>
              <w:rPr>
                <w:rFonts w:ascii="Arial Narrow" w:hAnsi="Arial Narrow" w:cs="Calibri"/>
                <w:sz w:val="20"/>
                <w:szCs w:val="20"/>
              </w:rPr>
              <w:t xml:space="preserve">- количество подтвердившихся обращений</w:t>
            </w:r>
            <w:r/>
          </w:p>
          <w:p>
            <w:pPr>
              <w:pStyle w:val="1063"/>
              <w:jc w:val="both"/>
              <w:widowControl w:val="off"/>
            </w:pPr>
            <w:r>
              <w:rPr>
                <w:rFonts w:ascii="Arial Narrow" w:hAnsi="Arial Narrow" w:cs="Calibri"/>
                <w:sz w:val="20"/>
                <w:szCs w:val="20"/>
              </w:rPr>
              <w:t xml:space="preserve">- количество подтвердившихся обращений, в отношении которых приняты меры</w:t>
            </w:r>
            <w:r/>
          </w:p>
        </w:tc>
        <w:tc>
          <w:tcPr>
            <w:tcBorders>
              <w:top w:val="single" w:color="000000" w:sz="4" w:space="0"/>
              <w:left w:val="single" w:color="000000" w:sz="4" w:space="0"/>
              <w:bottom w:val="single" w:color="000000" w:sz="4" w:space="0"/>
              <w:right w:val="single" w:color="000000" w:sz="4" w:space="0"/>
            </w:tcBorders>
            <w:tcW w:w="1324"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r>
            <w:r>
              <w:rPr>
                <w:rFonts w:ascii="Arial Narrow" w:hAnsi="Arial Narrow" w:cs="Calibri"/>
                <w:sz w:val="20"/>
                <w:szCs w:val="20"/>
              </w:rPr>
            </w:r>
            <w:r>
              <w:rPr>
                <w:rFonts w:ascii="Arial Narrow" w:hAnsi="Arial Narrow" w:cs="Calibri"/>
                <w:sz w:val="20"/>
                <w:szCs w:val="20"/>
              </w:rPr>
            </w:r>
          </w:p>
          <w:p>
            <w:pPr>
              <w:pStyle w:val="1063"/>
              <w:jc w:val="center"/>
              <w:widowControl w:val="off"/>
            </w:pPr>
            <w:r>
              <w:rPr>
                <w:rFonts w:ascii="Arial Narrow" w:hAnsi="Arial Narrow" w:cs="Calibri"/>
                <w:sz w:val="20"/>
                <w:szCs w:val="20"/>
              </w:rPr>
              <w:t xml:space="preserve">0</w:t>
            </w:r>
            <w:r/>
          </w:p>
          <w:p>
            <w:pPr>
              <w:pStyle w:val="1063"/>
              <w:jc w:val="center"/>
              <w:widowControl w:val="off"/>
            </w:pPr>
            <w:r>
              <w:rPr>
                <w:rFonts w:ascii="Arial Narrow" w:hAnsi="Arial Narrow" w:cs="Calibri"/>
                <w:sz w:val="20"/>
                <w:szCs w:val="20"/>
              </w:rPr>
              <w:t xml:space="preserve">0</w:t>
            </w:r>
            <w:r/>
          </w:p>
        </w:tc>
      </w:tr>
      <w:tr>
        <w:trPr/>
        <w:tc>
          <w:tcPr>
            <w:tcBorders>
              <w:top w:val="single" w:color="000000" w:sz="4" w:space="0"/>
              <w:left w:val="single" w:color="000000" w:sz="4" w:space="0"/>
              <w:bottom w:val="single" w:color="000000" w:sz="4" w:space="0"/>
              <w:right w:val="single" w:color="000000" w:sz="4" w:space="0"/>
            </w:tcBorders>
            <w:tcW w:w="566" w:type="dxa"/>
            <w:vAlign w:val="center"/>
            <w:textDirection w:val="lrTb"/>
            <w:noWrap w:val="false"/>
          </w:tcPr>
          <w:p>
            <w:pPr>
              <w:pStyle w:val="1063"/>
              <w:jc w:val="center"/>
              <w:widowControl w:val="off"/>
            </w:pPr>
            <w:r>
              <w:rPr>
                <w:rFonts w:ascii="Arial Narrow" w:hAnsi="Arial Narrow" w:cs="Calibri"/>
                <w:sz w:val="20"/>
                <w:szCs w:val="20"/>
              </w:rPr>
              <w:t xml:space="preserve">4</w:t>
            </w:r>
            <w:r/>
          </w:p>
        </w:tc>
        <w:tc>
          <w:tcPr>
            <w:tcBorders>
              <w:top w:val="single" w:color="000000" w:sz="4" w:space="0"/>
              <w:left w:val="single" w:color="000000" w:sz="4" w:space="0"/>
              <w:bottom w:val="single" w:color="000000" w:sz="4" w:space="0"/>
              <w:right w:val="single" w:color="000000" w:sz="4" w:space="0"/>
            </w:tcBorders>
            <w:tcW w:w="8222" w:type="dxa"/>
            <w:textDirection w:val="lrTb"/>
            <w:noWrap w:val="false"/>
          </w:tcPr>
          <w:p>
            <w:pPr>
              <w:pStyle w:val="1063"/>
              <w:jc w:val="both"/>
              <w:widowControl w:val="off"/>
            </w:pPr>
            <w:r>
              <w:rPr>
                <w:rFonts w:ascii="Arial Narrow" w:hAnsi="Arial Narrow" w:cs="Calibri"/>
                <w:sz w:val="20"/>
                <w:szCs w:val="20"/>
              </w:rPr>
              <w:t xml:space="preserve">Ознакомление работников (при приеме на работу или повторно) с ЛНД(А) по противодействию коррупции</w:t>
            </w:r>
            <w:r/>
          </w:p>
        </w:tc>
        <w:tc>
          <w:tcPr>
            <w:tcBorders>
              <w:top w:val="single" w:color="000000" w:sz="4" w:space="0"/>
              <w:left w:val="single" w:color="000000" w:sz="4" w:space="0"/>
              <w:bottom w:val="single" w:color="000000" w:sz="4" w:space="0"/>
              <w:right w:val="single" w:color="000000" w:sz="4" w:space="0"/>
            </w:tcBorders>
            <w:tcW w:w="1324" w:type="dxa"/>
            <w:vAlign w:val="center"/>
            <w:textDirection w:val="lrTb"/>
            <w:noWrap w:val="false"/>
          </w:tcPr>
          <w:p>
            <w:pPr>
              <w:pStyle w:val="1063"/>
              <w:jc w:val="center"/>
              <w:widowControl w:val="off"/>
            </w:pPr>
            <w:r>
              <w:rPr>
                <w:rFonts w:ascii="Arial Narrow" w:hAnsi="Arial Narrow" w:cs="Calibri"/>
                <w:sz w:val="20"/>
                <w:szCs w:val="20"/>
              </w:rPr>
              <w:t xml:space="preserve">374</w:t>
            </w:r>
            <w:r/>
          </w:p>
        </w:tc>
      </w:tr>
      <w:tr>
        <w:trPr/>
        <w:tc>
          <w:tcPr>
            <w:tcBorders>
              <w:top w:val="single" w:color="000000" w:sz="4" w:space="0"/>
              <w:left w:val="single" w:color="000000" w:sz="4" w:space="0"/>
              <w:bottom w:val="single" w:color="000000" w:sz="4" w:space="0"/>
              <w:right w:val="single" w:color="000000" w:sz="4" w:space="0"/>
            </w:tcBorders>
            <w:tcW w:w="566" w:type="dxa"/>
            <w:vAlign w:val="center"/>
            <w:textDirection w:val="lrTb"/>
            <w:noWrap w:val="false"/>
          </w:tcPr>
          <w:p>
            <w:pPr>
              <w:pStyle w:val="1063"/>
              <w:jc w:val="center"/>
              <w:widowControl w:val="off"/>
            </w:pPr>
            <w:r>
              <w:rPr>
                <w:rFonts w:ascii="Arial Narrow" w:hAnsi="Arial Narrow" w:cs="Calibri"/>
                <w:sz w:val="20"/>
                <w:szCs w:val="20"/>
              </w:rPr>
              <w:t xml:space="preserve">5</w:t>
            </w:r>
            <w:r/>
          </w:p>
        </w:tc>
        <w:tc>
          <w:tcPr>
            <w:tcBorders>
              <w:top w:val="single" w:color="000000" w:sz="4" w:space="0"/>
              <w:left w:val="single" w:color="000000" w:sz="4" w:space="0"/>
              <w:bottom w:val="single" w:color="000000" w:sz="4" w:space="0"/>
              <w:right w:val="single" w:color="000000" w:sz="4" w:space="0"/>
            </w:tcBorders>
            <w:tcW w:w="8222" w:type="dxa"/>
            <w:textDirection w:val="lrTb"/>
            <w:noWrap w:val="false"/>
          </w:tcPr>
          <w:p>
            <w:pPr>
              <w:pStyle w:val="1063"/>
              <w:jc w:val="both"/>
              <w:widowControl w:val="off"/>
            </w:pPr>
            <w:r>
              <w:rPr>
                <w:rFonts w:ascii="Arial Narrow" w:hAnsi="Arial Narrow" w:cs="Calibri"/>
                <w:sz w:val="20"/>
                <w:szCs w:val="20"/>
              </w:rPr>
              <w:t xml:space="preserve">Обучение (тестирование) работников по вопросам противодействия коррупции</w:t>
            </w:r>
            <w:r/>
          </w:p>
        </w:tc>
        <w:tc>
          <w:tcPr>
            <w:tcBorders>
              <w:top w:val="single" w:color="000000" w:sz="4" w:space="0"/>
              <w:left w:val="single" w:color="000000" w:sz="4" w:space="0"/>
              <w:bottom w:val="single" w:color="000000" w:sz="4" w:space="0"/>
              <w:right w:val="single" w:color="000000" w:sz="4" w:space="0"/>
            </w:tcBorders>
            <w:tcW w:w="1324" w:type="dxa"/>
            <w:vAlign w:val="center"/>
            <w:textDirection w:val="lrTb"/>
            <w:noWrap w:val="false"/>
          </w:tcPr>
          <w:p>
            <w:pPr>
              <w:pStyle w:val="1063"/>
              <w:jc w:val="center"/>
              <w:widowControl w:val="off"/>
            </w:pPr>
            <w:r>
              <w:rPr>
                <w:rFonts w:ascii="Arial Narrow" w:hAnsi="Arial Narrow" w:cs="Calibri"/>
                <w:sz w:val="20"/>
                <w:szCs w:val="20"/>
              </w:rPr>
              <w:t xml:space="preserve">955</w:t>
            </w:r>
            <w:r/>
          </w:p>
        </w:tc>
      </w:tr>
      <w:tr>
        <w:trPr/>
        <w:tc>
          <w:tcPr>
            <w:tcBorders>
              <w:top w:val="single" w:color="000000" w:sz="4" w:space="0"/>
              <w:left w:val="single" w:color="000000" w:sz="4" w:space="0"/>
              <w:bottom w:val="single" w:color="000000" w:sz="4" w:space="0"/>
              <w:right w:val="single" w:color="000000" w:sz="4" w:space="0"/>
            </w:tcBorders>
            <w:tcW w:w="566" w:type="dxa"/>
            <w:vAlign w:val="center"/>
            <w:textDirection w:val="lrTb"/>
            <w:noWrap w:val="false"/>
          </w:tcPr>
          <w:p>
            <w:pPr>
              <w:pStyle w:val="1063"/>
              <w:jc w:val="center"/>
              <w:widowControl w:val="off"/>
            </w:pPr>
            <w:r>
              <w:rPr>
                <w:rFonts w:ascii="Arial Narrow" w:hAnsi="Arial Narrow" w:cs="Calibri"/>
                <w:sz w:val="20"/>
                <w:szCs w:val="20"/>
              </w:rPr>
              <w:t xml:space="preserve">6</w:t>
            </w:r>
            <w:r/>
          </w:p>
        </w:tc>
        <w:tc>
          <w:tcPr>
            <w:tcBorders>
              <w:top w:val="single" w:color="000000" w:sz="4" w:space="0"/>
              <w:left w:val="single" w:color="000000" w:sz="4" w:space="0"/>
              <w:bottom w:val="single" w:color="000000" w:sz="4" w:space="0"/>
              <w:right w:val="single" w:color="000000" w:sz="4" w:space="0"/>
            </w:tcBorders>
            <w:tcW w:w="8222" w:type="dxa"/>
            <w:textDirection w:val="lrTb"/>
            <w:noWrap w:val="false"/>
          </w:tcPr>
          <w:p>
            <w:pPr>
              <w:pStyle w:val="1063"/>
              <w:jc w:val="both"/>
              <w:widowControl w:val="off"/>
            </w:pPr>
            <w:r>
              <w:rPr>
                <w:rFonts w:ascii="Arial Narrow" w:hAnsi="Arial Narrow" w:cs="Calibri"/>
                <w:sz w:val="20"/>
                <w:szCs w:val="20"/>
              </w:rPr>
              <w:t xml:space="preserve">Информирование/ознакомление контрагентов с принятой в Обществе политикой противодействия коррупции</w:t>
            </w:r>
            <w:r/>
          </w:p>
        </w:tc>
        <w:tc>
          <w:tcPr>
            <w:tcBorders>
              <w:top w:val="single" w:color="000000" w:sz="4" w:space="0"/>
              <w:left w:val="single" w:color="000000" w:sz="4" w:space="0"/>
              <w:bottom w:val="single" w:color="000000" w:sz="4" w:space="0"/>
              <w:right w:val="single" w:color="000000" w:sz="4" w:space="0"/>
            </w:tcBorders>
            <w:tcW w:w="1324" w:type="dxa"/>
            <w:vAlign w:val="center"/>
            <w:textDirection w:val="lrTb"/>
            <w:noWrap w:val="false"/>
          </w:tcPr>
          <w:p>
            <w:pPr>
              <w:pStyle w:val="1063"/>
              <w:jc w:val="center"/>
              <w:widowControl w:val="off"/>
            </w:pPr>
            <w:r>
              <w:rPr>
                <w:rFonts w:ascii="Arial Narrow" w:hAnsi="Arial Narrow" w:cs="Calibri"/>
                <w:sz w:val="20"/>
                <w:szCs w:val="20"/>
              </w:rPr>
              <w:t xml:space="preserve">318</w:t>
            </w:r>
            <w:r/>
          </w:p>
        </w:tc>
      </w:tr>
      <w:tr>
        <w:trPr/>
        <w:tc>
          <w:tcPr>
            <w:tcBorders>
              <w:top w:val="single" w:color="000000" w:sz="4" w:space="0"/>
              <w:left w:val="single" w:color="000000" w:sz="4" w:space="0"/>
              <w:bottom w:val="single" w:color="000000" w:sz="4" w:space="0"/>
              <w:right w:val="single" w:color="000000" w:sz="4" w:space="0"/>
            </w:tcBorders>
            <w:tcW w:w="566" w:type="dxa"/>
            <w:vAlign w:val="center"/>
            <w:textDirection w:val="lrTb"/>
            <w:noWrap w:val="false"/>
          </w:tcPr>
          <w:p>
            <w:pPr>
              <w:pStyle w:val="1063"/>
              <w:jc w:val="center"/>
              <w:widowControl w:val="off"/>
            </w:pPr>
            <w:r>
              <w:rPr>
                <w:rFonts w:ascii="Arial Narrow" w:hAnsi="Arial Narrow" w:cs="Calibri"/>
                <w:sz w:val="20"/>
                <w:szCs w:val="20"/>
              </w:rPr>
              <w:t xml:space="preserve">7</w:t>
            </w:r>
            <w:r/>
          </w:p>
        </w:tc>
        <w:tc>
          <w:tcPr>
            <w:tcBorders>
              <w:top w:val="single" w:color="000000" w:sz="4" w:space="0"/>
              <w:left w:val="single" w:color="000000" w:sz="4" w:space="0"/>
              <w:bottom w:val="single" w:color="000000" w:sz="4" w:space="0"/>
              <w:right w:val="single" w:color="000000" w:sz="4" w:space="0"/>
            </w:tcBorders>
            <w:tcW w:w="8222" w:type="dxa"/>
            <w:textDirection w:val="lrTb"/>
            <w:noWrap w:val="false"/>
          </w:tcPr>
          <w:p>
            <w:pPr>
              <w:pStyle w:val="1063"/>
              <w:jc w:val="both"/>
              <w:widowControl w:val="off"/>
            </w:pPr>
            <w:r>
              <w:rPr>
                <w:rFonts w:ascii="Arial Narrow" w:hAnsi="Arial Narrow" w:cs="Calibri"/>
                <w:sz w:val="20"/>
                <w:szCs w:val="20"/>
              </w:rPr>
              <w:t xml:space="preserve">Иные мероприятия по профилактике коррупции:</w:t>
            </w:r>
            <w:r/>
          </w:p>
          <w:p>
            <w:pPr>
              <w:pStyle w:val="1063"/>
              <w:jc w:val="both"/>
              <w:widowControl w:val="off"/>
            </w:pPr>
            <w:r>
              <w:rPr>
                <w:rFonts w:ascii="Arial Narrow" w:hAnsi="Arial Narrow" w:cs="Calibri"/>
                <w:sz w:val="20"/>
                <w:szCs w:val="20"/>
              </w:rPr>
              <w:t xml:space="preserve">- актуализация/утверждение ЛНД (А)</w:t>
            </w:r>
            <w:r/>
          </w:p>
          <w:p>
            <w:pPr>
              <w:pStyle w:val="1063"/>
              <w:jc w:val="both"/>
              <w:widowControl w:val="off"/>
            </w:pPr>
            <w:r>
              <w:rPr>
                <w:rFonts w:ascii="Arial Narrow" w:hAnsi="Arial Narrow" w:cs="Calibri"/>
                <w:sz w:val="20"/>
                <w:szCs w:val="20"/>
              </w:rPr>
              <w:t xml:space="preserve">- взаимодействие с госорганами и т.п.</w:t>
            </w:r>
            <w:r/>
          </w:p>
        </w:tc>
        <w:tc>
          <w:tcPr>
            <w:tcBorders>
              <w:top w:val="single" w:color="000000" w:sz="4" w:space="0"/>
              <w:left w:val="single" w:color="000000" w:sz="4" w:space="0"/>
              <w:bottom w:val="single" w:color="000000" w:sz="4" w:space="0"/>
              <w:right w:val="single" w:color="000000" w:sz="4" w:space="0"/>
            </w:tcBorders>
            <w:tcW w:w="1324" w:type="dxa"/>
            <w:vAlign w:val="center"/>
            <w:textDirection w:val="lrTb"/>
            <w:noWrap w:val="false"/>
          </w:tcPr>
          <w:p>
            <w:pPr>
              <w:pStyle w:val="1063"/>
              <w:jc w:val="center"/>
              <w:widowControl w:val="off"/>
              <w:rPr>
                <w:rFonts w:ascii="Arial Narrow" w:hAnsi="Arial Narrow" w:cs="Calibri"/>
                <w:sz w:val="20"/>
                <w:szCs w:val="20"/>
              </w:rPr>
            </w:pPr>
            <w:r>
              <w:rPr>
                <w:rFonts w:ascii="Arial Narrow" w:hAnsi="Arial Narrow" w:cs="Calibri"/>
                <w:sz w:val="20"/>
                <w:szCs w:val="20"/>
              </w:rPr>
            </w:r>
            <w:r>
              <w:rPr>
                <w:rFonts w:ascii="Arial Narrow" w:hAnsi="Arial Narrow" w:cs="Calibri"/>
                <w:sz w:val="20"/>
                <w:szCs w:val="20"/>
              </w:rPr>
            </w:r>
            <w:r>
              <w:rPr>
                <w:rFonts w:ascii="Arial Narrow" w:hAnsi="Arial Narrow" w:cs="Calibri"/>
                <w:sz w:val="20"/>
                <w:szCs w:val="20"/>
              </w:rPr>
            </w:r>
          </w:p>
          <w:p>
            <w:pPr>
              <w:pStyle w:val="1063"/>
              <w:jc w:val="center"/>
              <w:widowControl w:val="off"/>
            </w:pPr>
            <w:r>
              <w:rPr>
                <w:rFonts w:ascii="Arial Narrow" w:hAnsi="Arial Narrow" w:cs="Calibri"/>
                <w:sz w:val="20"/>
                <w:szCs w:val="20"/>
              </w:rPr>
              <w:t xml:space="preserve">1</w:t>
            </w:r>
            <w:r/>
          </w:p>
          <w:p>
            <w:pPr>
              <w:pStyle w:val="1063"/>
              <w:jc w:val="center"/>
              <w:widowControl w:val="off"/>
            </w:pPr>
            <w:r>
              <w:rPr>
                <w:rFonts w:ascii="Arial Narrow" w:hAnsi="Arial Narrow" w:cs="Calibri"/>
                <w:sz w:val="20"/>
                <w:szCs w:val="20"/>
              </w:rPr>
              <w:t xml:space="preserve">1</w:t>
            </w:r>
            <w:r/>
          </w:p>
        </w:tc>
      </w:tr>
    </w:tbl>
    <w:p>
      <w:pPr>
        <w:pStyle w:val="1063"/>
        <w:ind w:left="7920"/>
        <w:jc w:val="center"/>
        <w:rPr>
          <w:rFonts w:ascii="Arial Narrow" w:hAnsi="Arial Narrow" w:eastAsia="Calibri" w:cs="Calibri"/>
          <w:i/>
          <w:lang w:eastAsia="ja-JP"/>
        </w:rPr>
      </w:pPr>
      <w:r>
        <w:rPr>
          <w:rFonts w:ascii="Arial Narrow" w:hAnsi="Arial Narrow" w:eastAsia="Calibri" w:cs="Calibri"/>
          <w:i/>
          <w:lang w:eastAsia="ja-JP"/>
        </w:rPr>
      </w:r>
      <w:r>
        <w:rPr>
          <w:rFonts w:ascii="Arial Narrow" w:hAnsi="Arial Narrow" w:eastAsia="Calibri" w:cs="Calibri"/>
          <w:i/>
          <w:lang w:eastAsia="ja-JP"/>
        </w:rPr>
      </w:r>
      <w:r>
        <w:rPr>
          <w:rFonts w:ascii="Arial Narrow" w:hAnsi="Arial Narrow" w:eastAsia="Calibri" w:cs="Calibri"/>
          <w:i/>
          <w:lang w:eastAsia="ja-JP"/>
        </w:rPr>
      </w:r>
    </w:p>
    <w:p>
      <w:pPr>
        <w:pStyle w:val="763"/>
        <w:jc w:val="both"/>
        <w:keepLines/>
        <w:spacing w:after="0" w:line="276" w:lineRule="auto"/>
        <w:rPr>
          <w:rFonts w:ascii="Arial Narrow" w:hAnsi="Arial Narrow" w:eastAsiaTheme="majorEastAsia" w:cstheme="minorHAnsi"/>
          <w:b/>
          <w:color w:val="314e87"/>
          <w:sz w:val="24"/>
          <w:szCs w:val="24"/>
          <w:lang w:eastAsia="en-US" w:bidi="ru-RU"/>
        </w:rPr>
      </w:pPr>
      <w:r/>
      <w:bookmarkStart w:id="154" w:name="_Toc196127011"/>
      <w:r>
        <w:rPr>
          <w:rFonts w:ascii="Arial Narrow" w:hAnsi="Arial Narrow" w:eastAsiaTheme="majorEastAsia" w:cstheme="minorHAnsi"/>
          <w:b/>
          <w:color w:val="314e87"/>
          <w:sz w:val="24"/>
          <w:szCs w:val="24"/>
          <w:lang w:eastAsia="en-US" w:bidi="ru-RU"/>
        </w:rPr>
        <w:t xml:space="preserve">11.7. Сведения о соблюдении Обществом Кодекса корпоративного управления</w:t>
      </w:r>
      <w:bookmarkEnd w:id="154"/>
      <w:r>
        <w:rPr>
          <w:rFonts w:ascii="Arial Narrow" w:hAnsi="Arial Narrow" w:eastAsiaTheme="majorEastAsia" w:cstheme="minorHAnsi"/>
          <w:b/>
          <w:color w:val="314e87"/>
          <w:sz w:val="24"/>
          <w:szCs w:val="24"/>
          <w:lang w:eastAsia="en-US" w:bidi="ru-RU"/>
        </w:rPr>
      </w:r>
      <w:r>
        <w:rPr>
          <w:rFonts w:ascii="Arial Narrow" w:hAnsi="Arial Narrow" w:eastAsiaTheme="majorEastAsia" w:cstheme="minorHAnsi"/>
          <w:b/>
          <w:color w:val="314e87"/>
          <w:sz w:val="24"/>
          <w:szCs w:val="24"/>
          <w:lang w:eastAsia="en-US" w:bidi="ru-RU"/>
        </w:rPr>
      </w:r>
    </w:p>
    <w:p>
      <w:pPr>
        <w:pStyle w:val="1063"/>
        <w:ind w:firstLine="567"/>
        <w:jc w:val="both"/>
      </w:pPr>
      <w:r>
        <w:rPr>
          <w:rFonts w:ascii="Arial Narrow" w:hAnsi="Arial Narrow" w:cs="Calibri"/>
          <w:iCs/>
        </w:rPr>
        <w:t xml:space="preserve">Отчет о соблюдении ПАО «Камчатскэнерго» принципов и рекомендаций Кодекса корпоративного управления, рекомендованного к применению Банком России приведен в Приложении № 4.</w:t>
      </w:r>
      <w:r/>
    </w:p>
    <w:p>
      <w:pPr>
        <w:pStyle w:val="1063"/>
        <w:ind w:firstLine="567"/>
        <w:jc w:val="both"/>
        <w:rPr>
          <w:rFonts w:ascii="Arial Narrow" w:hAnsi="Arial Narrow" w:cs="Calibri"/>
          <w:iCs/>
        </w:rPr>
      </w:pPr>
      <w:r>
        <w:rPr>
          <w:rFonts w:ascii="Arial Narrow" w:hAnsi="Arial Narrow" w:cs="Calibri"/>
          <w:iCs/>
        </w:rPr>
      </w:r>
      <w:r>
        <w:rPr>
          <w:rFonts w:ascii="Arial Narrow" w:hAnsi="Arial Narrow" w:cs="Calibri"/>
          <w:iCs/>
        </w:rPr>
      </w:r>
      <w:r>
        <w:rPr>
          <w:rFonts w:ascii="Arial Narrow" w:hAnsi="Arial Narrow" w:cs="Calibri"/>
          <w:iCs/>
        </w:rPr>
      </w:r>
    </w:p>
    <w:p>
      <w:pPr>
        <w:pStyle w:val="763"/>
        <w:jc w:val="both"/>
        <w:keepLines/>
        <w:spacing w:after="0" w:line="276" w:lineRule="auto"/>
        <w:rPr>
          <w:rFonts w:ascii="Arial Narrow" w:hAnsi="Arial Narrow" w:eastAsiaTheme="majorEastAsia" w:cstheme="minorHAnsi"/>
          <w:b/>
          <w:color w:val="314e87"/>
          <w:sz w:val="24"/>
          <w:szCs w:val="24"/>
          <w:lang w:eastAsia="en-US" w:bidi="ru-RU"/>
        </w:rPr>
      </w:pPr>
      <w:r/>
      <w:bookmarkStart w:id="155" w:name="_Toc193883512"/>
      <w:r/>
      <w:bookmarkStart w:id="156" w:name="_Toc196127012"/>
      <w:r>
        <w:rPr>
          <w:rFonts w:ascii="Arial Narrow" w:hAnsi="Arial Narrow" w:eastAsiaTheme="majorEastAsia" w:cstheme="minorHAnsi"/>
          <w:b/>
          <w:color w:val="314e87"/>
          <w:sz w:val="24"/>
          <w:szCs w:val="24"/>
          <w:lang w:eastAsia="en-US" w:bidi="ru-RU"/>
        </w:rPr>
        <w:t xml:space="preserve">11.8. Уставный капитал</w:t>
      </w:r>
      <w:bookmarkEnd w:id="155"/>
      <w:r/>
      <w:bookmarkEnd w:id="156"/>
      <w:r>
        <w:rPr>
          <w:rFonts w:ascii="Arial Narrow" w:hAnsi="Arial Narrow" w:eastAsiaTheme="majorEastAsia" w:cstheme="minorHAnsi"/>
          <w:b/>
          <w:color w:val="314e87"/>
          <w:sz w:val="24"/>
          <w:szCs w:val="24"/>
          <w:lang w:eastAsia="en-US" w:bidi="ru-RU"/>
        </w:rPr>
      </w:r>
      <w:r>
        <w:rPr>
          <w:rFonts w:ascii="Arial Narrow" w:hAnsi="Arial Narrow" w:eastAsiaTheme="majorEastAsia" w:cstheme="minorHAnsi"/>
          <w:b/>
          <w:color w:val="314e87"/>
          <w:sz w:val="24"/>
          <w:szCs w:val="24"/>
          <w:lang w:eastAsia="en-US" w:bidi="ru-RU"/>
        </w:rPr>
      </w:r>
    </w:p>
    <w:p>
      <w:pPr>
        <w:pStyle w:val="1063"/>
        <w:ind w:firstLine="567"/>
        <w:jc w:val="both"/>
      </w:pPr>
      <w:r>
        <w:rPr>
          <w:rFonts w:ascii="Arial Narrow" w:hAnsi="Arial Narrow" w:cs="Calibri"/>
          <w:iCs/>
          <w:color w:val="0f0d29"/>
        </w:rPr>
        <w:t xml:space="preserve">По состоянию на 31.12.2024 уставный капитал Общества составляет 5 847 747 191 (Пять миллиардов восемьсот сорок семь миллионов семьсот сорок семь тысяч сто девяносто один) рубль 20 копеек.</w:t>
      </w:r>
      <w:r/>
    </w:p>
    <w:p>
      <w:pPr>
        <w:pStyle w:val="1063"/>
        <w:ind w:firstLine="567"/>
        <w:jc w:val="both"/>
        <w:spacing w:before="120" w:after="120"/>
        <w:rPr>
          <w:rFonts w:ascii="Arial Narrow" w:hAnsi="Arial Narrow" w:cs="Calibri"/>
          <w:iCs/>
          <w:color w:val="0f0d29"/>
        </w:rPr>
      </w:pPr>
      <w:r>
        <w:rPr>
          <w:rFonts w:ascii="Arial Narrow" w:hAnsi="Arial Narrow" w:cs="Calibri"/>
          <w:iCs/>
          <w:color w:val="0f0d29"/>
        </w:rPr>
        <w:t xml:space="preserve">В отчетном периоде изменение размера уставного капитала не происходило.</w:t>
      </w:r>
      <w:r>
        <w:rPr>
          <w:rFonts w:ascii="Arial Narrow" w:hAnsi="Arial Narrow" w:cs="Calibri"/>
          <w:iCs/>
          <w:color w:val="0f0d29"/>
        </w:rPr>
      </w:r>
      <w:r>
        <w:rPr>
          <w:rFonts w:ascii="Arial Narrow" w:hAnsi="Arial Narrow" w:cs="Calibri"/>
          <w:iCs/>
          <w:color w:val="0f0d29"/>
        </w:rPr>
      </w:r>
    </w:p>
    <w:p>
      <w:pPr>
        <w:pStyle w:val="1063"/>
        <w:ind w:right="-143"/>
        <w:rPr>
          <w:rFonts w:ascii="Arial Narrow" w:hAnsi="Arial Narrow" w:eastAsia="Calibri" w:cs="Calibri"/>
          <w:b/>
          <w:color w:val="314e87"/>
          <w:lang w:eastAsia="ja-JP"/>
        </w:rPr>
      </w:pPr>
      <w:r>
        <w:rPr>
          <w:rFonts w:ascii="Arial Narrow" w:hAnsi="Arial Narrow" w:eastAsia="Calibri" w:cs="Calibri"/>
          <w:b/>
          <w:color w:val="314e87"/>
          <w:lang w:eastAsia="ja-JP"/>
        </w:rPr>
        <w:t xml:space="preserve">Структура уставного капитала по категориям акций</w:t>
      </w:r>
      <w:r>
        <w:rPr>
          <w:rFonts w:ascii="Arial Narrow" w:hAnsi="Arial Narrow" w:eastAsia="Calibri" w:cs="Calibri"/>
          <w:b/>
          <w:color w:val="314e87"/>
          <w:lang w:eastAsia="ja-JP"/>
        </w:rPr>
      </w:r>
      <w:r>
        <w:rPr>
          <w:rFonts w:ascii="Arial Narrow" w:hAnsi="Arial Narrow" w:eastAsia="Calibri" w:cs="Calibri"/>
          <w:b/>
          <w:color w:val="314e87"/>
          <w:lang w:eastAsia="ja-JP"/>
        </w:rPr>
      </w:r>
    </w:p>
    <w:p>
      <w:pPr>
        <w:pStyle w:val="1063"/>
        <w:jc w:val="right"/>
      </w:pPr>
      <w:r>
        <w:rPr>
          <w:rFonts w:ascii="Arial Narrow" w:hAnsi="Arial Narrow" w:eastAsia="Calibri" w:cs="Calibri"/>
          <w:i/>
          <w:lang w:eastAsia="ja-JP"/>
        </w:rPr>
        <w:t xml:space="preserve">     Таблица № </w:t>
      </w:r>
      <w:r>
        <w:rPr>
          <w:rFonts w:ascii="Arial Narrow" w:hAnsi="Arial Narrow" w:eastAsia="Calibri" w:cs="Calibri"/>
          <w:i/>
          <w:lang w:val="en-US" w:eastAsia="ja-JP"/>
        </w:rPr>
        <w:t xml:space="preserve">5</w:t>
      </w:r>
      <w:r>
        <w:rPr>
          <w:rFonts w:ascii="Arial Narrow" w:hAnsi="Arial Narrow" w:eastAsia="Calibri" w:cs="Calibri"/>
          <w:i/>
          <w:lang w:eastAsia="ja-JP"/>
        </w:rPr>
        <w:t xml:space="preserve">6</w:t>
      </w:r>
      <w:r/>
    </w:p>
    <w:tbl>
      <w:tblPr>
        <w:tblW w:w="10055" w:type="dxa"/>
        <w:tblInd w:w="118" w:type="dxa"/>
        <w:tblLayout w:type="fixed"/>
        <w:tblLook w:val="04A0" w:firstRow="1" w:lastRow="0" w:firstColumn="1" w:lastColumn="0" w:noHBand="0" w:noVBand="1"/>
      </w:tblPr>
      <w:tblGrid>
        <w:gridCol w:w="5095"/>
        <w:gridCol w:w="2126"/>
        <w:gridCol w:w="2834"/>
      </w:tblGrid>
      <w:tr>
        <w:trPr/>
        <w:tc>
          <w:tcPr>
            <w:shd w:val="clear" w:color="auto" w:fill="ffffff"/>
            <w:tcBorders>
              <w:top w:val="single" w:color="000000" w:sz="4" w:space="0"/>
              <w:left w:val="single" w:color="000000" w:sz="4" w:space="0"/>
              <w:bottom w:val="single" w:color="000000" w:sz="4" w:space="0"/>
              <w:right w:val="single" w:color="000000" w:sz="4" w:space="0"/>
            </w:tcBorders>
            <w:tcW w:w="5095" w:type="dxa"/>
            <w:vAlign w:val="center"/>
            <w:textDirection w:val="lrTb"/>
            <w:noWrap w:val="false"/>
          </w:tcPr>
          <w:p>
            <w:pPr>
              <w:pStyle w:val="1063"/>
              <w:widowControl w:val="off"/>
            </w:pPr>
            <w:r>
              <w:rPr>
                <w:rFonts w:ascii="Arial Narrow" w:hAnsi="Arial Narrow" w:cs="Calibri"/>
                <w:spacing w:val="5"/>
                <w:sz w:val="20"/>
                <w:szCs w:val="20"/>
              </w:rPr>
              <w:t xml:space="preserve">Категория (тип) акций</w:t>
            </w:r>
            <w:r/>
          </w:p>
        </w:tc>
        <w:tc>
          <w:tcPr>
            <w:shd w:val="clear" w:color="auto" w:fill="ffffff"/>
            <w:tcBorders>
              <w:top w:val="single" w:color="000000" w:sz="4" w:space="0"/>
              <w:left w:val="single" w:color="000000" w:sz="4" w:space="0"/>
              <w:bottom w:val="single" w:color="000000" w:sz="4" w:space="0"/>
              <w:right w:val="single" w:color="000000" w:sz="4" w:space="0"/>
            </w:tcBorders>
            <w:tcW w:w="2126" w:type="dxa"/>
            <w:vAlign w:val="center"/>
            <w:textDirection w:val="lrTb"/>
            <w:noWrap w:val="false"/>
          </w:tcPr>
          <w:p>
            <w:pPr>
              <w:pStyle w:val="1063"/>
              <w:jc w:val="center"/>
              <w:widowControl w:val="off"/>
            </w:pPr>
            <w:r>
              <w:rPr>
                <w:rFonts w:ascii="Arial Narrow" w:hAnsi="Arial Narrow" w:cs="Calibri"/>
                <w:spacing w:val="5"/>
                <w:sz w:val="20"/>
                <w:szCs w:val="20"/>
              </w:rPr>
              <w:t xml:space="preserve">Обыкновенные</w:t>
            </w:r>
            <w:r/>
          </w:p>
        </w:tc>
        <w:tc>
          <w:tcPr>
            <w:shd w:val="clear" w:color="auto" w:fill="ffffff"/>
            <w:tcBorders>
              <w:top w:val="single" w:color="000000" w:sz="4" w:space="0"/>
              <w:left w:val="single" w:color="000000" w:sz="4" w:space="0"/>
              <w:bottom w:val="single" w:color="000000" w:sz="4" w:space="0"/>
              <w:right w:val="single" w:color="000000" w:sz="4" w:space="0"/>
            </w:tcBorders>
            <w:tcW w:w="2834" w:type="dxa"/>
            <w:vAlign w:val="center"/>
            <w:textDirection w:val="lrTb"/>
            <w:noWrap w:val="false"/>
          </w:tcPr>
          <w:p>
            <w:pPr>
              <w:pStyle w:val="1063"/>
              <w:jc w:val="center"/>
              <w:widowControl w:val="off"/>
            </w:pPr>
            <w:r>
              <w:rPr>
                <w:rFonts w:ascii="Arial Narrow" w:hAnsi="Arial Narrow" w:cs="Calibri"/>
                <w:spacing w:val="5"/>
                <w:sz w:val="20"/>
                <w:szCs w:val="20"/>
              </w:rPr>
              <w:t xml:space="preserve">Привилегированные</w:t>
            </w:r>
            <w:r/>
          </w:p>
        </w:tc>
      </w:tr>
      <w:tr>
        <w:trPr>
          <w:trHeight w:val="45"/>
        </w:trPr>
        <w:tc>
          <w:tcPr>
            <w:shd w:val="clear" w:color="auto" w:fill="ffffff"/>
            <w:tcBorders>
              <w:top w:val="single" w:color="000000" w:sz="4" w:space="0"/>
              <w:left w:val="single" w:color="000000" w:sz="4" w:space="0"/>
              <w:bottom w:val="single" w:color="000000" w:sz="4" w:space="0"/>
              <w:right w:val="single" w:color="000000" w:sz="4" w:space="0"/>
            </w:tcBorders>
            <w:tcW w:w="5095" w:type="dxa"/>
            <w:vAlign w:val="center"/>
            <w:textDirection w:val="lrTb"/>
            <w:noWrap w:val="false"/>
          </w:tcPr>
          <w:p>
            <w:pPr>
              <w:pStyle w:val="1063"/>
              <w:jc w:val="both"/>
              <w:widowControl w:val="off"/>
            </w:pPr>
            <w:r>
              <w:rPr>
                <w:rFonts w:ascii="Arial Narrow" w:hAnsi="Arial Narrow" w:cs="Calibri"/>
                <w:spacing w:val="5"/>
                <w:sz w:val="20"/>
                <w:szCs w:val="20"/>
              </w:rPr>
              <w:t xml:space="preserve">Общее количество размещенных акций (шт.)</w:t>
            </w:r>
            <w:r/>
          </w:p>
        </w:tc>
        <w:tc>
          <w:tcPr>
            <w:shd w:val="clear" w:color="auto" w:fill="ffffff"/>
            <w:tcBorders>
              <w:top w:val="single" w:color="000000" w:sz="4" w:space="0"/>
              <w:left w:val="single" w:color="000000" w:sz="4" w:space="0"/>
              <w:bottom w:val="single" w:color="000000" w:sz="4" w:space="0"/>
              <w:right w:val="single" w:color="000000" w:sz="4" w:space="0"/>
            </w:tcBorders>
            <w:tcW w:w="2126" w:type="dxa"/>
            <w:vAlign w:val="center"/>
            <w:textDirection w:val="lrTb"/>
            <w:noWrap w:val="false"/>
          </w:tcPr>
          <w:p>
            <w:pPr>
              <w:pStyle w:val="1063"/>
              <w:jc w:val="center"/>
              <w:widowControl w:val="off"/>
            </w:pPr>
            <w:r>
              <w:rPr>
                <w:rFonts w:ascii="Arial Narrow" w:hAnsi="Arial Narrow" w:cs="Calibri"/>
                <w:color w:val="0f0d29"/>
                <w:spacing w:val="5"/>
                <w:sz w:val="20"/>
                <w:szCs w:val="20"/>
              </w:rPr>
              <w:t xml:space="preserve">58 294 409 860</w:t>
            </w:r>
            <w:r/>
          </w:p>
        </w:tc>
        <w:tc>
          <w:tcPr>
            <w:shd w:val="clear" w:color="auto" w:fill="ffffff"/>
            <w:tcBorders>
              <w:top w:val="single" w:color="000000" w:sz="4" w:space="0"/>
              <w:left w:val="single" w:color="000000" w:sz="4" w:space="0"/>
              <w:bottom w:val="single" w:color="000000" w:sz="4" w:space="0"/>
              <w:right w:val="single" w:color="000000" w:sz="4" w:space="0"/>
            </w:tcBorders>
            <w:tcW w:w="2834" w:type="dxa"/>
            <w:vAlign w:val="center"/>
            <w:textDirection w:val="lrTb"/>
            <w:noWrap w:val="false"/>
          </w:tcPr>
          <w:p>
            <w:pPr>
              <w:pStyle w:val="1063"/>
              <w:jc w:val="center"/>
              <w:widowControl w:val="off"/>
            </w:pPr>
            <w:r>
              <w:rPr>
                <w:rFonts w:ascii="Arial Narrow" w:hAnsi="Arial Narrow" w:cs="Calibri"/>
                <w:color w:val="0f0d29"/>
                <w:spacing w:val="5"/>
                <w:sz w:val="20"/>
                <w:szCs w:val="20"/>
              </w:rPr>
              <w:t xml:space="preserve">183 062 052</w:t>
            </w:r>
            <w:r/>
          </w:p>
        </w:tc>
      </w:tr>
      <w:tr>
        <w:trPr/>
        <w:tc>
          <w:tcPr>
            <w:shd w:val="clear" w:color="auto" w:fill="ffffff"/>
            <w:tcBorders>
              <w:top w:val="single" w:color="000000" w:sz="4" w:space="0"/>
              <w:left w:val="single" w:color="000000" w:sz="4" w:space="0"/>
              <w:bottom w:val="single" w:color="000000" w:sz="4" w:space="0"/>
              <w:right w:val="single" w:color="000000" w:sz="4" w:space="0"/>
            </w:tcBorders>
            <w:tcW w:w="5095" w:type="dxa"/>
            <w:vAlign w:val="center"/>
            <w:textDirection w:val="lrTb"/>
            <w:noWrap w:val="false"/>
          </w:tcPr>
          <w:p>
            <w:pPr>
              <w:pStyle w:val="1063"/>
              <w:jc w:val="both"/>
              <w:widowControl w:val="off"/>
            </w:pPr>
            <w:r>
              <w:rPr>
                <w:rFonts w:ascii="Arial Narrow" w:hAnsi="Arial Narrow" w:cs="Calibri"/>
                <w:spacing w:val="5"/>
                <w:sz w:val="20"/>
                <w:szCs w:val="20"/>
              </w:rPr>
              <w:t xml:space="preserve">Номинальная стоимость 1 акции</w:t>
            </w:r>
            <w:r/>
          </w:p>
        </w:tc>
        <w:tc>
          <w:tcPr>
            <w:shd w:val="clear" w:color="auto" w:fill="ffffff"/>
            <w:tcBorders>
              <w:top w:val="single" w:color="000000" w:sz="4" w:space="0"/>
              <w:left w:val="single" w:color="000000" w:sz="4" w:space="0"/>
              <w:bottom w:val="single" w:color="000000" w:sz="4" w:space="0"/>
              <w:right w:val="single" w:color="000000" w:sz="4" w:space="0"/>
            </w:tcBorders>
            <w:tcW w:w="2126" w:type="dxa"/>
            <w:vAlign w:val="center"/>
            <w:textDirection w:val="lrTb"/>
            <w:noWrap w:val="false"/>
          </w:tcPr>
          <w:p>
            <w:pPr>
              <w:pStyle w:val="1063"/>
              <w:jc w:val="center"/>
              <w:widowControl w:val="off"/>
            </w:pPr>
            <w:r>
              <w:rPr>
                <w:rFonts w:ascii="Arial Narrow" w:hAnsi="Arial Narrow" w:cs="Calibri"/>
                <w:color w:val="0f0d29"/>
                <w:spacing w:val="5"/>
                <w:sz w:val="20"/>
                <w:szCs w:val="20"/>
              </w:rPr>
              <w:t xml:space="preserve">0,1 руб.</w:t>
            </w:r>
            <w:r/>
          </w:p>
        </w:tc>
        <w:tc>
          <w:tcPr>
            <w:shd w:val="clear" w:color="auto" w:fill="ffffff"/>
            <w:tcBorders>
              <w:top w:val="single" w:color="000000" w:sz="4" w:space="0"/>
              <w:left w:val="single" w:color="000000" w:sz="4" w:space="0"/>
              <w:bottom w:val="single" w:color="000000" w:sz="4" w:space="0"/>
              <w:right w:val="single" w:color="000000" w:sz="4" w:space="0"/>
            </w:tcBorders>
            <w:tcW w:w="2834" w:type="dxa"/>
            <w:vAlign w:val="center"/>
            <w:textDirection w:val="lrTb"/>
            <w:noWrap w:val="false"/>
          </w:tcPr>
          <w:p>
            <w:pPr>
              <w:pStyle w:val="1063"/>
              <w:jc w:val="center"/>
              <w:widowControl w:val="off"/>
            </w:pPr>
            <w:r>
              <w:rPr>
                <w:rFonts w:ascii="Arial Narrow" w:hAnsi="Arial Narrow" w:cs="Calibri"/>
                <w:color w:val="0f0d29"/>
                <w:spacing w:val="5"/>
                <w:sz w:val="20"/>
                <w:szCs w:val="20"/>
              </w:rPr>
              <w:t xml:space="preserve">0,1 руб.</w:t>
            </w:r>
            <w:r/>
          </w:p>
        </w:tc>
      </w:tr>
      <w:tr>
        <w:trPr>
          <w:trHeight w:val="45"/>
        </w:trPr>
        <w:tc>
          <w:tcPr>
            <w:shd w:val="clear" w:color="auto" w:fill="ffffff"/>
            <w:tcBorders>
              <w:top w:val="single" w:color="000000" w:sz="4" w:space="0"/>
              <w:left w:val="single" w:color="000000" w:sz="4" w:space="0"/>
              <w:bottom w:val="single" w:color="000000" w:sz="4" w:space="0"/>
              <w:right w:val="single" w:color="000000" w:sz="4" w:space="0"/>
            </w:tcBorders>
            <w:tcW w:w="5095" w:type="dxa"/>
            <w:vAlign w:val="center"/>
            <w:textDirection w:val="lrTb"/>
            <w:noWrap w:val="false"/>
          </w:tcPr>
          <w:p>
            <w:pPr>
              <w:pStyle w:val="1063"/>
              <w:jc w:val="both"/>
              <w:widowControl w:val="off"/>
            </w:pPr>
            <w:r>
              <w:rPr>
                <w:rFonts w:ascii="Arial Narrow" w:hAnsi="Arial Narrow" w:cs="Calibri"/>
                <w:spacing w:val="5"/>
                <w:sz w:val="20"/>
                <w:szCs w:val="20"/>
              </w:rPr>
              <w:t xml:space="preserve">Общая номинальная стоимость</w:t>
            </w:r>
            <w:r/>
          </w:p>
        </w:tc>
        <w:tc>
          <w:tcPr>
            <w:shd w:val="clear" w:color="auto" w:fill="ffffff"/>
            <w:tcBorders>
              <w:top w:val="single" w:color="000000" w:sz="4" w:space="0"/>
              <w:left w:val="single" w:color="000000" w:sz="4" w:space="0"/>
              <w:bottom w:val="single" w:color="000000" w:sz="4" w:space="0"/>
              <w:right w:val="single" w:color="000000" w:sz="4" w:space="0"/>
            </w:tcBorders>
            <w:tcW w:w="2126" w:type="dxa"/>
            <w:vAlign w:val="center"/>
            <w:textDirection w:val="lrTb"/>
            <w:noWrap w:val="false"/>
          </w:tcPr>
          <w:p>
            <w:pPr>
              <w:pStyle w:val="1063"/>
              <w:jc w:val="center"/>
              <w:widowControl w:val="off"/>
            </w:pPr>
            <w:r>
              <w:rPr>
                <w:rFonts w:ascii="Arial Narrow" w:hAnsi="Arial Narrow" w:cs="Calibri"/>
                <w:color w:val="0f0d29"/>
                <w:spacing w:val="5"/>
                <w:sz w:val="20"/>
                <w:szCs w:val="20"/>
              </w:rPr>
              <w:t xml:space="preserve">5 829 440 986</w:t>
            </w:r>
            <w:r/>
          </w:p>
        </w:tc>
        <w:tc>
          <w:tcPr>
            <w:shd w:val="clear" w:color="auto" w:fill="ffffff"/>
            <w:tcBorders>
              <w:top w:val="single" w:color="000000" w:sz="4" w:space="0"/>
              <w:left w:val="single" w:color="000000" w:sz="4" w:space="0"/>
              <w:bottom w:val="single" w:color="000000" w:sz="4" w:space="0"/>
              <w:right w:val="single" w:color="000000" w:sz="4" w:space="0"/>
            </w:tcBorders>
            <w:tcW w:w="2834" w:type="dxa"/>
            <w:vAlign w:val="center"/>
            <w:textDirection w:val="lrTb"/>
            <w:noWrap w:val="false"/>
          </w:tcPr>
          <w:p>
            <w:pPr>
              <w:pStyle w:val="1063"/>
              <w:jc w:val="center"/>
              <w:widowControl w:val="off"/>
            </w:pPr>
            <w:r>
              <w:rPr>
                <w:rFonts w:ascii="Arial Narrow" w:hAnsi="Arial Narrow" w:cs="Calibri"/>
                <w:color w:val="0f0d29"/>
                <w:spacing w:val="5"/>
                <w:sz w:val="20"/>
                <w:szCs w:val="20"/>
              </w:rPr>
              <w:t xml:space="preserve">18 306 205,20</w:t>
            </w:r>
            <w:r/>
          </w:p>
        </w:tc>
      </w:tr>
    </w:tbl>
    <w:p>
      <w:pPr>
        <w:pStyle w:val="1063"/>
        <w:jc w:val="both"/>
        <w:rPr>
          <w:rFonts w:ascii="Arial Narrow" w:hAnsi="Arial Narrow" w:cs="Calibri"/>
          <w:color w:val="314e87"/>
        </w:rPr>
      </w:pPr>
      <w:r>
        <w:rPr>
          <w:rFonts w:ascii="Arial Narrow" w:hAnsi="Arial Narrow" w:cs="Calibri"/>
          <w:color w:val="314e87"/>
        </w:rPr>
      </w:r>
      <w:r>
        <w:rPr>
          <w:rFonts w:ascii="Arial Narrow" w:hAnsi="Arial Narrow" w:cs="Calibri"/>
          <w:color w:val="314e87"/>
        </w:rPr>
      </w:r>
      <w:r>
        <w:rPr>
          <w:rFonts w:ascii="Arial Narrow" w:hAnsi="Arial Narrow" w:cs="Calibri"/>
          <w:color w:val="314e87"/>
        </w:rPr>
      </w:r>
    </w:p>
    <w:p>
      <w:pPr>
        <w:pStyle w:val="763"/>
        <w:jc w:val="both"/>
        <w:keepLines/>
        <w:spacing w:after="0" w:line="276" w:lineRule="auto"/>
        <w:rPr>
          <w:rFonts w:ascii="Arial Narrow" w:hAnsi="Arial Narrow" w:eastAsiaTheme="majorEastAsia" w:cstheme="minorHAnsi"/>
          <w:b/>
          <w:color w:val="314e87"/>
          <w:sz w:val="24"/>
          <w:szCs w:val="24"/>
          <w:lang w:eastAsia="en-US" w:bidi="ru-RU"/>
        </w:rPr>
      </w:pPr>
      <w:r/>
      <w:bookmarkStart w:id="157" w:name="_Toc193883513"/>
      <w:r/>
      <w:bookmarkStart w:id="158" w:name="_Toc196127013"/>
      <w:r>
        <w:rPr>
          <w:rFonts w:ascii="Arial Narrow" w:hAnsi="Arial Narrow" w:eastAsiaTheme="majorEastAsia" w:cstheme="minorHAnsi"/>
          <w:b/>
          <w:color w:val="314e87"/>
          <w:sz w:val="24"/>
          <w:szCs w:val="24"/>
          <w:lang w:eastAsia="en-US" w:bidi="ru-RU"/>
        </w:rPr>
        <w:t xml:space="preserve">11.9. Структура уставного капитала</w:t>
      </w:r>
      <w:bookmarkEnd w:id="157"/>
      <w:r/>
      <w:bookmarkEnd w:id="158"/>
      <w:r>
        <w:rPr>
          <w:rFonts w:ascii="Arial Narrow" w:hAnsi="Arial Narrow" w:eastAsiaTheme="majorEastAsia" w:cstheme="minorHAnsi"/>
          <w:b/>
          <w:color w:val="314e87"/>
          <w:sz w:val="24"/>
          <w:szCs w:val="24"/>
          <w:lang w:eastAsia="en-US" w:bidi="ru-RU"/>
        </w:rPr>
      </w:r>
      <w:r>
        <w:rPr>
          <w:rFonts w:ascii="Arial Narrow" w:hAnsi="Arial Narrow" w:eastAsiaTheme="majorEastAsia" w:cstheme="minorHAnsi"/>
          <w:b/>
          <w:color w:val="314e87"/>
          <w:sz w:val="24"/>
          <w:szCs w:val="24"/>
          <w:lang w:eastAsia="en-US" w:bidi="ru-RU"/>
        </w:rPr>
      </w:r>
    </w:p>
    <w:p>
      <w:pPr>
        <w:pStyle w:val="1063"/>
        <w:ind w:left="7080" w:firstLine="708"/>
        <w:jc w:val="right"/>
      </w:pPr>
      <w:r>
        <w:rPr>
          <w:rFonts w:ascii="Arial Narrow" w:hAnsi="Arial Narrow" w:eastAsia="Calibri" w:cs="Calibri"/>
          <w:i/>
          <w:lang w:eastAsia="ja-JP"/>
        </w:rPr>
        <w:t xml:space="preserve">              Таблица № </w:t>
      </w:r>
      <w:r>
        <w:rPr>
          <w:rFonts w:ascii="Arial Narrow" w:hAnsi="Arial Narrow" w:eastAsia="Calibri" w:cs="Calibri"/>
          <w:i/>
          <w:lang w:val="en-US" w:eastAsia="ja-JP"/>
        </w:rPr>
        <w:t xml:space="preserve">5</w:t>
      </w:r>
      <w:r>
        <w:rPr>
          <w:rFonts w:ascii="Arial Narrow" w:hAnsi="Arial Narrow" w:eastAsia="Calibri" w:cs="Calibri"/>
          <w:i/>
          <w:lang w:eastAsia="ja-JP"/>
        </w:rPr>
        <w:t xml:space="preserve">7</w:t>
      </w:r>
      <w:r/>
    </w:p>
    <w:tbl>
      <w:tblPr>
        <w:tblW w:w="10088" w:type="dxa"/>
        <w:jc w:val="center"/>
        <w:tblLayout w:type="fixed"/>
        <w:tblLook w:val="04A0" w:firstRow="1" w:lastRow="0" w:firstColumn="1" w:lastColumn="0" w:noHBand="0" w:noVBand="1"/>
      </w:tblPr>
      <w:tblGrid>
        <w:gridCol w:w="3142"/>
        <w:gridCol w:w="1704"/>
        <w:gridCol w:w="1704"/>
        <w:gridCol w:w="1843"/>
        <w:gridCol w:w="1695"/>
      </w:tblGrid>
      <w:tr>
        <w:trPr>
          <w:jc w:val="center"/>
          <w:trHeight w:val="45"/>
        </w:trPr>
        <w:tc>
          <w:tcPr>
            <w:shd w:val="clear" w:color="auto" w:fill="ffffff"/>
            <w:tcBorders>
              <w:top w:val="single" w:color="000000" w:sz="4" w:space="0"/>
              <w:left w:val="single" w:color="000000" w:sz="4" w:space="0"/>
              <w:bottom w:val="single" w:color="000000" w:sz="4" w:space="0"/>
              <w:right w:val="single" w:color="000000" w:sz="4" w:space="0"/>
            </w:tcBorders>
            <w:tcW w:w="3142" w:type="dxa"/>
            <w:vAlign w:val="center"/>
            <w:vMerge w:val="restart"/>
            <w:textDirection w:val="lrTb"/>
            <w:noWrap w:val="false"/>
          </w:tcPr>
          <w:p>
            <w:pPr>
              <w:pStyle w:val="1091"/>
              <w:ind w:left="0"/>
              <w:jc w:val="center"/>
              <w:widowControl w:val="off"/>
            </w:pPr>
            <w:r>
              <w:rPr>
                <w:rFonts w:ascii="Arial Narrow" w:hAnsi="Arial Narrow" w:cs="Calibri"/>
                <w:b/>
              </w:rPr>
              <w:t xml:space="preserve">Наименование владельца ценных бумаг</w:t>
            </w:r>
            <w:r/>
          </w:p>
        </w:tc>
        <w:tc>
          <w:tcPr>
            <w:gridSpan w:val="2"/>
            <w:shd w:val="clear" w:color="auto" w:fill="ffffff"/>
            <w:tcBorders>
              <w:top w:val="single" w:color="000000" w:sz="4" w:space="0"/>
              <w:left w:val="single" w:color="000000" w:sz="4" w:space="0"/>
              <w:bottom w:val="single" w:color="000000" w:sz="4" w:space="0"/>
              <w:right w:val="single" w:color="000000" w:sz="4" w:space="0"/>
            </w:tcBorders>
            <w:tcW w:w="3408" w:type="dxa"/>
            <w:vAlign w:val="center"/>
            <w:textDirection w:val="lrTb"/>
            <w:noWrap w:val="false"/>
          </w:tcPr>
          <w:p>
            <w:pPr>
              <w:pStyle w:val="1091"/>
              <w:ind w:left="0"/>
              <w:jc w:val="center"/>
              <w:widowControl w:val="off"/>
              <w:rPr>
                <w:lang w:val="ru-RU"/>
              </w:rPr>
            </w:pPr>
            <w:r>
              <w:rPr>
                <w:rFonts w:ascii="Arial Narrow" w:hAnsi="Arial Narrow" w:cs="Calibri"/>
                <w:b/>
                <w:lang w:val="ru-RU"/>
              </w:rPr>
              <w:t xml:space="preserve">Доля в уставном капитале по состоянию на:</w:t>
            </w:r>
            <w:r>
              <w:rPr>
                <w:lang w:val="ru-RU"/>
              </w:rPr>
            </w:r>
            <w:r>
              <w:rPr>
                <w:lang w:val="ru-RU"/>
              </w:rPr>
            </w:r>
          </w:p>
        </w:tc>
        <w:tc>
          <w:tcPr>
            <w:gridSpan w:val="2"/>
            <w:shd w:val="clear" w:color="auto" w:fill="ffffff"/>
            <w:tcBorders>
              <w:top w:val="single" w:color="000000" w:sz="4" w:space="0"/>
              <w:left w:val="single" w:color="000000" w:sz="4" w:space="0"/>
              <w:bottom w:val="single" w:color="000000" w:sz="4" w:space="0"/>
              <w:right w:val="single" w:color="000000" w:sz="4" w:space="0"/>
            </w:tcBorders>
            <w:tcW w:w="3538" w:type="dxa"/>
            <w:vAlign w:val="center"/>
            <w:textDirection w:val="lrTb"/>
            <w:noWrap w:val="false"/>
          </w:tcPr>
          <w:p>
            <w:pPr>
              <w:pStyle w:val="1091"/>
              <w:ind w:left="0"/>
              <w:jc w:val="center"/>
              <w:widowControl w:val="off"/>
              <w:rPr>
                <w:lang w:val="ru-RU"/>
              </w:rPr>
            </w:pPr>
            <w:r>
              <w:rPr>
                <w:rFonts w:ascii="Arial Narrow" w:hAnsi="Arial Narrow" w:cs="Calibri"/>
                <w:b/>
                <w:lang w:val="ru-RU"/>
              </w:rPr>
              <w:t xml:space="preserve">Доля обыкновенных акций по состоянию на:</w:t>
            </w:r>
            <w:r>
              <w:rPr>
                <w:lang w:val="ru-RU"/>
              </w:rPr>
            </w:r>
            <w:r>
              <w:rPr>
                <w:lang w:val="ru-RU"/>
              </w:rPr>
            </w:r>
          </w:p>
        </w:tc>
      </w:tr>
      <w:tr>
        <w:trPr>
          <w:jc w:val="center"/>
          <w:trHeight w:val="45"/>
        </w:trPr>
        <w:tc>
          <w:tcPr>
            <w:shd w:val="clear" w:color="auto" w:fill="ffffff"/>
            <w:tcBorders>
              <w:top w:val="single" w:color="000000" w:sz="4" w:space="0"/>
              <w:left w:val="single" w:color="000000" w:sz="4" w:space="0"/>
              <w:bottom w:val="single" w:color="000000" w:sz="4" w:space="0"/>
              <w:right w:val="single" w:color="000000" w:sz="4" w:space="0"/>
            </w:tcBorders>
            <w:tcW w:w="3142" w:type="dxa"/>
            <w:vAlign w:val="center"/>
            <w:vMerge w:val="continue"/>
            <w:textDirection w:val="lrTb"/>
            <w:noWrap w:val="false"/>
          </w:tcPr>
          <w:p>
            <w:pPr>
              <w:pStyle w:val="1062"/>
            </w:pPr>
            <w:r/>
            <w:r/>
          </w:p>
        </w:tc>
        <w:tc>
          <w:tcPr>
            <w:shd w:val="clear" w:color="auto" w:fill="ffffff"/>
            <w:tcBorders>
              <w:top w:val="single" w:color="000000" w:sz="4" w:space="0"/>
              <w:left w:val="single" w:color="000000" w:sz="4" w:space="0"/>
              <w:bottom w:val="single" w:color="000000" w:sz="4" w:space="0"/>
              <w:right w:val="single" w:color="000000" w:sz="4" w:space="0"/>
            </w:tcBorders>
            <w:tcW w:w="1704" w:type="dxa"/>
            <w:vAlign w:val="center"/>
            <w:textDirection w:val="lrTb"/>
            <w:noWrap w:val="false"/>
          </w:tcPr>
          <w:p>
            <w:pPr>
              <w:pStyle w:val="1091"/>
              <w:ind w:left="0"/>
              <w:jc w:val="center"/>
              <w:widowControl w:val="off"/>
            </w:pPr>
            <w:r>
              <w:rPr>
                <w:rFonts w:ascii="Arial Narrow" w:hAnsi="Arial Narrow" w:cs="Calibri"/>
                <w:b/>
              </w:rPr>
              <w:t xml:space="preserve">01.01.202</w:t>
            </w:r>
            <w:r>
              <w:rPr>
                <w:rFonts w:ascii="Arial Narrow" w:hAnsi="Arial Narrow" w:cs="Calibri"/>
                <w:b/>
                <w:lang w:val="en-US"/>
              </w:rPr>
              <w:t xml:space="preserve">4</w:t>
            </w:r>
            <w:r/>
          </w:p>
        </w:tc>
        <w:tc>
          <w:tcPr>
            <w:shd w:val="clear" w:color="auto" w:fill="ffffff"/>
            <w:tcBorders>
              <w:top w:val="single" w:color="000000" w:sz="4" w:space="0"/>
              <w:left w:val="single" w:color="000000" w:sz="4" w:space="0"/>
              <w:bottom w:val="single" w:color="000000" w:sz="4" w:space="0"/>
              <w:right w:val="single" w:color="000000" w:sz="4" w:space="0"/>
            </w:tcBorders>
            <w:tcW w:w="1704" w:type="dxa"/>
            <w:vAlign w:val="center"/>
            <w:textDirection w:val="lrTb"/>
            <w:noWrap w:val="false"/>
          </w:tcPr>
          <w:p>
            <w:pPr>
              <w:pStyle w:val="1091"/>
              <w:ind w:left="0"/>
              <w:jc w:val="center"/>
              <w:widowControl w:val="off"/>
            </w:pPr>
            <w:r>
              <w:rPr>
                <w:rFonts w:ascii="Arial Narrow" w:hAnsi="Arial Narrow" w:cs="Calibri"/>
                <w:b/>
              </w:rPr>
              <w:t xml:space="preserve">31.12.202</w:t>
            </w:r>
            <w:r>
              <w:rPr>
                <w:rFonts w:ascii="Arial Narrow" w:hAnsi="Arial Narrow" w:cs="Calibri"/>
                <w:b/>
                <w:lang w:val="en-US"/>
              </w:rPr>
              <w:t xml:space="preserve">4</w:t>
            </w:r>
            <w:r/>
          </w:p>
        </w:tc>
        <w:tc>
          <w:tcPr>
            <w:shd w:val="clear" w:color="auto" w:fill="ffffff"/>
            <w:tcBorders>
              <w:top w:val="single" w:color="000000" w:sz="4" w:space="0"/>
              <w:left w:val="single" w:color="000000" w:sz="4" w:space="0"/>
              <w:bottom w:val="single" w:color="000000" w:sz="4" w:space="0"/>
              <w:right w:val="single" w:color="000000" w:sz="4" w:space="0"/>
            </w:tcBorders>
            <w:tcW w:w="1843" w:type="dxa"/>
            <w:vAlign w:val="center"/>
            <w:textDirection w:val="lrTb"/>
            <w:noWrap w:val="false"/>
          </w:tcPr>
          <w:p>
            <w:pPr>
              <w:pStyle w:val="1091"/>
              <w:ind w:left="0"/>
              <w:jc w:val="center"/>
              <w:widowControl w:val="off"/>
            </w:pPr>
            <w:r>
              <w:rPr>
                <w:rFonts w:ascii="Arial Narrow" w:hAnsi="Arial Narrow" w:cs="Calibri"/>
                <w:b/>
              </w:rPr>
              <w:t xml:space="preserve">01.01.2024</w:t>
            </w:r>
            <w:r/>
          </w:p>
        </w:tc>
        <w:tc>
          <w:tcPr>
            <w:shd w:val="clear" w:color="auto" w:fill="ffffff"/>
            <w:tcBorders>
              <w:top w:val="single" w:color="000000" w:sz="4" w:space="0"/>
              <w:left w:val="single" w:color="000000" w:sz="4" w:space="0"/>
              <w:bottom w:val="single" w:color="000000" w:sz="4" w:space="0"/>
              <w:right w:val="single" w:color="000000" w:sz="4" w:space="0"/>
            </w:tcBorders>
            <w:tcW w:w="1695" w:type="dxa"/>
            <w:vAlign w:val="center"/>
            <w:textDirection w:val="lrTb"/>
            <w:noWrap w:val="false"/>
          </w:tcPr>
          <w:p>
            <w:pPr>
              <w:pStyle w:val="1091"/>
              <w:ind w:left="0"/>
              <w:jc w:val="center"/>
              <w:widowControl w:val="off"/>
            </w:pPr>
            <w:r>
              <w:rPr>
                <w:rFonts w:ascii="Arial Narrow" w:hAnsi="Arial Narrow" w:cs="Calibri"/>
                <w:b/>
              </w:rPr>
              <w:t xml:space="preserve">31.12.2024</w:t>
            </w:r>
            <w:r/>
          </w:p>
        </w:tc>
      </w:tr>
      <w:tr>
        <w:trPr>
          <w:jc w:val="center"/>
          <w:trHeight w:val="50"/>
        </w:trPr>
        <w:tc>
          <w:tcPr>
            <w:shd w:val="clear" w:color="auto" w:fill="ffffff"/>
            <w:tcBorders>
              <w:top w:val="single" w:color="000000" w:sz="4" w:space="0"/>
              <w:left w:val="single" w:color="000000" w:sz="4" w:space="0"/>
              <w:bottom w:val="single" w:color="000000" w:sz="4" w:space="0"/>
              <w:right w:val="single" w:color="000000" w:sz="4" w:space="0"/>
            </w:tcBorders>
            <w:tcW w:w="3142" w:type="dxa"/>
            <w:vAlign w:val="center"/>
            <w:textDirection w:val="lrTb"/>
            <w:noWrap w:val="false"/>
          </w:tcPr>
          <w:p>
            <w:pPr>
              <w:pStyle w:val="1091"/>
              <w:ind w:left="0"/>
              <w:jc w:val="center"/>
              <w:widowControl w:val="off"/>
            </w:pPr>
            <w:r>
              <w:rPr>
                <w:rFonts w:ascii="Arial Narrow" w:hAnsi="Arial Narrow" w:cs="Calibri"/>
              </w:rPr>
              <w:t xml:space="preserve">АО «РАО ЭС Востока»</w:t>
            </w:r>
            <w:r/>
          </w:p>
        </w:tc>
        <w:tc>
          <w:tcPr>
            <w:shd w:val="clear" w:color="auto" w:fill="ffffff"/>
            <w:tcBorders>
              <w:top w:val="single" w:color="000000" w:sz="4" w:space="0"/>
              <w:left w:val="single" w:color="000000" w:sz="4" w:space="0"/>
              <w:bottom w:val="single" w:color="000000" w:sz="4" w:space="0"/>
              <w:right w:val="single" w:color="000000" w:sz="4" w:space="0"/>
            </w:tcBorders>
            <w:tcW w:w="1704" w:type="dxa"/>
            <w:vAlign w:val="center"/>
            <w:textDirection w:val="lrTb"/>
            <w:noWrap w:val="false"/>
          </w:tcPr>
          <w:p>
            <w:pPr>
              <w:pStyle w:val="1063"/>
              <w:jc w:val="center"/>
              <w:widowControl w:val="off"/>
            </w:pPr>
            <w:r>
              <w:rPr>
                <w:rFonts w:ascii="Arial Narrow" w:hAnsi="Arial Narrow" w:eastAsia="Calibri" w:cs="Calibri"/>
                <w:iCs/>
                <w:color w:val="0f0d29"/>
                <w:sz w:val="20"/>
                <w:szCs w:val="20"/>
              </w:rPr>
              <w:t xml:space="preserve">70,94 %</w:t>
            </w:r>
            <w:r/>
          </w:p>
        </w:tc>
        <w:tc>
          <w:tcPr>
            <w:shd w:val="clear" w:color="auto" w:fill="ffffff"/>
            <w:tcBorders>
              <w:top w:val="single" w:color="000000" w:sz="4" w:space="0"/>
              <w:left w:val="single" w:color="000000" w:sz="4" w:space="0"/>
              <w:bottom w:val="single" w:color="000000" w:sz="4" w:space="0"/>
              <w:right w:val="single" w:color="000000" w:sz="4" w:space="0"/>
            </w:tcBorders>
            <w:tcW w:w="1704" w:type="dxa"/>
            <w:vAlign w:val="center"/>
            <w:textDirection w:val="lrTb"/>
            <w:noWrap w:val="false"/>
          </w:tcPr>
          <w:p>
            <w:pPr>
              <w:pStyle w:val="1063"/>
              <w:jc w:val="center"/>
              <w:widowControl w:val="off"/>
            </w:pPr>
            <w:r>
              <w:rPr>
                <w:rFonts w:ascii="Arial Narrow" w:hAnsi="Arial Narrow" w:eastAsia="Calibri" w:cs="Calibri"/>
                <w:iCs/>
                <w:color w:val="0f0d29"/>
                <w:sz w:val="20"/>
                <w:szCs w:val="20"/>
              </w:rPr>
              <w:t xml:space="preserve">71,31 %</w:t>
            </w:r>
            <w:r/>
          </w:p>
        </w:tc>
        <w:tc>
          <w:tcPr>
            <w:shd w:val="clear" w:color="auto" w:fill="ffffff"/>
            <w:tcBorders>
              <w:top w:val="single" w:color="000000" w:sz="4" w:space="0"/>
              <w:left w:val="single" w:color="000000" w:sz="4" w:space="0"/>
              <w:bottom w:val="single" w:color="000000" w:sz="4" w:space="0"/>
              <w:right w:val="single" w:color="000000" w:sz="4" w:space="0"/>
            </w:tcBorders>
            <w:tcW w:w="1843" w:type="dxa"/>
            <w:vAlign w:val="center"/>
            <w:textDirection w:val="lrTb"/>
            <w:noWrap w:val="false"/>
          </w:tcPr>
          <w:p>
            <w:pPr>
              <w:pStyle w:val="1063"/>
              <w:jc w:val="center"/>
              <w:widowControl w:val="off"/>
            </w:pPr>
            <w:r>
              <w:rPr>
                <w:rFonts w:ascii="Arial Narrow" w:hAnsi="Arial Narrow" w:eastAsia="Calibri" w:cs="Calibri"/>
                <w:iCs/>
                <w:color w:val="0f0d29"/>
                <w:sz w:val="20"/>
                <w:szCs w:val="20"/>
              </w:rPr>
              <w:t xml:space="preserve">71,15 %</w:t>
            </w:r>
            <w:r/>
          </w:p>
        </w:tc>
        <w:tc>
          <w:tcPr>
            <w:shd w:val="clear" w:color="auto" w:fill="ffffff"/>
            <w:tcBorders>
              <w:top w:val="single" w:color="000000" w:sz="4" w:space="0"/>
              <w:left w:val="single" w:color="000000" w:sz="4" w:space="0"/>
              <w:bottom w:val="single" w:color="000000" w:sz="4" w:space="0"/>
              <w:right w:val="single" w:color="000000" w:sz="4" w:space="0"/>
            </w:tcBorders>
            <w:tcW w:w="1695" w:type="dxa"/>
            <w:vAlign w:val="center"/>
            <w:textDirection w:val="lrTb"/>
            <w:noWrap w:val="false"/>
          </w:tcPr>
          <w:p>
            <w:pPr>
              <w:pStyle w:val="1063"/>
              <w:jc w:val="center"/>
              <w:widowControl w:val="off"/>
            </w:pPr>
            <w:r>
              <w:rPr>
                <w:rFonts w:ascii="Arial Narrow" w:hAnsi="Arial Narrow" w:eastAsia="Calibri" w:cs="Calibri"/>
                <w:iCs/>
                <w:color w:val="0f0d29"/>
                <w:sz w:val="20"/>
                <w:szCs w:val="20"/>
              </w:rPr>
              <w:t xml:space="preserve">71,47 %</w:t>
            </w:r>
            <w:r/>
          </w:p>
        </w:tc>
      </w:tr>
      <w:tr>
        <w:trPr>
          <w:jc w:val="center"/>
          <w:trHeight w:val="50"/>
        </w:trPr>
        <w:tc>
          <w:tcPr>
            <w:shd w:val="clear" w:color="auto" w:fill="ffffff"/>
            <w:tcBorders>
              <w:top w:val="single" w:color="000000" w:sz="4" w:space="0"/>
              <w:left w:val="single" w:color="000000" w:sz="4" w:space="0"/>
              <w:bottom w:val="single" w:color="000000" w:sz="4" w:space="0"/>
              <w:right w:val="single" w:color="000000" w:sz="4" w:space="0"/>
            </w:tcBorders>
            <w:tcW w:w="3142" w:type="dxa"/>
            <w:vAlign w:val="center"/>
            <w:textDirection w:val="lrTb"/>
            <w:noWrap w:val="false"/>
          </w:tcPr>
          <w:p>
            <w:pPr>
              <w:pStyle w:val="1091"/>
              <w:ind w:left="0"/>
              <w:jc w:val="center"/>
              <w:widowControl w:val="off"/>
            </w:pPr>
            <w:r>
              <w:rPr>
                <w:rFonts w:ascii="Arial Narrow" w:hAnsi="Arial Narrow" w:cs="Calibri"/>
              </w:rPr>
              <w:t xml:space="preserve">ПАО «РусГидро»</w:t>
            </w:r>
            <w:r/>
          </w:p>
        </w:tc>
        <w:tc>
          <w:tcPr>
            <w:shd w:val="clear" w:color="auto" w:fill="ffffff"/>
            <w:tcBorders>
              <w:top w:val="single" w:color="000000" w:sz="4" w:space="0"/>
              <w:left w:val="single" w:color="000000" w:sz="4" w:space="0"/>
              <w:bottom w:val="single" w:color="000000" w:sz="4" w:space="0"/>
              <w:right w:val="single" w:color="000000" w:sz="4" w:space="0"/>
            </w:tcBorders>
            <w:tcW w:w="1704" w:type="dxa"/>
            <w:vAlign w:val="center"/>
            <w:textDirection w:val="lrTb"/>
            <w:noWrap w:val="false"/>
          </w:tcPr>
          <w:p>
            <w:pPr>
              <w:pStyle w:val="1063"/>
              <w:jc w:val="center"/>
              <w:widowControl w:val="off"/>
            </w:pPr>
            <w:r>
              <w:rPr>
                <w:rFonts w:ascii="Arial Narrow" w:hAnsi="Arial Narrow" w:cs="Calibri"/>
                <w:iCs/>
                <w:color w:val="0f0d29"/>
                <w:sz w:val="20"/>
                <w:szCs w:val="20"/>
              </w:rPr>
              <w:t xml:space="preserve">27,97 %</w:t>
            </w:r>
            <w:r/>
          </w:p>
        </w:tc>
        <w:tc>
          <w:tcPr>
            <w:shd w:val="clear" w:color="auto" w:fill="ffffff"/>
            <w:tcBorders>
              <w:top w:val="single" w:color="000000" w:sz="4" w:space="0"/>
              <w:left w:val="single" w:color="000000" w:sz="4" w:space="0"/>
              <w:bottom w:val="single" w:color="000000" w:sz="4" w:space="0"/>
              <w:right w:val="single" w:color="000000" w:sz="4" w:space="0"/>
            </w:tcBorders>
            <w:tcW w:w="1704" w:type="dxa"/>
            <w:vAlign w:val="center"/>
            <w:textDirection w:val="lrTb"/>
            <w:noWrap w:val="false"/>
          </w:tcPr>
          <w:p>
            <w:pPr>
              <w:pStyle w:val="1063"/>
              <w:jc w:val="center"/>
              <w:widowControl w:val="off"/>
            </w:pPr>
            <w:r>
              <w:rPr>
                <w:rFonts w:ascii="Arial Narrow" w:hAnsi="Arial Narrow" w:eastAsia="Calibri" w:cs="Calibri"/>
                <w:iCs/>
                <w:color w:val="0f0d29"/>
                <w:sz w:val="20"/>
                <w:szCs w:val="20"/>
              </w:rPr>
              <w:t xml:space="preserve">27,97 %</w:t>
            </w:r>
            <w:r/>
          </w:p>
        </w:tc>
        <w:tc>
          <w:tcPr>
            <w:shd w:val="clear" w:color="auto" w:fill="ffffff"/>
            <w:tcBorders>
              <w:top w:val="single" w:color="000000" w:sz="4" w:space="0"/>
              <w:left w:val="single" w:color="000000" w:sz="4" w:space="0"/>
              <w:bottom w:val="single" w:color="000000" w:sz="4" w:space="0"/>
              <w:right w:val="single" w:color="000000" w:sz="4" w:space="0"/>
            </w:tcBorders>
            <w:tcW w:w="1843" w:type="dxa"/>
            <w:vAlign w:val="center"/>
            <w:textDirection w:val="lrTb"/>
            <w:noWrap w:val="false"/>
          </w:tcPr>
          <w:p>
            <w:pPr>
              <w:pStyle w:val="1063"/>
              <w:jc w:val="center"/>
              <w:widowControl w:val="off"/>
            </w:pPr>
            <w:r>
              <w:rPr>
                <w:rFonts w:ascii="Arial Narrow" w:hAnsi="Arial Narrow" w:eastAsia="Calibri" w:cs="Calibri"/>
                <w:iCs/>
                <w:color w:val="0f0d29"/>
                <w:sz w:val="20"/>
                <w:szCs w:val="20"/>
              </w:rPr>
              <w:t xml:space="preserve">28,06 %</w:t>
            </w:r>
            <w:r/>
          </w:p>
        </w:tc>
        <w:tc>
          <w:tcPr>
            <w:shd w:val="clear" w:color="auto" w:fill="ffffff"/>
            <w:tcBorders>
              <w:top w:val="single" w:color="000000" w:sz="4" w:space="0"/>
              <w:left w:val="single" w:color="000000" w:sz="4" w:space="0"/>
              <w:bottom w:val="single" w:color="000000" w:sz="4" w:space="0"/>
              <w:right w:val="single" w:color="000000" w:sz="4" w:space="0"/>
            </w:tcBorders>
            <w:tcW w:w="1695" w:type="dxa"/>
            <w:vAlign w:val="center"/>
            <w:textDirection w:val="lrTb"/>
            <w:noWrap w:val="false"/>
          </w:tcPr>
          <w:p>
            <w:pPr>
              <w:pStyle w:val="1063"/>
              <w:jc w:val="center"/>
              <w:widowControl w:val="off"/>
            </w:pPr>
            <w:r>
              <w:rPr>
                <w:rFonts w:ascii="Arial Narrow" w:hAnsi="Arial Narrow" w:eastAsia="Calibri" w:cs="Calibri"/>
                <w:iCs/>
                <w:color w:val="0f0d29"/>
                <w:sz w:val="20"/>
                <w:szCs w:val="20"/>
              </w:rPr>
              <w:t xml:space="preserve">28,06 %</w:t>
            </w:r>
            <w:r/>
          </w:p>
        </w:tc>
      </w:tr>
    </w:tbl>
    <w:p>
      <w:pPr>
        <w:pStyle w:val="1063"/>
        <w:ind w:firstLine="567"/>
        <w:jc w:val="both"/>
        <w:rPr>
          <w:rFonts w:ascii="Arial Narrow" w:hAnsi="Arial Narrow" w:cs="Calibri"/>
          <w:iCs/>
          <w:sz w:val="10"/>
          <w:szCs w:val="10"/>
        </w:rPr>
      </w:pPr>
      <w:r>
        <w:rPr>
          <w:rFonts w:ascii="Arial Narrow" w:hAnsi="Arial Narrow" w:cs="Calibri"/>
          <w:iCs/>
          <w:sz w:val="10"/>
          <w:szCs w:val="10"/>
        </w:rPr>
      </w:r>
      <w:r>
        <w:rPr>
          <w:rFonts w:ascii="Arial Narrow" w:hAnsi="Arial Narrow" w:cs="Calibri"/>
          <w:iCs/>
          <w:sz w:val="10"/>
          <w:szCs w:val="10"/>
        </w:rPr>
      </w:r>
      <w:r>
        <w:rPr>
          <w:rFonts w:ascii="Arial Narrow" w:hAnsi="Arial Narrow" w:cs="Calibri"/>
          <w:iCs/>
          <w:sz w:val="10"/>
          <w:szCs w:val="10"/>
        </w:rPr>
      </w:r>
    </w:p>
    <w:p>
      <w:pPr>
        <w:pStyle w:val="1063"/>
        <w:ind w:firstLine="567"/>
        <w:jc w:val="center"/>
        <w:rPr>
          <w:rFonts w:ascii="Arial Narrow" w:hAnsi="Arial Narrow" w:cs="Calibri"/>
          <w:iCs/>
          <w:color w:val="000000"/>
          <w:lang w:eastAsia="ru-RU"/>
        </w:rPr>
      </w:pPr>
      <w:r>
        <w:rPr>
          <w:lang w:eastAsia="ru-RU"/>
        </w:rPr>
        <mc:AlternateContent>
          <mc:Choice Requires="wpg">
            <w:drawing>
              <wp:inline xmlns:wp="http://schemas.openxmlformats.org/drawingml/2006/wordprocessingDrawing" distT="0" distB="0" distL="0" distR="0">
                <wp:extent cx="4571365" cy="2428875"/>
                <wp:effectExtent l="0" t="0" r="0" b="0"/>
                <wp:docPr id="11" name="Изображение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Изображение8"/>
                        <pic:cNvPicPr>
                          <a:picLocks noChangeAspect="1"/>
                        </pic:cNvPicPr>
                        <pic:nvPr/>
                      </pic:nvPicPr>
                      <pic:blipFill>
                        <a:blip r:embed="rId21"/>
                        <a:stretch/>
                      </pic:blipFill>
                      <pic:spPr bwMode="auto">
                        <a:xfrm>
                          <a:off x="0" y="0"/>
                          <a:ext cx="4571365" cy="2428875"/>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0" o:spid="_x0000_s10" type="#_x0000_t75" style="width:359.95pt;height:191.25pt;mso-wrap-distance-left:0.00pt;mso-wrap-distance-top:0.00pt;mso-wrap-distance-right:0.00pt;mso-wrap-distance-bottom:0.00pt;" stroked="false">
                <v:path textboxrect="0,0,0,0"/>
                <v:imagedata r:id="rId21" o:title=""/>
              </v:shape>
            </w:pict>
          </mc:Fallback>
        </mc:AlternateContent>
      </w:r>
      <w:r>
        <w:rPr>
          <w:rFonts w:ascii="Arial Narrow" w:hAnsi="Arial Narrow" w:cs="Calibri"/>
          <w:iCs/>
          <w:color w:val="000000"/>
          <w:lang w:eastAsia="ru-RU"/>
        </w:rPr>
      </w:r>
      <w:r>
        <w:rPr>
          <w:rFonts w:ascii="Arial Narrow" w:hAnsi="Arial Narrow" w:cs="Calibri"/>
          <w:iCs/>
          <w:color w:val="000000"/>
          <w:lang w:eastAsia="ru-RU"/>
        </w:rPr>
      </w:r>
    </w:p>
    <w:p>
      <w:pPr>
        <w:pStyle w:val="1063"/>
        <w:ind w:firstLine="567"/>
        <w:jc w:val="both"/>
      </w:pPr>
      <w:r>
        <w:rPr>
          <w:rFonts w:ascii="Arial Narrow" w:hAnsi="Arial Narrow" w:cs="Calibri"/>
          <w:iCs/>
          <w:color w:val="000000"/>
        </w:rPr>
        <w:t xml:space="preserve">Общее количество лиц, зарегистрированных в реестре акционеров ПАО «Камчатскэнерго» по состоянию на 31.12.2024 – 2 770, из них номинальные держатели – 6.</w:t>
      </w:r>
      <w:r/>
    </w:p>
    <w:p>
      <w:pPr>
        <w:pStyle w:val="1063"/>
        <w:ind w:firstLine="567"/>
        <w:jc w:val="both"/>
      </w:pPr>
      <w:r>
        <w:rPr>
          <w:rFonts w:ascii="Arial Narrow" w:hAnsi="Arial Narrow" w:cs="Calibri"/>
          <w:iCs/>
          <w:color w:val="0f0d29"/>
        </w:rPr>
        <w:t xml:space="preserve">В 2024 году ПАО «Камчатскэнерго» проведена работа по обращению в собственность акций ликвидированных акционеров, в судебном порядке в распоряжение Общества передано 220 915 539 штук акций, в т.ч.:</w:t>
      </w:r>
      <w:r/>
    </w:p>
    <w:p>
      <w:pPr>
        <w:pStyle w:val="1063"/>
        <w:ind w:firstLine="567"/>
        <w:jc w:val="both"/>
      </w:pPr>
      <w:r>
        <w:rPr>
          <w:rFonts w:ascii="Arial Narrow" w:hAnsi="Arial Narrow" w:cs="Calibri"/>
          <w:iCs/>
          <w:color w:val="0f0d29"/>
        </w:rPr>
        <w:t xml:space="preserve">- обыкновенных – 183 880 478 штук, по номинальной стоимости 0,10 рублей;</w:t>
      </w:r>
      <w:r/>
    </w:p>
    <w:p>
      <w:pPr>
        <w:pStyle w:val="1063"/>
        <w:ind w:firstLine="567"/>
        <w:jc w:val="both"/>
      </w:pPr>
      <w:r>
        <w:rPr>
          <w:rFonts w:ascii="Arial Narrow" w:hAnsi="Arial Narrow" w:cs="Calibri"/>
          <w:iCs/>
          <w:color w:val="0f0d29"/>
        </w:rPr>
        <w:t xml:space="preserve">- привилегированных – 37 035 061 штук, по номинальной стоимости 0,10 рублей.</w:t>
      </w:r>
      <w:r/>
    </w:p>
    <w:p>
      <w:pPr>
        <w:pStyle w:val="1063"/>
        <w:ind w:firstLine="567"/>
        <w:jc w:val="both"/>
      </w:pPr>
      <w:r>
        <w:rPr>
          <w:rFonts w:ascii="Arial Narrow" w:hAnsi="Arial Narrow" w:cs="Calibri"/>
          <w:iCs/>
          <w:color w:val="0f0d29"/>
          <w:shd w:val="clear" w:color="auto" w:fill="ffffff"/>
        </w:rPr>
        <w:t xml:space="preserve">23.12.2024 заключен Договор купли-продажи акций с АО «РАО ЭС Востока».</w:t>
      </w:r>
      <w:r/>
    </w:p>
    <w:p>
      <w:pPr>
        <w:pStyle w:val="1063"/>
        <w:ind w:firstLine="567"/>
        <w:jc w:val="both"/>
      </w:pPr>
      <w:r>
        <w:rPr>
          <w:rFonts w:ascii="Arial Narrow" w:hAnsi="Arial Narrow" w:cs="Calibri"/>
          <w:iCs/>
          <w:color w:val="0f0d29"/>
          <w:shd w:val="clear" w:color="auto" w:fill="ffffff"/>
        </w:rPr>
        <w:t xml:space="preserve">26.12.2024 произведены операции по переоформлению акций ПАО «Камчатскэнерго».</w:t>
      </w:r>
      <w:r/>
    </w:p>
    <w:p>
      <w:pPr>
        <w:pStyle w:val="1063"/>
        <w:ind w:firstLine="567"/>
        <w:jc w:val="both"/>
      </w:pPr>
      <w:r>
        <w:rPr>
          <w:rFonts w:ascii="Arial Narrow" w:hAnsi="Arial Narrow" w:cs="Calibri"/>
          <w:iCs/>
          <w:color w:val="0f0d29"/>
        </w:rPr>
        <w:t xml:space="preserve">По состоянию на 31.12.2024 в распоряжении Общества собственные акции отсутствуют.</w:t>
      </w:r>
      <w:r/>
    </w:p>
    <w:p>
      <w:pPr>
        <w:pStyle w:val="1063"/>
        <w:ind w:firstLine="567"/>
        <w:jc w:val="both"/>
      </w:pPr>
      <w:r>
        <w:rPr>
          <w:rFonts w:ascii="Arial Narrow" w:hAnsi="Arial Narrow" w:cs="Calibri"/>
          <w:iCs/>
          <w:color w:val="0f0d29"/>
        </w:rPr>
        <w:t xml:space="preserve">Акционерному обществу «Южные электрические сети Камчатки», являющемуся 100 % дочерним обществом ПАО «Камчатскэнерго» принадлежит 26 267 889 штук акций Общества (0,045 % от уставного капитала).</w:t>
      </w:r>
      <w:r/>
    </w:p>
    <w:p>
      <w:pPr>
        <w:pStyle w:val="1063"/>
        <w:ind w:firstLine="567"/>
        <w:jc w:val="both"/>
        <w:rPr>
          <w:rFonts w:ascii="Arial Narrow" w:hAnsi="Arial Narrow" w:cs="Calibri"/>
          <w:iCs/>
        </w:rPr>
      </w:pPr>
      <w:r>
        <w:rPr>
          <w:rFonts w:ascii="Arial Narrow" w:hAnsi="Arial Narrow" w:cs="Calibri"/>
          <w:iCs/>
        </w:rPr>
      </w:r>
      <w:r>
        <w:rPr>
          <w:rFonts w:ascii="Arial Narrow" w:hAnsi="Arial Narrow" w:cs="Calibri"/>
          <w:iCs/>
        </w:rPr>
      </w:r>
      <w:r>
        <w:rPr>
          <w:rFonts w:ascii="Arial Narrow" w:hAnsi="Arial Narrow" w:cs="Calibri"/>
          <w:iCs/>
        </w:rPr>
      </w:r>
    </w:p>
    <w:p>
      <w:pPr>
        <w:pStyle w:val="763"/>
        <w:jc w:val="both"/>
        <w:keepLines/>
        <w:spacing w:after="0" w:line="276" w:lineRule="auto"/>
        <w:rPr>
          <w:rFonts w:ascii="Arial Narrow" w:hAnsi="Arial Narrow" w:eastAsiaTheme="majorEastAsia" w:cstheme="minorHAnsi"/>
          <w:b/>
          <w:color w:val="314e87"/>
          <w:sz w:val="24"/>
          <w:szCs w:val="24"/>
          <w:lang w:eastAsia="en-US" w:bidi="ru-RU"/>
        </w:rPr>
      </w:pPr>
      <w:r>
        <w:rPr>
          <w:rFonts w:ascii="Arial Narrow" w:hAnsi="Arial Narrow" w:eastAsiaTheme="majorEastAsia" w:cstheme="minorHAnsi"/>
          <w:b/>
          <w:color w:val="314e87"/>
          <w:sz w:val="24"/>
          <w:szCs w:val="24"/>
          <w:lang w:eastAsia="en-US" w:bidi="ru-RU"/>
        </w:rPr>
        <w:t xml:space="preserve"> </w:t>
      </w:r>
      <w:bookmarkStart w:id="159" w:name="_Toc193883514"/>
      <w:r/>
      <w:bookmarkStart w:id="160" w:name="_Toc196127014"/>
      <w:r>
        <w:rPr>
          <w:rFonts w:ascii="Arial Narrow" w:hAnsi="Arial Narrow" w:eastAsiaTheme="majorEastAsia" w:cstheme="minorHAnsi"/>
          <w:b/>
          <w:color w:val="314e87"/>
          <w:sz w:val="24"/>
          <w:szCs w:val="24"/>
          <w:lang w:eastAsia="en-US" w:bidi="ru-RU"/>
        </w:rPr>
        <w:t xml:space="preserve">11.10. Общество на рынке ценных бумаг</w:t>
      </w:r>
      <w:bookmarkEnd w:id="159"/>
      <w:r/>
      <w:bookmarkEnd w:id="160"/>
      <w:r>
        <w:rPr>
          <w:rFonts w:ascii="Arial Narrow" w:hAnsi="Arial Narrow" w:eastAsiaTheme="majorEastAsia" w:cstheme="minorHAnsi"/>
          <w:b/>
          <w:color w:val="314e87"/>
          <w:sz w:val="24"/>
          <w:szCs w:val="24"/>
          <w:lang w:eastAsia="en-US" w:bidi="ru-RU"/>
        </w:rPr>
      </w:r>
      <w:r>
        <w:rPr>
          <w:rFonts w:ascii="Arial Narrow" w:hAnsi="Arial Narrow" w:eastAsiaTheme="majorEastAsia" w:cstheme="minorHAnsi"/>
          <w:b/>
          <w:color w:val="314e87"/>
          <w:sz w:val="24"/>
          <w:szCs w:val="24"/>
          <w:lang w:eastAsia="en-US" w:bidi="ru-RU"/>
        </w:rPr>
      </w:r>
    </w:p>
    <w:p>
      <w:pPr>
        <w:pStyle w:val="1063"/>
        <w:ind w:firstLine="567"/>
        <w:jc w:val="both"/>
      </w:pPr>
      <w:r>
        <w:rPr>
          <w:rFonts w:ascii="Arial Narrow" w:hAnsi="Arial Narrow" w:cs="Calibri"/>
          <w:color w:val="000000"/>
        </w:rPr>
        <w:t xml:space="preserve">В 2024 году акции Общества обращались на фондовой бирже ПАО Московская Биржа (третий уровень листинга).</w:t>
      </w:r>
      <w:r/>
    </w:p>
    <w:p>
      <w:pPr>
        <w:pStyle w:val="1063"/>
        <w:ind w:firstLine="567"/>
        <w:jc w:val="both"/>
      </w:pPr>
      <w:r>
        <w:rPr>
          <w:rFonts w:ascii="Arial Narrow" w:hAnsi="Arial Narrow" w:cs="Calibri"/>
          <w:color w:val="000000"/>
        </w:rPr>
        <w:t xml:space="preserve">С 09.09.2024 обыкновенные и привилегированные акции Общества включены в Некотировальную часть списка ПАО «СПБ Биржа» в соответствии с подпунктом 3 пункта 2.1. статьи 14 ФЗ «О рынке ценных бумаг».</w:t>
      </w:r>
      <w:r/>
    </w:p>
    <w:p>
      <w:pPr>
        <w:pStyle w:val="1063"/>
        <w:ind w:firstLine="567"/>
        <w:jc w:val="both"/>
        <w:rPr>
          <w:rFonts w:ascii="Arial Narrow" w:hAnsi="Arial Narrow" w:cs="Calibri"/>
          <w:color w:val="000000"/>
          <w:szCs w:val="12"/>
        </w:rPr>
      </w:pPr>
      <w:r>
        <w:rPr>
          <w:rFonts w:ascii="Arial Narrow" w:hAnsi="Arial Narrow" w:cs="Calibri"/>
          <w:color w:val="000000"/>
          <w:szCs w:val="12"/>
        </w:rPr>
      </w:r>
      <w:r>
        <w:rPr>
          <w:rFonts w:ascii="Arial Narrow" w:hAnsi="Arial Narrow" w:cs="Calibri"/>
          <w:color w:val="000000"/>
          <w:szCs w:val="12"/>
        </w:rPr>
      </w:r>
      <w:r>
        <w:rPr>
          <w:rFonts w:ascii="Arial Narrow" w:hAnsi="Arial Narrow" w:cs="Calibri"/>
          <w:color w:val="000000"/>
          <w:szCs w:val="12"/>
        </w:rPr>
      </w:r>
    </w:p>
    <w:p>
      <w:pPr>
        <w:pStyle w:val="1063"/>
        <w:ind w:right="-143"/>
        <w:rPr>
          <w:rFonts w:ascii="Arial Narrow" w:hAnsi="Arial Narrow" w:eastAsia="Calibri" w:cs="Calibri"/>
          <w:b/>
          <w:color w:val="314e87"/>
          <w:lang w:eastAsia="ja-JP"/>
        </w:rPr>
      </w:pPr>
      <w:r>
        <w:rPr>
          <w:rFonts w:ascii="Arial Narrow" w:hAnsi="Arial Narrow" w:eastAsia="Calibri" w:cs="Calibri"/>
          <w:b/>
          <w:color w:val="314e87"/>
          <w:lang w:eastAsia="ja-JP"/>
        </w:rPr>
        <w:t xml:space="preserve">Динамика рыночных котировок акций</w:t>
      </w:r>
      <w:r>
        <w:rPr>
          <w:rFonts w:ascii="Arial Narrow" w:hAnsi="Arial Narrow" w:eastAsia="Calibri" w:cs="Calibri"/>
          <w:b/>
          <w:color w:val="314e87"/>
          <w:lang w:eastAsia="ja-JP"/>
        </w:rPr>
      </w:r>
      <w:r>
        <w:rPr>
          <w:rFonts w:ascii="Arial Narrow" w:hAnsi="Arial Narrow" w:eastAsia="Calibri" w:cs="Calibri"/>
          <w:b/>
          <w:color w:val="314e87"/>
          <w:lang w:eastAsia="ja-JP"/>
        </w:rPr>
      </w:r>
    </w:p>
    <w:p>
      <w:pPr>
        <w:pStyle w:val="1063"/>
        <w:jc w:val="right"/>
      </w:pPr>
      <w:r>
        <w:rPr>
          <w:rFonts w:ascii="Arial Narrow" w:hAnsi="Arial Narrow" w:eastAsia="Calibri" w:cs="Calibri"/>
          <w:i/>
          <w:lang w:eastAsia="ja-JP"/>
        </w:rPr>
        <w:t xml:space="preserve">Таблица № 58</w:t>
      </w:r>
      <w:r/>
    </w:p>
    <w:tbl>
      <w:tblPr>
        <w:tblW w:w="10060" w:type="dxa"/>
        <w:tblInd w:w="113" w:type="dxa"/>
        <w:tblLayout w:type="fixed"/>
        <w:tblLook w:val="04A0" w:firstRow="1" w:lastRow="0" w:firstColumn="1" w:lastColumn="0" w:noHBand="0" w:noVBand="1"/>
      </w:tblPr>
      <w:tblGrid>
        <w:gridCol w:w="3969"/>
        <w:gridCol w:w="2269"/>
        <w:gridCol w:w="2128"/>
        <w:gridCol w:w="1694"/>
      </w:tblGrid>
      <w:tr>
        <w:trPr>
          <w:trHeight w:val="45"/>
          <w:tblHeader/>
        </w:trPr>
        <w:tc>
          <w:tcPr>
            <w:shd w:val="clear" w:color="auto" w:fill="ffffff"/>
            <w:tcBorders>
              <w:top w:val="single" w:color="000000" w:sz="4" w:space="0"/>
              <w:left w:val="single" w:color="000000" w:sz="4" w:space="0"/>
              <w:bottom w:val="single" w:color="000000" w:sz="4" w:space="0"/>
              <w:right w:val="single" w:color="000000" w:sz="4" w:space="0"/>
            </w:tcBorders>
            <w:tcW w:w="3968" w:type="dxa"/>
            <w:vMerge w:val="restart"/>
            <w:textDirection w:val="lrTb"/>
            <w:noWrap w:val="false"/>
          </w:tcPr>
          <w:p>
            <w:pPr>
              <w:pStyle w:val="1102"/>
              <w:ind w:firstLine="0"/>
              <w:jc w:val="center"/>
              <w:widowControl w:val="off"/>
              <w:tabs>
                <w:tab w:val="left" w:pos="719" w:leader="none"/>
              </w:tabs>
              <w:rPr>
                <w:rFonts w:ascii="Arial Narrow" w:hAnsi="Arial Narrow" w:cs="Calibri"/>
                <w:b/>
              </w:rPr>
            </w:pPr>
            <w:r>
              <w:rPr>
                <w:rFonts w:ascii="Arial Narrow" w:hAnsi="Arial Narrow" w:cs="Calibri"/>
                <w:b/>
              </w:rPr>
            </w:r>
            <w:r>
              <w:rPr>
                <w:rFonts w:ascii="Arial Narrow" w:hAnsi="Arial Narrow" w:cs="Calibri"/>
                <w:b/>
              </w:rPr>
            </w:r>
            <w:r>
              <w:rPr>
                <w:rFonts w:ascii="Arial Narrow" w:hAnsi="Arial Narrow" w:cs="Calibri"/>
                <w:b/>
              </w:rPr>
            </w:r>
          </w:p>
        </w:tc>
        <w:tc>
          <w:tcPr>
            <w:gridSpan w:val="3"/>
            <w:shd w:val="clear" w:color="auto" w:fill="ffffff"/>
            <w:tcBorders>
              <w:top w:val="single" w:color="000000" w:sz="4" w:space="0"/>
              <w:left w:val="single" w:color="000000" w:sz="4" w:space="0"/>
              <w:bottom w:val="single" w:color="000000" w:sz="4" w:space="0"/>
              <w:right w:val="single" w:color="000000" w:sz="4" w:space="0"/>
            </w:tcBorders>
            <w:tcW w:w="6091" w:type="dxa"/>
            <w:textDirection w:val="lrTb"/>
            <w:noWrap w:val="false"/>
          </w:tcPr>
          <w:p>
            <w:pPr>
              <w:pStyle w:val="1102"/>
              <w:ind w:firstLine="0"/>
              <w:jc w:val="center"/>
              <w:widowControl w:val="off"/>
              <w:tabs>
                <w:tab w:val="left" w:pos="719" w:leader="none"/>
              </w:tabs>
            </w:pPr>
            <w:r>
              <w:rPr>
                <w:rFonts w:ascii="Arial Narrow" w:hAnsi="Arial Narrow" w:cs="Calibri"/>
                <w:b/>
              </w:rPr>
              <w:t xml:space="preserve">Рыночная цена, рублей</w:t>
            </w:r>
            <w:r/>
          </w:p>
        </w:tc>
      </w:tr>
      <w:tr>
        <w:trPr>
          <w:trHeight w:val="45"/>
          <w:tblHeader/>
        </w:trPr>
        <w:tc>
          <w:tcPr>
            <w:shd w:val="clear" w:color="auto" w:fill="ffffff"/>
            <w:tcBorders>
              <w:top w:val="single" w:color="000000" w:sz="4" w:space="0"/>
              <w:left w:val="single" w:color="000000" w:sz="4" w:space="0"/>
              <w:bottom w:val="single" w:color="000000" w:sz="4" w:space="0"/>
              <w:right w:val="single" w:color="000000" w:sz="4" w:space="0"/>
            </w:tcBorders>
            <w:tcW w:w="3968" w:type="dxa"/>
            <w:vMerge w:val="continue"/>
            <w:textDirection w:val="lrTb"/>
            <w:noWrap w:val="false"/>
          </w:tcPr>
          <w:p>
            <w:pPr>
              <w:pStyle w:val="1062"/>
              <w:rPr>
                <w:sz w:val="20"/>
                <w:szCs w:val="20"/>
              </w:rPr>
            </w:pPr>
            <w:r>
              <w:rPr>
                <w:sz w:val="20"/>
                <w:szCs w:val="20"/>
              </w:rPr>
            </w:r>
            <w:r>
              <w:rPr>
                <w:sz w:val="20"/>
                <w:szCs w:val="20"/>
              </w:rPr>
            </w:r>
            <w:r>
              <w:rPr>
                <w:sz w:val="20"/>
                <w:szCs w:val="20"/>
              </w:rPr>
            </w:r>
          </w:p>
        </w:tc>
        <w:tc>
          <w:tcPr>
            <w:shd w:val="clear" w:color="auto" w:fill="ffffff"/>
            <w:tcBorders>
              <w:top w:val="single" w:color="000000" w:sz="4" w:space="0"/>
              <w:left w:val="single" w:color="000000" w:sz="4" w:space="0"/>
              <w:bottom w:val="single" w:color="000000" w:sz="4" w:space="0"/>
              <w:right w:val="single" w:color="000000" w:sz="4" w:space="0"/>
            </w:tcBorders>
            <w:tcW w:w="2269" w:type="dxa"/>
            <w:textDirection w:val="lrTb"/>
            <w:noWrap w:val="false"/>
          </w:tcPr>
          <w:p>
            <w:pPr>
              <w:pStyle w:val="1102"/>
              <w:ind w:firstLine="0"/>
              <w:jc w:val="center"/>
              <w:widowControl w:val="off"/>
              <w:tabs>
                <w:tab w:val="left" w:pos="719" w:leader="none"/>
              </w:tabs>
            </w:pPr>
            <w:r>
              <w:rPr>
                <w:rFonts w:ascii="Arial Narrow" w:hAnsi="Arial Narrow" w:cs="Calibri"/>
                <w:b/>
                <w:color w:val="0f0d29"/>
              </w:rPr>
              <w:t xml:space="preserve">31.12.2022</w:t>
            </w:r>
            <w:r/>
          </w:p>
        </w:tc>
        <w:tc>
          <w:tcPr>
            <w:shd w:val="clear" w:color="auto" w:fill="ffffff"/>
            <w:tcBorders>
              <w:top w:val="single" w:color="000000" w:sz="4" w:space="0"/>
              <w:left w:val="single" w:color="000000" w:sz="4" w:space="0"/>
              <w:bottom w:val="single" w:color="000000" w:sz="4" w:space="0"/>
              <w:right w:val="single" w:color="000000" w:sz="4" w:space="0"/>
            </w:tcBorders>
            <w:tcW w:w="2128" w:type="dxa"/>
            <w:textDirection w:val="lrTb"/>
            <w:noWrap w:val="false"/>
          </w:tcPr>
          <w:p>
            <w:pPr>
              <w:pStyle w:val="1102"/>
              <w:ind w:firstLine="0"/>
              <w:jc w:val="center"/>
              <w:widowControl w:val="off"/>
              <w:tabs>
                <w:tab w:val="left" w:pos="719" w:leader="none"/>
              </w:tabs>
            </w:pPr>
            <w:r>
              <w:rPr>
                <w:rFonts w:ascii="Arial Narrow" w:hAnsi="Arial Narrow" w:cs="Calibri"/>
                <w:b/>
                <w:color w:val="0f0d29"/>
              </w:rPr>
              <w:t xml:space="preserve">31.12.2023</w:t>
            </w:r>
            <w:r/>
          </w:p>
        </w:tc>
        <w:tc>
          <w:tcPr>
            <w:shd w:val="clear" w:color="auto" w:fill="ffffff"/>
            <w:tcBorders>
              <w:top w:val="single" w:color="000000" w:sz="4" w:space="0"/>
              <w:left w:val="single" w:color="000000" w:sz="4" w:space="0"/>
              <w:bottom w:val="single" w:color="000000" w:sz="4" w:space="0"/>
              <w:right w:val="single" w:color="000000" w:sz="4" w:space="0"/>
            </w:tcBorders>
            <w:tcW w:w="1694" w:type="dxa"/>
            <w:textDirection w:val="lrTb"/>
            <w:noWrap w:val="false"/>
          </w:tcPr>
          <w:p>
            <w:pPr>
              <w:pStyle w:val="1102"/>
              <w:ind w:firstLine="0"/>
              <w:jc w:val="center"/>
              <w:widowControl w:val="off"/>
              <w:tabs>
                <w:tab w:val="left" w:pos="719" w:leader="none"/>
              </w:tabs>
            </w:pPr>
            <w:r>
              <w:rPr>
                <w:rFonts w:ascii="Arial Narrow" w:hAnsi="Arial Narrow" w:cs="Calibri"/>
                <w:b/>
                <w:color w:val="0f0d29"/>
              </w:rPr>
              <w:t xml:space="preserve">31.12.2024</w:t>
            </w:r>
            <w:r/>
          </w:p>
        </w:tc>
      </w:tr>
      <w:tr>
        <w:trPr>
          <w:trHeight w:val="240"/>
        </w:trPr>
        <w:tc>
          <w:tcPr>
            <w:tcBorders>
              <w:top w:val="single" w:color="000000" w:sz="4" w:space="0"/>
              <w:left w:val="single" w:color="000000" w:sz="4" w:space="0"/>
              <w:bottom w:val="single" w:color="000000" w:sz="4" w:space="0"/>
              <w:right w:val="single" w:color="000000" w:sz="4" w:space="0"/>
            </w:tcBorders>
            <w:tcW w:w="3968" w:type="dxa"/>
            <w:textDirection w:val="lrTb"/>
            <w:noWrap w:val="false"/>
          </w:tcPr>
          <w:p>
            <w:pPr>
              <w:pStyle w:val="1063"/>
              <w:widowControl w:val="off"/>
              <w:rPr>
                <w:sz w:val="20"/>
                <w:szCs w:val="20"/>
              </w:rPr>
            </w:pPr>
            <w:r>
              <w:rPr>
                <w:rFonts w:ascii="Arial Narrow" w:hAnsi="Arial Narrow" w:cs="Calibri"/>
                <w:sz w:val="20"/>
                <w:szCs w:val="20"/>
              </w:rPr>
              <w:t xml:space="preserve">Обыкновенные акции (kche)</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2269" w:type="dxa"/>
            <w:textDirection w:val="lrTb"/>
            <w:noWrap w:val="false"/>
          </w:tcPr>
          <w:p>
            <w:pPr>
              <w:pStyle w:val="1102"/>
              <w:ind w:firstLine="0"/>
              <w:jc w:val="center"/>
              <w:widowControl w:val="off"/>
              <w:tabs>
                <w:tab w:val="left" w:pos="719" w:leader="none"/>
              </w:tabs>
            </w:pPr>
            <w:r>
              <w:rPr>
                <w:rFonts w:ascii="Arial Narrow" w:hAnsi="Arial Narrow" w:cs="Calibri"/>
                <w:color w:val="0f0d29"/>
              </w:rPr>
              <w:t xml:space="preserve">0,1800</w:t>
            </w:r>
            <w:r/>
          </w:p>
        </w:tc>
        <w:tc>
          <w:tcPr>
            <w:tcBorders>
              <w:top w:val="single" w:color="000000" w:sz="4" w:space="0"/>
              <w:left w:val="single" w:color="000000" w:sz="4" w:space="0"/>
              <w:bottom w:val="single" w:color="000000" w:sz="4" w:space="0"/>
              <w:right w:val="single" w:color="000000" w:sz="4" w:space="0"/>
            </w:tcBorders>
            <w:tcW w:w="2128" w:type="dxa"/>
            <w:textDirection w:val="lrTb"/>
            <w:noWrap w:val="false"/>
          </w:tcPr>
          <w:p>
            <w:pPr>
              <w:pStyle w:val="1102"/>
              <w:ind w:firstLine="0"/>
              <w:jc w:val="center"/>
              <w:widowControl w:val="off"/>
              <w:tabs>
                <w:tab w:val="left" w:pos="719" w:leader="none"/>
              </w:tabs>
            </w:pPr>
            <w:r>
              <w:rPr>
                <w:rFonts w:ascii="Arial Narrow" w:hAnsi="Arial Narrow" w:cs="Calibri"/>
                <w:color w:val="0f0d29"/>
                <w:lang w:val="en-US"/>
              </w:rPr>
              <w:t xml:space="preserve">0</w:t>
            </w:r>
            <w:r>
              <w:rPr>
                <w:rFonts w:ascii="Arial Narrow" w:hAnsi="Arial Narrow" w:cs="Calibri"/>
                <w:color w:val="0f0d29"/>
              </w:rPr>
              <w:t xml:space="preserve">,</w:t>
            </w:r>
            <w:r>
              <w:rPr>
                <w:rFonts w:ascii="Arial Narrow" w:hAnsi="Arial Narrow" w:cs="Calibri"/>
                <w:color w:val="0f0d29"/>
                <w:lang w:val="en-US"/>
              </w:rPr>
              <w:t xml:space="preserve">5940</w:t>
            </w:r>
            <w:r/>
          </w:p>
        </w:tc>
        <w:tc>
          <w:tcPr>
            <w:tcBorders>
              <w:top w:val="single" w:color="000000" w:sz="4" w:space="0"/>
              <w:left w:val="single" w:color="000000" w:sz="4" w:space="0"/>
              <w:bottom w:val="single" w:color="000000" w:sz="4" w:space="0"/>
              <w:right w:val="single" w:color="000000" w:sz="4" w:space="0"/>
            </w:tcBorders>
            <w:tcW w:w="1694" w:type="dxa"/>
            <w:textDirection w:val="lrTb"/>
            <w:noWrap w:val="false"/>
          </w:tcPr>
          <w:p>
            <w:pPr>
              <w:pStyle w:val="1102"/>
              <w:ind w:firstLine="0"/>
              <w:jc w:val="center"/>
              <w:widowControl w:val="off"/>
              <w:tabs>
                <w:tab w:val="left" w:pos="719" w:leader="none"/>
              </w:tabs>
            </w:pPr>
            <w:r>
              <w:rPr>
                <w:rFonts w:ascii="Arial Narrow" w:hAnsi="Arial Narrow" w:cs="Calibri"/>
                <w:color w:val="0f0d29"/>
                <w:lang w:val="en-US"/>
              </w:rPr>
              <w:t xml:space="preserve">0,480</w:t>
            </w:r>
            <w:r/>
          </w:p>
        </w:tc>
      </w:tr>
      <w:tr>
        <w:trPr>
          <w:trHeight w:val="240"/>
        </w:trPr>
        <w:tc>
          <w:tcPr>
            <w:tcBorders>
              <w:top w:val="single" w:color="000000" w:sz="4" w:space="0"/>
              <w:left w:val="single" w:color="000000" w:sz="4" w:space="0"/>
              <w:bottom w:val="single" w:color="000000" w:sz="4" w:space="0"/>
              <w:right w:val="single" w:color="000000" w:sz="4" w:space="0"/>
            </w:tcBorders>
            <w:tcW w:w="3968" w:type="dxa"/>
            <w:textDirection w:val="lrTb"/>
            <w:noWrap w:val="false"/>
          </w:tcPr>
          <w:p>
            <w:pPr>
              <w:pStyle w:val="1063"/>
              <w:widowControl w:val="off"/>
              <w:rPr>
                <w:sz w:val="20"/>
                <w:szCs w:val="20"/>
              </w:rPr>
            </w:pPr>
            <w:r>
              <w:rPr>
                <w:rFonts w:ascii="Arial Narrow" w:hAnsi="Arial Narrow" w:cs="Calibri"/>
                <w:sz w:val="20"/>
                <w:szCs w:val="20"/>
              </w:rPr>
              <w:t xml:space="preserve">Привилегированные акции (kchep)</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2269" w:type="dxa"/>
            <w:textDirection w:val="lrTb"/>
            <w:noWrap w:val="false"/>
          </w:tcPr>
          <w:p>
            <w:pPr>
              <w:pStyle w:val="1102"/>
              <w:ind w:firstLine="0"/>
              <w:jc w:val="center"/>
              <w:widowControl w:val="off"/>
              <w:tabs>
                <w:tab w:val="left" w:pos="719" w:leader="none"/>
              </w:tabs>
            </w:pPr>
            <w:r>
              <w:rPr>
                <w:rFonts w:ascii="Arial Narrow" w:hAnsi="Arial Narrow" w:cs="Calibri"/>
                <w:color w:val="0f0d29"/>
              </w:rPr>
              <w:t xml:space="preserve">0,307</w:t>
            </w:r>
            <w:r/>
          </w:p>
        </w:tc>
        <w:tc>
          <w:tcPr>
            <w:tcBorders>
              <w:top w:val="single" w:color="000000" w:sz="4" w:space="0"/>
              <w:left w:val="single" w:color="000000" w:sz="4" w:space="0"/>
              <w:bottom w:val="single" w:color="000000" w:sz="4" w:space="0"/>
              <w:right w:val="single" w:color="000000" w:sz="4" w:space="0"/>
            </w:tcBorders>
            <w:tcW w:w="2128" w:type="dxa"/>
            <w:textDirection w:val="lrTb"/>
            <w:noWrap w:val="false"/>
          </w:tcPr>
          <w:p>
            <w:pPr>
              <w:pStyle w:val="1102"/>
              <w:ind w:firstLine="0"/>
              <w:jc w:val="center"/>
              <w:widowControl w:val="off"/>
              <w:tabs>
                <w:tab w:val="left" w:pos="719" w:leader="none"/>
              </w:tabs>
            </w:pPr>
            <w:r>
              <w:rPr>
                <w:rFonts w:ascii="Arial Narrow" w:hAnsi="Arial Narrow" w:cs="Calibri"/>
                <w:color w:val="0f0d29"/>
                <w:lang w:val="en-US"/>
              </w:rPr>
              <w:t xml:space="preserve">1,245</w:t>
            </w:r>
            <w:r/>
          </w:p>
        </w:tc>
        <w:tc>
          <w:tcPr>
            <w:tcBorders>
              <w:top w:val="single" w:color="000000" w:sz="4" w:space="0"/>
              <w:left w:val="single" w:color="000000" w:sz="4" w:space="0"/>
              <w:bottom w:val="single" w:color="000000" w:sz="4" w:space="0"/>
              <w:right w:val="single" w:color="000000" w:sz="4" w:space="0"/>
            </w:tcBorders>
            <w:tcW w:w="1694" w:type="dxa"/>
            <w:textDirection w:val="lrTb"/>
            <w:noWrap w:val="false"/>
          </w:tcPr>
          <w:p>
            <w:pPr>
              <w:pStyle w:val="1102"/>
              <w:ind w:firstLine="0"/>
              <w:jc w:val="center"/>
              <w:widowControl w:val="off"/>
              <w:tabs>
                <w:tab w:val="left" w:pos="719" w:leader="none"/>
              </w:tabs>
            </w:pPr>
            <w:r>
              <w:rPr>
                <w:rFonts w:ascii="Arial Narrow" w:hAnsi="Arial Narrow" w:cs="Calibri"/>
                <w:color w:val="0f0d29"/>
                <w:lang w:val="en-US"/>
              </w:rPr>
              <w:t xml:space="preserve">0,790</w:t>
            </w:r>
            <w:r/>
          </w:p>
        </w:tc>
      </w:tr>
    </w:tbl>
    <w:p>
      <w:pPr>
        <w:pStyle w:val="1063"/>
        <w:ind w:firstLine="567"/>
        <w:jc w:val="both"/>
        <w:spacing w:before="120" w:after="120"/>
      </w:pPr>
      <w:r>
        <w:rPr>
          <w:rFonts w:ascii="Arial Narrow" w:hAnsi="Arial Narrow" w:cs="Calibri"/>
          <w:color w:val="000000"/>
        </w:rPr>
        <w:t xml:space="preserve">По сравнении с предыдущим отчетным периодом наблюдается снижение рыночной стоимости обыкновенных и привилегированных акций.</w:t>
      </w:r>
      <w:r/>
    </w:p>
    <w:p>
      <w:pPr>
        <w:pStyle w:val="1063"/>
        <w:jc w:val="both"/>
        <w:rPr>
          <w:rFonts w:ascii="Arial Narrow" w:hAnsi="Arial Narrow" w:cs="Calibri"/>
          <w:bCs/>
          <w:color w:val="304c84"/>
          <w:sz w:val="12"/>
          <w:szCs w:val="12"/>
        </w:rPr>
      </w:pPr>
      <w:r>
        <w:rPr>
          <w:rFonts w:ascii="Arial Narrow" w:hAnsi="Arial Narrow" w:cs="Calibri"/>
          <w:bCs/>
          <w:color w:val="304c84"/>
          <w:sz w:val="12"/>
          <w:szCs w:val="12"/>
        </w:rPr>
      </w:r>
      <w:r>
        <w:rPr>
          <w:rFonts w:ascii="Arial Narrow" w:hAnsi="Arial Narrow" w:cs="Calibri"/>
          <w:bCs/>
          <w:color w:val="304c84"/>
          <w:sz w:val="12"/>
          <w:szCs w:val="12"/>
        </w:rPr>
      </w:r>
      <w:r>
        <w:rPr>
          <w:rFonts w:ascii="Arial Narrow" w:hAnsi="Arial Narrow" w:cs="Calibri"/>
          <w:bCs/>
          <w:color w:val="304c84"/>
          <w:sz w:val="12"/>
          <w:szCs w:val="12"/>
        </w:rPr>
      </w:r>
    </w:p>
    <w:p>
      <w:pPr>
        <w:pStyle w:val="1063"/>
        <w:jc w:val="center"/>
        <w:rPr>
          <w:rFonts w:ascii="Arial Narrow" w:hAnsi="Arial Narrow" w:cs="Calibri"/>
          <w:color w:val="314e87"/>
        </w:rPr>
      </w:pPr>
      <w:r>
        <w:rPr>
          <w:lang w:eastAsia="ru-RU"/>
        </w:rPr>
        <mc:AlternateContent>
          <mc:Choice Requires="wpg">
            <w:drawing>
              <wp:inline xmlns:wp="http://schemas.openxmlformats.org/drawingml/2006/wordprocessingDrawing" distT="0" distB="0" distL="0" distR="0">
                <wp:extent cx="4571365" cy="2743200"/>
                <wp:effectExtent l="0" t="0" r="0" b="0"/>
                <wp:docPr id="12" name="Изображение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Изображение9"/>
                        <pic:cNvPicPr>
                          <a:picLocks noChangeAspect="1"/>
                        </pic:cNvPicPr>
                        <pic:nvPr/>
                      </pic:nvPicPr>
                      <pic:blipFill>
                        <a:blip r:embed="rId22"/>
                        <a:stretch/>
                      </pic:blipFill>
                      <pic:spPr bwMode="auto">
                        <a:xfrm>
                          <a:off x="0" y="0"/>
                          <a:ext cx="4571365" cy="2743200"/>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1" o:spid="_x0000_s11" type="#_x0000_t75" style="width:359.95pt;height:216.00pt;mso-wrap-distance-left:0.00pt;mso-wrap-distance-top:0.00pt;mso-wrap-distance-right:0.00pt;mso-wrap-distance-bottom:0.00pt;" stroked="false">
                <v:path textboxrect="0,0,0,0"/>
                <v:imagedata r:id="rId22" o:title=""/>
              </v:shape>
            </w:pict>
          </mc:Fallback>
        </mc:AlternateContent>
      </w:r>
      <w:r>
        <w:rPr>
          <w:rFonts w:ascii="Arial Narrow" w:hAnsi="Arial Narrow" w:cs="Calibri"/>
          <w:color w:val="314e87"/>
        </w:rPr>
      </w:r>
      <w:r>
        <w:rPr>
          <w:rFonts w:ascii="Arial Narrow" w:hAnsi="Arial Narrow" w:cs="Calibri"/>
          <w:color w:val="314e87"/>
        </w:rPr>
      </w:r>
    </w:p>
    <w:p>
      <w:pPr>
        <w:pStyle w:val="763"/>
        <w:jc w:val="both"/>
        <w:keepLines/>
        <w:spacing w:after="0" w:line="276" w:lineRule="auto"/>
        <w:rPr>
          <w:rFonts w:ascii="Arial Narrow" w:hAnsi="Arial Narrow" w:eastAsiaTheme="majorEastAsia" w:cstheme="minorHAnsi"/>
          <w:b/>
          <w:color w:val="314e87"/>
          <w:sz w:val="24"/>
          <w:szCs w:val="24"/>
          <w:lang w:eastAsia="en-US" w:bidi="ru-RU"/>
        </w:rPr>
      </w:pPr>
      <w:r>
        <w:rPr>
          <w:rFonts w:ascii="Arial Narrow" w:hAnsi="Arial Narrow" w:eastAsiaTheme="majorEastAsia" w:cstheme="minorHAnsi"/>
          <w:b/>
          <w:color w:val="314e87"/>
          <w:sz w:val="24"/>
          <w:szCs w:val="24"/>
          <w:lang w:eastAsia="en-US" w:bidi="ru-RU"/>
        </w:rPr>
        <w:t xml:space="preserve"> </w:t>
      </w:r>
      <w:bookmarkStart w:id="161" w:name="_Toc193883515"/>
      <w:r/>
      <w:bookmarkStart w:id="162" w:name="_Toc196127015"/>
      <w:r>
        <w:rPr>
          <w:rFonts w:ascii="Arial Narrow" w:hAnsi="Arial Narrow" w:eastAsiaTheme="majorEastAsia" w:cstheme="minorHAnsi"/>
          <w:b/>
          <w:color w:val="314e87"/>
          <w:sz w:val="24"/>
          <w:szCs w:val="24"/>
          <w:lang w:eastAsia="en-US" w:bidi="ru-RU"/>
        </w:rPr>
        <w:t xml:space="preserve">11.11. Отчет о крупных сделках и сделках, в совершении которых имеется заинтересованность</w:t>
      </w:r>
      <w:bookmarkEnd w:id="161"/>
      <w:r/>
      <w:bookmarkEnd w:id="162"/>
      <w:r>
        <w:rPr>
          <w:rFonts w:ascii="Arial Narrow" w:hAnsi="Arial Narrow" w:eastAsiaTheme="majorEastAsia" w:cstheme="minorHAnsi"/>
          <w:b/>
          <w:color w:val="314e87"/>
          <w:sz w:val="24"/>
          <w:szCs w:val="24"/>
          <w:lang w:eastAsia="en-US" w:bidi="ru-RU"/>
        </w:rPr>
      </w:r>
      <w:r>
        <w:rPr>
          <w:rFonts w:ascii="Arial Narrow" w:hAnsi="Arial Narrow" w:eastAsiaTheme="majorEastAsia" w:cstheme="minorHAnsi"/>
          <w:b/>
          <w:color w:val="314e87"/>
          <w:sz w:val="24"/>
          <w:szCs w:val="24"/>
          <w:lang w:eastAsia="en-US" w:bidi="ru-RU"/>
        </w:rPr>
      </w:r>
    </w:p>
    <w:p>
      <w:pPr>
        <w:pStyle w:val="1063"/>
        <w:ind w:firstLine="567"/>
        <w:jc w:val="both"/>
        <w:rPr>
          <w:rFonts w:ascii="Arial Narrow" w:hAnsi="Arial Narrow" w:cs="Calibri"/>
          <w:color w:val="000000"/>
        </w:rPr>
      </w:pPr>
      <w:r>
        <w:rPr>
          <w:rFonts w:ascii="Arial Narrow" w:hAnsi="Arial Narrow" w:cs="Calibri"/>
          <w:color w:val="000000"/>
        </w:rPr>
        <w:t xml:space="preserve">Отчет о крупных сделках и сделках, в совершении которых имеется заинтересованность, представлен в Приложении № 3.</w:t>
      </w:r>
      <w:r>
        <w:rPr>
          <w:rFonts w:ascii="Arial Narrow" w:hAnsi="Arial Narrow" w:cs="Calibri"/>
          <w:color w:val="000000"/>
        </w:rPr>
      </w:r>
      <w:r>
        <w:rPr>
          <w:rFonts w:ascii="Arial Narrow" w:hAnsi="Arial Narrow" w:cs="Calibri"/>
          <w:color w:val="000000"/>
        </w:rPr>
      </w:r>
    </w:p>
    <w:p>
      <w:pPr>
        <w:rPr>
          <w:rFonts w:ascii="Arial Narrow" w:hAnsi="Arial Narrow" w:eastAsia="Arial" w:cs="Calibri"/>
          <w:color w:val="000000"/>
          <w:sz w:val="24"/>
          <w:szCs w:val="24"/>
          <w:lang w:eastAsia="en-US"/>
        </w:rPr>
      </w:pPr>
      <w:r>
        <w:br w:type="page" w:clear="all"/>
      </w:r>
      <w:r>
        <w:rPr>
          <w:rFonts w:ascii="Arial Narrow" w:hAnsi="Arial Narrow" w:eastAsia="Arial" w:cs="Calibri"/>
          <w:color w:val="000000"/>
          <w:sz w:val="24"/>
          <w:szCs w:val="24"/>
          <w:lang w:eastAsia="en-US"/>
        </w:rPr>
      </w:r>
      <w:r>
        <w:rPr>
          <w:rFonts w:ascii="Arial Narrow" w:hAnsi="Arial Narrow" w:eastAsia="Arial" w:cs="Calibri"/>
          <w:color w:val="000000"/>
          <w:sz w:val="24"/>
          <w:szCs w:val="24"/>
          <w:lang w:eastAsia="en-US"/>
        </w:rPr>
      </w:r>
    </w:p>
    <w:p>
      <w:pPr>
        <w:pStyle w:val="762"/>
        <w:jc w:val="center"/>
        <w:keepLines w:val="0"/>
        <w:spacing w:before="0" w:after="0" w:line="276" w:lineRule="auto"/>
        <w:rPr>
          <w:rFonts w:ascii="Arial Narrow" w:hAnsi="Arial Narrow" w:eastAsiaTheme="majorEastAsia" w:cstheme="minorHAnsi"/>
          <w:color w:val="314e87"/>
          <w:lang w:eastAsia="en-US"/>
        </w:rPr>
      </w:pPr>
      <w:r/>
      <w:bookmarkStart w:id="163" w:name="_Toc193883516"/>
      <w:r/>
      <w:bookmarkStart w:id="164" w:name="_Toc196127016"/>
      <w:r>
        <w:rPr>
          <w:rFonts w:ascii="Arial Narrow" w:hAnsi="Arial Narrow" w:eastAsiaTheme="majorEastAsia" w:cstheme="minorHAnsi"/>
          <w:b/>
          <w:color w:val="314e87"/>
          <w:sz w:val="28"/>
          <w:szCs w:val="28"/>
          <w:lang w:eastAsia="en-US"/>
        </w:rPr>
        <w:t xml:space="preserve">Раздел 12. ЗАКУПОЧНАЯ ДЕЯТЕЛЬНОСТЬ</w:t>
      </w:r>
      <w:bookmarkEnd w:id="163"/>
      <w:r/>
      <w:bookmarkEnd w:id="164"/>
      <w:r>
        <w:rPr>
          <w:rFonts w:ascii="Arial Narrow" w:hAnsi="Arial Narrow" w:eastAsiaTheme="majorEastAsia" w:cstheme="minorHAnsi"/>
          <w:color w:val="314e87"/>
          <w:lang w:eastAsia="en-US"/>
        </w:rPr>
      </w:r>
      <w:r>
        <w:rPr>
          <w:rFonts w:ascii="Arial Narrow" w:hAnsi="Arial Narrow" w:eastAsiaTheme="majorEastAsia" w:cstheme="minorHAnsi"/>
          <w:color w:val="314e87"/>
          <w:lang w:eastAsia="en-US"/>
        </w:rPr>
      </w:r>
    </w:p>
    <w:p>
      <w:pPr>
        <w:pStyle w:val="763"/>
        <w:jc w:val="both"/>
        <w:keepLines/>
        <w:spacing w:after="0" w:line="276" w:lineRule="auto"/>
      </w:pPr>
      <w:r/>
      <w:bookmarkStart w:id="165" w:name="_Toc193883517"/>
      <w:r/>
      <w:bookmarkStart w:id="166" w:name="_Toc196127017"/>
      <w:r>
        <w:rPr>
          <w:rFonts w:ascii="Arial Narrow" w:hAnsi="Arial Narrow" w:eastAsiaTheme="majorEastAsia" w:cstheme="minorHAnsi"/>
          <w:b/>
          <w:color w:val="314e87"/>
          <w:sz w:val="24"/>
          <w:szCs w:val="24"/>
          <w:lang w:eastAsia="en-US" w:bidi="ru-RU"/>
        </w:rPr>
        <w:t xml:space="preserve">12.1. Закупки у предприятий малого и среднего предпринимательства (МСП) за 2024 год</w:t>
      </w:r>
      <w:bookmarkEnd w:id="165"/>
      <w:r/>
      <w:bookmarkEnd w:id="166"/>
      <w:r/>
      <w:r/>
    </w:p>
    <w:p>
      <w:pPr>
        <w:pStyle w:val="1093"/>
        <w:numPr>
          <w:ilvl w:val="0"/>
          <w:numId w:val="4"/>
        </w:numPr>
        <w:ind w:left="0" w:firstLine="709"/>
        <w:jc w:val="both"/>
        <w:spacing w:before="0" w:after="0" w:line="276" w:lineRule="auto"/>
        <w:tabs>
          <w:tab w:val="left" w:pos="993" w:leader="none"/>
        </w:tabs>
      </w:pPr>
      <w:r>
        <w:rPr>
          <w:rFonts w:ascii="Arial Narrow" w:hAnsi="Arial Narrow" w:cs="Calibri"/>
          <w:sz w:val="24"/>
          <w:szCs w:val="24"/>
          <w:lang w:eastAsia="zh-CN"/>
        </w:rPr>
        <w:t xml:space="preserve">закупки у субъектов МСП – 6</w:t>
      </w:r>
      <w:r>
        <w:rPr>
          <w:rFonts w:ascii="Arial Narrow" w:hAnsi="Arial Narrow" w:cs="Calibri"/>
          <w:sz w:val="24"/>
          <w:szCs w:val="24"/>
          <w:lang w:val="en-US" w:eastAsia="zh-CN"/>
        </w:rPr>
        <w:t xml:space="preserve"> </w:t>
      </w:r>
      <w:r>
        <w:rPr>
          <w:rFonts w:ascii="Arial Narrow" w:hAnsi="Arial Narrow" w:cs="Calibri"/>
          <w:sz w:val="24"/>
          <w:szCs w:val="24"/>
          <w:lang w:eastAsia="zh-CN"/>
        </w:rPr>
        <w:t xml:space="preserve">316 952,93 тыс. рублей, 64,88 %;</w:t>
      </w:r>
      <w:r/>
    </w:p>
    <w:p>
      <w:pPr>
        <w:pStyle w:val="1093"/>
        <w:numPr>
          <w:ilvl w:val="0"/>
          <w:numId w:val="4"/>
        </w:numPr>
        <w:ind w:left="0" w:firstLine="709"/>
        <w:jc w:val="both"/>
        <w:spacing w:before="0" w:after="0" w:line="276" w:lineRule="auto"/>
        <w:tabs>
          <w:tab w:val="left" w:pos="993" w:leader="none"/>
        </w:tabs>
      </w:pPr>
      <w:r>
        <w:rPr>
          <w:rFonts w:ascii="Arial Narrow" w:hAnsi="Arial Narrow" w:cs="Calibri"/>
          <w:sz w:val="24"/>
          <w:szCs w:val="24"/>
          <w:lang w:eastAsia="zh-CN"/>
        </w:rPr>
        <w:t xml:space="preserve">закупки, участники которых только субъекты МСП – 3 574 810,69 тыс. рублей, 36,72 %.</w:t>
      </w:r>
      <w:r/>
    </w:p>
    <w:p>
      <w:pPr>
        <w:pStyle w:val="1093"/>
        <w:jc w:val="both"/>
        <w:spacing w:before="0" w:after="0" w:line="276" w:lineRule="auto"/>
        <w:tabs>
          <w:tab w:val="left" w:pos="993" w:leader="none"/>
        </w:tabs>
        <w:rPr>
          <w:rFonts w:ascii="Arial Narrow" w:hAnsi="Arial Narrow" w:cs="Calibri"/>
          <w:sz w:val="24"/>
          <w:szCs w:val="24"/>
        </w:rPr>
      </w:pPr>
      <w:r>
        <w:rPr>
          <w:rFonts w:ascii="Arial Narrow" w:hAnsi="Arial Narrow" w:cs="Calibri"/>
          <w:sz w:val="24"/>
          <w:szCs w:val="24"/>
        </w:rPr>
      </w:r>
      <w:r>
        <w:rPr>
          <w:rFonts w:ascii="Arial Narrow" w:hAnsi="Arial Narrow" w:cs="Calibri"/>
          <w:sz w:val="24"/>
          <w:szCs w:val="24"/>
        </w:rPr>
      </w:r>
      <w:r>
        <w:rPr>
          <w:rFonts w:ascii="Arial Narrow" w:hAnsi="Arial Narrow" w:cs="Calibri"/>
          <w:sz w:val="24"/>
          <w:szCs w:val="24"/>
        </w:rPr>
      </w:r>
    </w:p>
    <w:p>
      <w:pPr>
        <w:rPr>
          <w:rFonts w:ascii="Arial Narrow" w:hAnsi="Arial Narrow" w:eastAsia="Arial" w:cs="Calibri"/>
          <w:b/>
          <w:iCs/>
          <w:sz w:val="24"/>
          <w:szCs w:val="24"/>
          <w:lang w:eastAsia="en-US"/>
        </w:rPr>
      </w:pPr>
      <w:r>
        <w:br w:type="page" w:clear="all"/>
      </w:r>
      <w:r>
        <w:rPr>
          <w:rFonts w:ascii="Arial Narrow" w:hAnsi="Arial Narrow" w:eastAsia="Arial" w:cs="Calibri"/>
          <w:b/>
          <w:iCs/>
          <w:sz w:val="24"/>
          <w:szCs w:val="24"/>
          <w:lang w:eastAsia="en-US"/>
        </w:rPr>
      </w:r>
      <w:r>
        <w:rPr>
          <w:rFonts w:ascii="Arial Narrow" w:hAnsi="Arial Narrow" w:eastAsia="Arial" w:cs="Calibri"/>
          <w:b/>
          <w:iCs/>
          <w:sz w:val="24"/>
          <w:szCs w:val="24"/>
          <w:lang w:eastAsia="en-US"/>
        </w:rPr>
      </w:r>
    </w:p>
    <w:p>
      <w:pPr>
        <w:pStyle w:val="1065"/>
        <w:spacing w:before="120"/>
      </w:pPr>
      <w:r/>
      <w:bookmarkStart w:id="167" w:name="_Toc69121052"/>
      <w:r/>
      <w:bookmarkStart w:id="168" w:name="_Toc68861885"/>
      <w:r/>
      <w:bookmarkStart w:id="169" w:name="_Toc193883518"/>
      <w:r>
        <w:rPr>
          <w:rFonts w:ascii="Arial Narrow" w:hAnsi="Arial Narrow" w:cs="Calibri"/>
          <w:color w:val="314e87"/>
        </w:rPr>
        <w:t xml:space="preserve">Контакты и иная справочная информация для акционеров и инвесторов</w:t>
      </w:r>
      <w:bookmarkEnd w:id="167"/>
      <w:r/>
      <w:bookmarkEnd w:id="168"/>
      <w:r/>
      <w:bookmarkEnd w:id="169"/>
      <w:r/>
      <w:r/>
    </w:p>
    <w:p>
      <w:pPr>
        <w:pStyle w:val="1087"/>
        <w:jc w:val="both"/>
      </w:pPr>
      <w:r>
        <w:rPr>
          <w:rFonts w:ascii="Arial Narrow" w:hAnsi="Arial Narrow" w:cs="Calibri"/>
          <w:szCs w:val="28"/>
        </w:rPr>
        <w:t xml:space="preserve">Полное фирменное наименование Общества:</w:t>
      </w:r>
      <w:r>
        <w:rPr>
          <w:rFonts w:ascii="Arial Narrow" w:hAnsi="Arial Narrow" w:cs="Calibri"/>
          <w:szCs w:val="28"/>
        </w:rPr>
        <w:tab/>
        <w:t xml:space="preserve">Публичное акционерное общество энергетики и электрификации «Камчатскэнерго»</w:t>
      </w:r>
      <w:r/>
    </w:p>
    <w:p>
      <w:pPr>
        <w:pStyle w:val="1087"/>
      </w:pPr>
      <w:r>
        <w:rPr>
          <w:rFonts w:ascii="Arial Narrow" w:hAnsi="Arial Narrow" w:cs="Calibri"/>
          <w:szCs w:val="28"/>
        </w:rPr>
        <w:t xml:space="preserve">Сокращенное фирменное наименование Общества: ПАО «Камчатскэнерго»</w:t>
      </w:r>
      <w:r/>
    </w:p>
    <w:p>
      <w:pPr>
        <w:pStyle w:val="1087"/>
      </w:pPr>
      <w:r>
        <w:rPr>
          <w:rFonts w:ascii="Arial Narrow" w:hAnsi="Arial Narrow" w:cs="Calibri"/>
          <w:szCs w:val="28"/>
        </w:rPr>
        <w:t xml:space="preserve">Место нахождения: Российская Федерация, г. Петропавловск-Камчатский</w:t>
      </w:r>
      <w:r/>
    </w:p>
    <w:p>
      <w:pPr>
        <w:pStyle w:val="1087"/>
      </w:pPr>
      <w:r>
        <w:rPr>
          <w:rFonts w:ascii="Arial Narrow" w:hAnsi="Arial Narrow" w:cs="Calibri"/>
          <w:szCs w:val="28"/>
        </w:rPr>
        <w:t xml:space="preserve">Почтовый адрес: 683000, Россия, г. Петропавловск-Камчатский, ул. Набережная, д. 10</w:t>
      </w:r>
      <w:r/>
    </w:p>
    <w:p>
      <w:pPr>
        <w:pStyle w:val="1087"/>
      </w:pPr>
      <w:r>
        <w:rPr>
          <w:rFonts w:ascii="Arial Narrow" w:hAnsi="Arial Narrow" w:cs="Calibri"/>
          <w:szCs w:val="28"/>
        </w:rPr>
        <w:t xml:space="preserve">Адрес страницы в сети Интернет: </w:t>
      </w:r>
      <w:hyperlink r:id="rId23" w:tooltip="http://www.kamenergo.ru/" w:history="1">
        <w:r>
          <w:rPr>
            <w:rStyle w:val="832"/>
            <w:rFonts w:ascii="Arial Narrow" w:hAnsi="Arial Narrow" w:cs="Calibri"/>
            <w:szCs w:val="28"/>
          </w:rPr>
          <w:t xml:space="preserve">www.kamenergo.ru</w:t>
        </w:r>
      </w:hyperlink>
      <w:r/>
      <w:r/>
    </w:p>
    <w:p>
      <w:pPr>
        <w:pStyle w:val="1087"/>
        <w:rPr>
          <w:rFonts w:ascii="Arial Narrow" w:hAnsi="Arial Narrow" w:cs="Calibri"/>
          <w:szCs w:val="28"/>
        </w:rPr>
      </w:pPr>
      <w:r>
        <w:rPr>
          <w:rFonts w:ascii="Arial Narrow" w:hAnsi="Arial Narrow" w:cs="Calibri"/>
          <w:szCs w:val="28"/>
        </w:rPr>
      </w:r>
      <w:r>
        <w:rPr>
          <w:rFonts w:ascii="Arial Narrow" w:hAnsi="Arial Narrow" w:cs="Calibri"/>
          <w:szCs w:val="28"/>
        </w:rPr>
      </w:r>
      <w:r>
        <w:rPr>
          <w:rFonts w:ascii="Arial Narrow" w:hAnsi="Arial Narrow" w:cs="Calibri"/>
          <w:szCs w:val="28"/>
        </w:rPr>
      </w:r>
    </w:p>
    <w:p>
      <w:pPr>
        <w:pStyle w:val="1087"/>
      </w:pPr>
      <w:r>
        <w:rPr>
          <w:rFonts w:ascii="Arial Narrow" w:hAnsi="Arial Narrow" w:cs="Calibri"/>
          <w:bCs/>
          <w:lang w:eastAsia="ru-RU"/>
        </w:rPr>
        <w:t xml:space="preserve">Информация об аудиторской организации</w:t>
      </w:r>
      <w:r/>
    </w:p>
    <w:p>
      <w:pPr>
        <w:pStyle w:val="1087"/>
      </w:pPr>
      <w:r>
        <w:rPr>
          <w:rFonts w:ascii="Arial Narrow" w:hAnsi="Arial Narrow" w:cs="Calibri"/>
          <w:szCs w:val="28"/>
        </w:rPr>
        <w:t xml:space="preserve">Полное фирменное наименование: Общество с ограниченной ответственностью «Группа Финансы»</w:t>
      </w:r>
      <w:r/>
    </w:p>
    <w:p>
      <w:pPr>
        <w:pStyle w:val="1063"/>
        <w:jc w:val="both"/>
      </w:pPr>
      <w:r>
        <w:rPr>
          <w:rFonts w:ascii="Arial Narrow" w:hAnsi="Arial Narrow" w:cs="Calibri"/>
          <w:szCs w:val="28"/>
        </w:rPr>
        <w:t xml:space="preserve">ОГРН 1082312000110</w:t>
      </w:r>
      <w:r/>
    </w:p>
    <w:p>
      <w:pPr>
        <w:pStyle w:val="1087"/>
        <w:rPr>
          <w:rFonts w:ascii="Arial Narrow" w:hAnsi="Arial Narrow" w:cs="Calibri"/>
          <w:bCs/>
          <w:lang w:eastAsia="ru-RU"/>
        </w:rPr>
      </w:pPr>
      <w:r>
        <w:rPr>
          <w:rFonts w:ascii="Arial Narrow" w:hAnsi="Arial Narrow" w:cs="Calibri"/>
          <w:bCs/>
          <w:lang w:eastAsia="ru-RU"/>
        </w:rPr>
      </w:r>
      <w:r>
        <w:rPr>
          <w:rFonts w:ascii="Arial Narrow" w:hAnsi="Arial Narrow" w:cs="Calibri"/>
          <w:bCs/>
          <w:lang w:eastAsia="ru-RU"/>
        </w:rPr>
      </w:r>
      <w:r>
        <w:rPr>
          <w:rFonts w:ascii="Arial Narrow" w:hAnsi="Arial Narrow" w:cs="Calibri"/>
          <w:bCs/>
          <w:lang w:eastAsia="ru-RU"/>
        </w:rPr>
      </w:r>
    </w:p>
    <w:p>
      <w:pPr>
        <w:pStyle w:val="1087"/>
      </w:pPr>
      <w:r>
        <w:rPr>
          <w:rFonts w:ascii="Arial Narrow" w:hAnsi="Arial Narrow" w:cs="Calibri"/>
          <w:bCs/>
          <w:lang w:eastAsia="ru-RU"/>
        </w:rPr>
        <w:t xml:space="preserve">Сведения о регистраторе</w:t>
      </w:r>
      <w:r/>
    </w:p>
    <w:p>
      <w:pPr>
        <w:pStyle w:val="1087"/>
        <w:jc w:val="both"/>
      </w:pPr>
      <w:r>
        <w:rPr>
          <w:rFonts w:ascii="Arial Narrow" w:hAnsi="Arial Narrow" w:cs="Calibri"/>
          <w:bCs/>
          <w:lang w:eastAsia="ru-RU"/>
        </w:rPr>
        <w:t xml:space="preserve">Полное фирменное наименование: Акционерное общество «Независимая регистраторская компания Р.О.С.Т.»</w:t>
      </w:r>
      <w:r/>
    </w:p>
    <w:p>
      <w:pPr>
        <w:pStyle w:val="1087"/>
      </w:pPr>
      <w:r/>
      <w:bookmarkStart w:id="170" w:name="_Toc69121054"/>
      <w:r/>
      <w:bookmarkStart w:id="171" w:name="_Toc68861887"/>
      <w:r>
        <w:rPr>
          <w:rFonts w:ascii="Arial Narrow" w:hAnsi="Arial Narrow" w:cs="Calibri"/>
          <w:bCs/>
          <w:lang w:eastAsia="ru-RU"/>
        </w:rPr>
        <w:t xml:space="preserve">ОГРН: 1027739216757</w:t>
      </w:r>
      <w:bookmarkEnd w:id="170"/>
      <w:r/>
      <w:bookmarkEnd w:id="171"/>
      <w:r/>
      <w:r/>
    </w:p>
    <w:p>
      <w:pPr>
        <w:pStyle w:val="1063"/>
        <w:ind w:right="-171"/>
        <w:rPr>
          <w:rFonts w:ascii="Arial Narrow" w:hAnsi="Arial Narrow" w:cs="Calibri"/>
          <w:bCs/>
          <w:color w:val="314e87"/>
          <w:szCs w:val="28"/>
          <w:lang w:eastAsia="ru-RU"/>
        </w:rPr>
      </w:pPr>
      <w:r>
        <w:br w:type="page" w:clear="all"/>
      </w:r>
      <w:r>
        <w:rPr>
          <w:rFonts w:ascii="Arial Narrow" w:hAnsi="Arial Narrow" w:cs="Calibri"/>
          <w:bCs/>
          <w:color w:val="314e87"/>
          <w:szCs w:val="28"/>
          <w:lang w:eastAsia="ru-RU"/>
        </w:rPr>
      </w:r>
      <w:r>
        <w:rPr>
          <w:rFonts w:ascii="Arial Narrow" w:hAnsi="Arial Narrow" w:cs="Calibri"/>
          <w:bCs/>
          <w:color w:val="314e87"/>
          <w:szCs w:val="28"/>
          <w:lang w:eastAsia="ru-RU"/>
        </w:rPr>
      </w:r>
    </w:p>
    <w:p>
      <w:pPr>
        <w:pStyle w:val="762"/>
        <w:jc w:val="center"/>
        <w:keepLines w:val="0"/>
        <w:spacing w:before="0" w:after="0" w:line="276" w:lineRule="auto"/>
        <w:rPr>
          <w:rFonts w:ascii="Arial Narrow" w:hAnsi="Arial Narrow" w:eastAsiaTheme="majorEastAsia" w:cstheme="minorHAnsi"/>
          <w:color w:val="314e87"/>
          <w:lang w:eastAsia="en-US"/>
        </w:rPr>
      </w:pPr>
      <w:r/>
      <w:bookmarkStart w:id="172" w:name="_Toc193883519"/>
      <w:r/>
      <w:bookmarkStart w:id="173" w:name="_Toc196127018"/>
      <w:r>
        <w:rPr>
          <w:rFonts w:ascii="Arial Narrow" w:hAnsi="Arial Narrow" w:eastAsiaTheme="majorEastAsia" w:cstheme="minorHAnsi"/>
          <w:b/>
          <w:color w:val="314e87"/>
          <w:sz w:val="28"/>
          <w:szCs w:val="28"/>
          <w:lang w:eastAsia="en-US"/>
        </w:rPr>
        <w:t xml:space="preserve">Список приложений</w:t>
      </w:r>
      <w:bookmarkEnd w:id="172"/>
      <w:r/>
      <w:bookmarkEnd w:id="173"/>
      <w:r>
        <w:rPr>
          <w:rFonts w:ascii="Arial Narrow" w:hAnsi="Arial Narrow" w:eastAsiaTheme="majorEastAsia" w:cstheme="minorHAnsi"/>
          <w:color w:val="314e87"/>
          <w:lang w:eastAsia="en-US"/>
        </w:rPr>
      </w:r>
      <w:r>
        <w:rPr>
          <w:rFonts w:ascii="Arial Narrow" w:hAnsi="Arial Narrow" w:eastAsiaTheme="majorEastAsia" w:cstheme="minorHAnsi"/>
          <w:color w:val="314e87"/>
          <w:lang w:eastAsia="en-US"/>
        </w:rPr>
      </w:r>
    </w:p>
    <w:tbl>
      <w:tblPr>
        <w:tblW w:w="10348" w:type="dxa"/>
        <w:tblInd w:w="85" w:type="dxa"/>
        <w:tblLayout w:type="fixed"/>
        <w:tblLook w:val="04A0" w:firstRow="1" w:lastRow="0" w:firstColumn="1" w:lastColumn="0" w:noHBand="0" w:noVBand="1"/>
      </w:tblPr>
      <w:tblGrid>
        <w:gridCol w:w="3969"/>
        <w:gridCol w:w="6379"/>
      </w:tblGrid>
      <w:tr>
        <w:trPr>
          <w:trHeight w:val="543"/>
        </w:trPr>
        <w:tc>
          <w:tcPr>
            <w:tcW w:w="3969" w:type="dxa"/>
            <w:vAlign w:val="center"/>
            <w:textDirection w:val="lrTb"/>
            <w:noWrap w:val="false"/>
          </w:tcPr>
          <w:p>
            <w:pPr>
              <w:pStyle w:val="1063"/>
              <w:widowControl w:val="off"/>
              <w:rPr>
                <w:color w:val="002060"/>
              </w:rPr>
            </w:pPr>
            <w:r>
              <w:rPr>
                <w:rFonts w:ascii="Arial Narrow" w:hAnsi="Arial Narrow" w:cs="Calibri"/>
                <w:iCs/>
                <w:color w:val="002060"/>
              </w:rPr>
              <w:t xml:space="preserve">Приложение № 1</w:t>
            </w:r>
            <w:r>
              <w:rPr>
                <w:color w:val="002060"/>
              </w:rPr>
            </w:r>
            <w:r>
              <w:rPr>
                <w:color w:val="002060"/>
              </w:rPr>
            </w:r>
          </w:p>
        </w:tc>
        <w:tc>
          <w:tcPr>
            <w:tcW w:w="6378" w:type="dxa"/>
            <w:vAlign w:val="center"/>
            <w:textDirection w:val="lrTb"/>
            <w:noWrap w:val="false"/>
          </w:tcPr>
          <w:p>
            <w:pPr>
              <w:pStyle w:val="1063"/>
              <w:jc w:val="both"/>
              <w:widowControl w:val="off"/>
              <w:rPr>
                <w:rFonts w:ascii="Arial Narrow" w:hAnsi="Arial Narrow" w:cs="Calibri"/>
                <w:iCs/>
              </w:rPr>
            </w:pPr>
            <w:r>
              <w:rPr>
                <w:rFonts w:ascii="Arial Narrow" w:hAnsi="Arial Narrow" w:cs="Calibri"/>
                <w:iCs/>
              </w:rPr>
            </w:r>
            <w:r>
              <w:rPr>
                <w:rFonts w:ascii="Arial Narrow" w:hAnsi="Arial Narrow" w:cs="Calibri"/>
                <w:iCs/>
              </w:rPr>
            </w:r>
            <w:r>
              <w:rPr>
                <w:rFonts w:ascii="Arial Narrow" w:hAnsi="Arial Narrow" w:cs="Calibri"/>
                <w:iCs/>
              </w:rPr>
            </w:r>
          </w:p>
          <w:p>
            <w:pPr>
              <w:pStyle w:val="1063"/>
              <w:jc w:val="both"/>
              <w:widowControl w:val="off"/>
            </w:pPr>
            <w:r>
              <w:rPr>
                <w:rFonts w:ascii="Arial Narrow" w:hAnsi="Arial Narrow" w:cs="Calibri"/>
                <w:iCs/>
              </w:rPr>
              <w:t xml:space="preserve">Заключение аудиторской организации, Бухгалтерская (финансовая) отчетность Общества за 2024 год</w:t>
            </w:r>
            <w:r/>
          </w:p>
        </w:tc>
      </w:tr>
      <w:tr>
        <w:trPr>
          <w:trHeight w:val="550"/>
        </w:trPr>
        <w:tc>
          <w:tcPr>
            <w:tcW w:w="3969" w:type="dxa"/>
            <w:vAlign w:val="center"/>
            <w:textDirection w:val="lrTb"/>
            <w:noWrap w:val="false"/>
          </w:tcPr>
          <w:p>
            <w:pPr>
              <w:pStyle w:val="1063"/>
              <w:widowControl w:val="off"/>
              <w:rPr>
                <w:color w:val="002060"/>
              </w:rPr>
            </w:pPr>
            <w:r>
              <w:rPr>
                <w:rFonts w:ascii="Arial Narrow" w:hAnsi="Arial Narrow" w:cs="Calibri"/>
                <w:iCs/>
                <w:color w:val="002060"/>
              </w:rPr>
              <w:t xml:space="preserve">Приложение № 2</w:t>
            </w:r>
            <w:r>
              <w:rPr>
                <w:color w:val="002060"/>
              </w:rPr>
            </w:r>
            <w:r>
              <w:rPr>
                <w:color w:val="002060"/>
              </w:rPr>
            </w:r>
          </w:p>
        </w:tc>
        <w:tc>
          <w:tcPr>
            <w:tcW w:w="6378" w:type="dxa"/>
            <w:vAlign w:val="center"/>
            <w:textDirection w:val="lrTb"/>
            <w:noWrap w:val="false"/>
          </w:tcPr>
          <w:p>
            <w:pPr>
              <w:pStyle w:val="1063"/>
              <w:jc w:val="both"/>
              <w:widowControl w:val="off"/>
            </w:pPr>
            <w:r>
              <w:rPr>
                <w:rFonts w:ascii="Arial Narrow" w:hAnsi="Arial Narrow" w:cs="Calibri"/>
                <w:iCs/>
              </w:rPr>
              <w:t xml:space="preserve">Заключение Ревизионной комиссии</w:t>
            </w:r>
            <w:r/>
          </w:p>
        </w:tc>
      </w:tr>
      <w:tr>
        <w:trPr>
          <w:trHeight w:val="503"/>
        </w:trPr>
        <w:tc>
          <w:tcPr>
            <w:tcW w:w="3969" w:type="dxa"/>
            <w:vAlign w:val="center"/>
            <w:textDirection w:val="lrTb"/>
            <w:noWrap w:val="false"/>
          </w:tcPr>
          <w:p>
            <w:pPr>
              <w:pStyle w:val="1063"/>
              <w:widowControl w:val="off"/>
              <w:rPr>
                <w:color w:val="002060"/>
              </w:rPr>
            </w:pPr>
            <w:r>
              <w:rPr>
                <w:rFonts w:ascii="Arial Narrow" w:hAnsi="Arial Narrow" w:cs="Calibri"/>
                <w:iCs/>
                <w:color w:val="002060"/>
              </w:rPr>
              <w:t xml:space="preserve">Приложение № 3</w:t>
            </w:r>
            <w:r>
              <w:rPr>
                <w:color w:val="002060"/>
              </w:rPr>
            </w:r>
            <w:r>
              <w:rPr>
                <w:color w:val="002060"/>
              </w:rPr>
            </w:r>
          </w:p>
        </w:tc>
        <w:tc>
          <w:tcPr>
            <w:tcW w:w="6378" w:type="dxa"/>
            <w:vAlign w:val="center"/>
            <w:textDirection w:val="lrTb"/>
            <w:noWrap w:val="false"/>
          </w:tcPr>
          <w:p>
            <w:pPr>
              <w:pStyle w:val="1063"/>
              <w:jc w:val="both"/>
              <w:widowControl w:val="off"/>
            </w:pPr>
            <w:r>
              <w:rPr>
                <w:rFonts w:ascii="Arial Narrow" w:hAnsi="Arial Narrow" w:cs="Calibri"/>
                <w:iCs/>
              </w:rPr>
              <w:t xml:space="preserve">Сделки Общества</w:t>
            </w:r>
            <w:r/>
          </w:p>
        </w:tc>
      </w:tr>
      <w:tr>
        <w:trPr>
          <w:trHeight w:val="511"/>
        </w:trPr>
        <w:tc>
          <w:tcPr>
            <w:tcW w:w="3969" w:type="dxa"/>
            <w:vAlign w:val="center"/>
            <w:textDirection w:val="lrTb"/>
            <w:noWrap w:val="false"/>
          </w:tcPr>
          <w:p>
            <w:pPr>
              <w:pStyle w:val="1063"/>
              <w:widowControl w:val="off"/>
              <w:rPr>
                <w:color w:val="002060"/>
              </w:rPr>
            </w:pPr>
            <w:r>
              <w:rPr>
                <w:rFonts w:ascii="Arial Narrow" w:hAnsi="Arial Narrow" w:cs="Calibri"/>
                <w:iCs/>
                <w:color w:val="002060"/>
              </w:rPr>
              <w:t xml:space="preserve">Приложение № 4</w:t>
            </w:r>
            <w:r>
              <w:rPr>
                <w:color w:val="002060"/>
              </w:rPr>
            </w:r>
            <w:r>
              <w:rPr>
                <w:color w:val="002060"/>
              </w:rPr>
            </w:r>
          </w:p>
        </w:tc>
        <w:tc>
          <w:tcPr>
            <w:tcW w:w="6378" w:type="dxa"/>
            <w:vAlign w:val="center"/>
            <w:textDirection w:val="lrTb"/>
            <w:noWrap w:val="false"/>
          </w:tcPr>
          <w:p>
            <w:pPr>
              <w:pStyle w:val="1063"/>
              <w:jc w:val="both"/>
              <w:widowControl w:val="off"/>
            </w:pPr>
            <w:r>
              <w:rPr>
                <w:rFonts w:ascii="Arial Narrow" w:hAnsi="Arial Narrow" w:cs="Calibri"/>
                <w:iCs/>
              </w:rPr>
              <w:t xml:space="preserve">Отчет о соблюдении принципов и рекомендаций ККУ</w:t>
            </w:r>
            <w:r/>
          </w:p>
        </w:tc>
      </w:tr>
    </w:tbl>
    <w:p>
      <w:pPr>
        <w:pStyle w:val="1063"/>
        <w:ind w:right="-171"/>
      </w:pPr>
      <w:r/>
      <w:r/>
    </w:p>
    <w:sectPr>
      <w:footnotePr/>
      <w:endnotePr/>
      <w:type w:val="nextPage"/>
      <w:pgSz w:w="11906" w:h="16838" w:orient="portrait"/>
      <w:pgMar w:top="993" w:right="907" w:bottom="709" w:left="936" w:header="426" w:footer="497" w:gutter="0"/>
      <w:cols w:num="1" w:sep="0" w:space="720"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ucida Sans Unicode">
    <w:panose1 w:val="020B0502040504020204"/>
  </w:font>
  <w:font w:name="Segoe UI">
    <w:panose1 w:val="020B0502040504020204"/>
  </w:font>
  <w:font w:name="Arial Unicode MS">
    <w:panose1 w:val="020B0506020203020204"/>
  </w:font>
  <w:font w:name="Times New Roman CYR">
    <w:panose1 w:val="02020603050405020304"/>
  </w:font>
  <w:font w:name="Verdana">
    <w:panose1 w:val="020B0604030504040204"/>
  </w:font>
  <w:font w:name="AGOpus">
    <w:panose1 w:val="02000603000000000000"/>
  </w:font>
  <w:font w:name="Swiss Light 10pt">
    <w:panose1 w:val="02000603000000000000"/>
  </w:font>
  <w:font w:name="Symbol">
    <w:panose1 w:val="05010000000000000000"/>
  </w:font>
  <w:font w:name="Century Schoolbook">
    <w:panose1 w:val="02060606050605020204"/>
  </w:font>
  <w:font w:name="Wingdings">
    <w:panose1 w:val="05010000000000000000"/>
  </w:font>
  <w:font w:name="Courier New">
    <w:panose1 w:val="02070409020205020404"/>
  </w:font>
  <w:font w:name="OpenSymbol">
    <w:panose1 w:val="05010000000000000000"/>
  </w:font>
  <w:font w:name="Liberation Mono">
    <w:panose1 w:val="02070409020205020404"/>
  </w:font>
  <w:font w:name="Calibri">
    <w:panose1 w:val="020F0502020204030204"/>
  </w:font>
  <w:font w:name="Arial">
    <w:panose1 w:val="020B0604020202020204"/>
  </w:font>
  <w:font w:name="PT Astra Serif">
    <w:panose1 w:val="020A0603040505020204"/>
  </w:font>
  <w:font w:name="Tahoma">
    <w:panose1 w:val="020B0604030504040204"/>
  </w:font>
  <w:font w:name="DINCyr-Light">
    <w:panose1 w:val="02000603000000000000"/>
  </w:font>
  <w:font w:name="Noto Sans Devanagari">
    <w:panose1 w:val="020B0502040504020204"/>
  </w:font>
  <w:font w:name="Roboto Condensed">
    <w:panose1 w:val="02000000000000000000"/>
  </w:font>
  <w:font w:name="Consultant">
    <w:panose1 w:val="02000603000000000000"/>
  </w:font>
  <w:font w:name="Arial Narrow">
    <w:panose1 w:val="020B0606020202030204"/>
  </w:font>
  <w:font w:name="Times New Roman">
    <w:panose1 w:val="020206030504050203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90"/>
      <w:jc w:val="center"/>
    </w:pPr>
    <w:r>
      <w:fldChar w:fldCharType="begin"/>
    </w:r>
    <w:r>
      <w:instrText xml:space="preserve"> PAGE </w:instrText>
    </w:r>
    <w:r>
      <w:fldChar w:fldCharType="separate"/>
    </w:r>
    <w:r>
      <w:t xml:space="preserve">12</w:t>
    </w:r>
    <w:r>
      <w:fldChar w:fldCharType="end"/>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rPr>
          <w:sz w:val="12"/>
        </w:rPr>
      </w:pPr>
      <w:r>
        <w:separator/>
      </w:r>
      <w:r>
        <w:rPr>
          <w:sz w:val="12"/>
        </w:rPr>
      </w:r>
      <w:r>
        <w:rPr>
          <w:sz w:val="12"/>
        </w:rPr>
      </w:r>
    </w:p>
  </w:footnote>
  <w:footnote w:type="continuationSeparator" w:id="0">
    <w:p>
      <w:pPr>
        <w:rPr>
          <w:sz w:val="12"/>
        </w:rPr>
      </w:pPr>
      <w:r>
        <w:continuationSeparator/>
      </w:r>
      <w:r>
        <w:rPr>
          <w:sz w:val="12"/>
        </w:rPr>
      </w:r>
      <w:r>
        <w:rPr>
          <w:sz w:val="12"/>
        </w:rPr>
      </w:r>
    </w:p>
  </w:footnote>
  <w:footnote w:id="2">
    <w:p>
      <w:pPr>
        <w:pStyle w:val="1094"/>
        <w:jc w:val="both"/>
      </w:pPr>
      <w:r>
        <w:rPr>
          <w:rStyle w:val="774"/>
        </w:rPr>
        <w:footnoteRef/>
      </w:r>
      <w:r>
        <w:rPr>
          <w:rFonts w:ascii="Arial Narrow" w:hAnsi="Arial Narrow"/>
          <w:sz w:val="16"/>
          <w:szCs w:val="16"/>
        </w:rPr>
        <w:t xml:space="preserve"> </w:t>
      </w:r>
      <w:r>
        <w:rPr>
          <w:rFonts w:ascii="Arial Narrow" w:hAnsi="Arial Narrow" w:eastAsia="Arial" w:cs="Calibri"/>
          <w:bCs/>
          <w:iCs/>
          <w:sz w:val="16"/>
          <w:szCs w:val="16"/>
        </w:rPr>
        <w:t xml:space="preserve">В состав Группы входят ПАО «Камчатскэнерго» и его дочернее общество Акционерное общество «Южные электрические сети Камчатки»</w:t>
      </w:r>
      <w:r/>
    </w:p>
  </w:footnote>
  <w:footnote w:id="3">
    <w:p>
      <w:pPr>
        <w:pStyle w:val="1094"/>
        <w:rPr>
          <w:rFonts w:ascii="Arial Narrow" w:hAnsi="Arial Narrow"/>
          <w:sz w:val="16"/>
          <w:szCs w:val="16"/>
        </w:rPr>
      </w:pPr>
      <w:r>
        <w:rPr>
          <w:rStyle w:val="774"/>
        </w:rPr>
        <w:footnoteRef/>
      </w:r>
      <w:r>
        <w:rPr>
          <w:rFonts w:ascii="Arial Narrow" w:hAnsi="Arial Narrow"/>
          <w:sz w:val="16"/>
          <w:szCs w:val="16"/>
        </w:rPr>
        <w:t xml:space="preserve"> С учетом НДС</w:t>
      </w:r>
      <w:r>
        <w:rPr>
          <w:rFonts w:ascii="Arial Narrow" w:hAnsi="Arial Narrow"/>
          <w:sz w:val="16"/>
          <w:szCs w:val="16"/>
        </w:rPr>
      </w:r>
      <w:r>
        <w:rPr>
          <w:rFonts w:ascii="Arial Narrow" w:hAnsi="Arial Narrow"/>
          <w:sz w:val="16"/>
          <w:szCs w:val="16"/>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89"/>
      <w:jc w:val="right"/>
    </w:pPr>
    <w:r>
      <mc:AlternateContent>
        <mc:Choice Requires="wpg">
          <w:drawing>
            <wp:inline xmlns:wp="http://schemas.openxmlformats.org/drawingml/2006/wordprocessingDrawing" distT="0" distB="0" distL="0" distR="0">
              <wp:extent cx="1302385" cy="236220"/>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Рисунок 2"/>
                      <pic:cNvPicPr>
                        <a:picLocks noChangeAspect="1"/>
                      </pic:cNvPicPr>
                      <pic:nvPr/>
                    </pic:nvPicPr>
                    <pic:blipFill>
                      <a:blip r:embed="rId1"/>
                      <a:stretch/>
                    </pic:blipFill>
                    <pic:spPr bwMode="auto">
                      <a:xfrm>
                        <a:off x="0" y="0"/>
                        <a:ext cx="1302385" cy="236220"/>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02.55pt;height:18.60pt;mso-wrap-distance-left:0.00pt;mso-wrap-distance-top:0.00pt;mso-wrap-distance-right:0.00pt;mso-wrap-distance-bottom:0.00pt;" stroked="false">
              <v:path textboxrect="0,0,0,0"/>
              <v:imagedata r:id="rId1" o:title=""/>
            </v:shape>
          </w:pict>
        </mc:Fallback>
      </mc:AlternateContent>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1429" w:hanging="360"/>
        <w:tabs>
          <w:tab w:val="num" w:pos="0" w:leader="none"/>
        </w:tabs>
      </w:pPr>
      <w:rPr>
        <w:rFonts w:hint="default" w:ascii="Symbol" w:hAnsi="Symbol" w:cs="Symbol"/>
      </w:rPr>
    </w:lvl>
    <w:lvl w:ilvl="1">
      <w:start w:val="1"/>
      <w:numFmt w:val="bullet"/>
      <w:isLgl w:val="false"/>
      <w:suff w:val="tab"/>
      <w:lvlText w:val="o"/>
      <w:lvlJc w:val="left"/>
      <w:pPr>
        <w:ind w:left="2149" w:hanging="360"/>
        <w:tabs>
          <w:tab w:val="num" w:pos="0" w:leader="none"/>
        </w:tabs>
      </w:pPr>
      <w:rPr>
        <w:rFonts w:hint="default" w:ascii="Times New Roman" w:hAnsi="Times New Roman" w:cs="Times New Roman"/>
      </w:rPr>
    </w:lvl>
    <w:lvl w:ilvl="2">
      <w:start w:val="1"/>
      <w:numFmt w:val="bullet"/>
      <w:isLgl w:val="false"/>
      <w:suff w:val="tab"/>
      <w:lvlText w:val=""/>
      <w:lvlJc w:val="left"/>
      <w:pPr>
        <w:ind w:left="2869" w:hanging="360"/>
        <w:tabs>
          <w:tab w:val="num" w:pos="0" w:leader="none"/>
        </w:tabs>
      </w:pPr>
      <w:rPr>
        <w:rFonts w:hint="default" w:ascii="Wingdings" w:hAnsi="Wingdings" w:cs="Wingdings"/>
      </w:rPr>
    </w:lvl>
    <w:lvl w:ilvl="3">
      <w:start w:val="1"/>
      <w:numFmt w:val="bullet"/>
      <w:isLgl w:val="false"/>
      <w:suff w:val="tab"/>
      <w:lvlText w:val=""/>
      <w:lvlJc w:val="left"/>
      <w:pPr>
        <w:ind w:left="3589" w:hanging="360"/>
        <w:tabs>
          <w:tab w:val="num" w:pos="0" w:leader="none"/>
        </w:tabs>
      </w:pPr>
      <w:rPr>
        <w:rFonts w:hint="default" w:ascii="Symbol" w:hAnsi="Symbol" w:cs="Symbol"/>
      </w:rPr>
    </w:lvl>
    <w:lvl w:ilvl="4">
      <w:start w:val="1"/>
      <w:numFmt w:val="bullet"/>
      <w:isLgl w:val="false"/>
      <w:suff w:val="tab"/>
      <w:lvlText w:val="o"/>
      <w:lvlJc w:val="left"/>
      <w:pPr>
        <w:ind w:left="4309" w:hanging="360"/>
        <w:tabs>
          <w:tab w:val="num" w:pos="0" w:leader="none"/>
        </w:tabs>
      </w:pPr>
      <w:rPr>
        <w:rFonts w:hint="default" w:ascii="Times New Roman" w:hAnsi="Times New Roman" w:cs="Times New Roman"/>
      </w:rPr>
    </w:lvl>
    <w:lvl w:ilvl="5">
      <w:start w:val="1"/>
      <w:numFmt w:val="bullet"/>
      <w:isLgl w:val="false"/>
      <w:suff w:val="tab"/>
      <w:lvlText w:val=""/>
      <w:lvlJc w:val="left"/>
      <w:pPr>
        <w:ind w:left="5029" w:hanging="360"/>
        <w:tabs>
          <w:tab w:val="num" w:pos="0" w:leader="none"/>
        </w:tabs>
      </w:pPr>
      <w:rPr>
        <w:rFonts w:hint="default" w:ascii="Wingdings" w:hAnsi="Wingdings" w:cs="Wingdings"/>
      </w:rPr>
    </w:lvl>
    <w:lvl w:ilvl="6">
      <w:start w:val="1"/>
      <w:numFmt w:val="bullet"/>
      <w:isLgl w:val="false"/>
      <w:suff w:val="tab"/>
      <w:lvlText w:val=""/>
      <w:lvlJc w:val="left"/>
      <w:pPr>
        <w:ind w:left="5749" w:hanging="360"/>
        <w:tabs>
          <w:tab w:val="num" w:pos="0" w:leader="none"/>
        </w:tabs>
      </w:pPr>
      <w:rPr>
        <w:rFonts w:hint="default" w:ascii="Symbol" w:hAnsi="Symbol" w:cs="Symbol"/>
      </w:rPr>
    </w:lvl>
    <w:lvl w:ilvl="7">
      <w:start w:val="1"/>
      <w:numFmt w:val="bullet"/>
      <w:isLgl w:val="false"/>
      <w:suff w:val="tab"/>
      <w:lvlText w:val="o"/>
      <w:lvlJc w:val="left"/>
      <w:pPr>
        <w:ind w:left="6469" w:hanging="360"/>
        <w:tabs>
          <w:tab w:val="num" w:pos="0" w:leader="none"/>
        </w:tabs>
      </w:pPr>
      <w:rPr>
        <w:rFonts w:hint="default" w:ascii="Times New Roman" w:hAnsi="Times New Roman" w:cs="Times New Roman"/>
      </w:rPr>
    </w:lvl>
    <w:lvl w:ilvl="8">
      <w:start w:val="1"/>
      <w:numFmt w:val="bullet"/>
      <w:isLgl w:val="false"/>
      <w:suff w:val="tab"/>
      <w:lvlText w:val=""/>
      <w:lvlJc w:val="left"/>
      <w:pPr>
        <w:ind w:left="7189" w:hanging="360"/>
        <w:tabs>
          <w:tab w:val="num" w:pos="0" w:leader="none"/>
        </w:tabs>
      </w:pPr>
      <w:rPr>
        <w:rFonts w:hint="default" w:ascii="Wingdings" w:hAnsi="Wingdings" w:cs="Wingdings"/>
      </w:rPr>
    </w:lvl>
  </w:abstractNum>
  <w:abstractNum w:abstractNumId="1">
    <w:multiLevelType w:val="hybridMultilevel"/>
    <w:lvl w:ilvl="0">
      <w:start w:val="1"/>
      <w:numFmt w:val="decimal"/>
      <w:isLgl w:val="false"/>
      <w:suff w:val="tab"/>
      <w:lvlText w:val="%1."/>
      <w:lvlJc w:val="left"/>
      <w:pPr>
        <w:ind w:left="450" w:hanging="450"/>
        <w:tabs>
          <w:tab w:val="num" w:pos="0" w:leader="none"/>
        </w:tabs>
      </w:pPr>
    </w:lvl>
    <w:lvl w:ilvl="1">
      <w:start w:val="1"/>
      <w:numFmt w:val="decimal"/>
      <w:isLgl w:val="false"/>
      <w:suff w:val="tab"/>
      <w:lvlText w:val="%1.%2."/>
      <w:lvlJc w:val="left"/>
      <w:pPr>
        <w:ind w:left="720" w:hanging="720"/>
        <w:tabs>
          <w:tab w:val="num" w:pos="0" w:leader="none"/>
        </w:tabs>
      </w:pPr>
    </w:lvl>
    <w:lvl w:ilvl="2">
      <w:start w:val="1"/>
      <w:numFmt w:val="decimal"/>
      <w:isLgl w:val="false"/>
      <w:suff w:val="tab"/>
      <w:lvlText w:val="%1.%2.%3."/>
      <w:lvlJc w:val="left"/>
      <w:pPr>
        <w:ind w:left="720" w:hanging="720"/>
        <w:tabs>
          <w:tab w:val="num" w:pos="0" w:leader="none"/>
        </w:tabs>
      </w:pPr>
    </w:lvl>
    <w:lvl w:ilvl="3">
      <w:start w:val="1"/>
      <w:numFmt w:val="decimal"/>
      <w:isLgl w:val="false"/>
      <w:suff w:val="tab"/>
      <w:lvlText w:val="%1.%2.%3.%4."/>
      <w:lvlJc w:val="left"/>
      <w:pPr>
        <w:ind w:left="1080" w:hanging="1080"/>
        <w:tabs>
          <w:tab w:val="num" w:pos="0" w:leader="none"/>
        </w:tabs>
      </w:pPr>
    </w:lvl>
    <w:lvl w:ilvl="4">
      <w:start w:val="1"/>
      <w:numFmt w:val="decimal"/>
      <w:isLgl w:val="false"/>
      <w:suff w:val="tab"/>
      <w:lvlText w:val="%1.%2.%3.%4.%5."/>
      <w:lvlJc w:val="left"/>
      <w:pPr>
        <w:ind w:left="1080" w:hanging="1080"/>
        <w:tabs>
          <w:tab w:val="num" w:pos="0" w:leader="none"/>
        </w:tabs>
      </w:pPr>
    </w:lvl>
    <w:lvl w:ilvl="5">
      <w:start w:val="1"/>
      <w:numFmt w:val="decimal"/>
      <w:isLgl w:val="false"/>
      <w:suff w:val="tab"/>
      <w:lvlText w:val="%1.%2.%3.%4.%5.%6."/>
      <w:lvlJc w:val="left"/>
      <w:pPr>
        <w:ind w:left="1440" w:hanging="1440"/>
        <w:tabs>
          <w:tab w:val="num" w:pos="0" w:leader="none"/>
        </w:tabs>
      </w:pPr>
    </w:lvl>
    <w:lvl w:ilvl="6">
      <w:start w:val="1"/>
      <w:numFmt w:val="decimal"/>
      <w:isLgl w:val="false"/>
      <w:suff w:val="tab"/>
      <w:lvlText w:val="%1.%2.%3.%4.%5.%6.%7."/>
      <w:lvlJc w:val="left"/>
      <w:pPr>
        <w:ind w:left="1800" w:hanging="1800"/>
        <w:tabs>
          <w:tab w:val="num" w:pos="0" w:leader="none"/>
        </w:tabs>
      </w:pPr>
    </w:lvl>
    <w:lvl w:ilvl="7">
      <w:start w:val="1"/>
      <w:numFmt w:val="decimal"/>
      <w:isLgl w:val="false"/>
      <w:suff w:val="tab"/>
      <w:lvlText w:val="%1.%2.%3.%4.%5.%6.%7.%8."/>
      <w:lvlJc w:val="left"/>
      <w:pPr>
        <w:ind w:left="1800" w:hanging="1800"/>
        <w:tabs>
          <w:tab w:val="num" w:pos="0" w:leader="none"/>
        </w:tabs>
      </w:pPr>
    </w:lvl>
    <w:lvl w:ilvl="8">
      <w:start w:val="1"/>
      <w:numFmt w:val="decimal"/>
      <w:isLgl w:val="false"/>
      <w:suff w:val="tab"/>
      <w:lvlText w:val="%1.%2.%3.%4.%5.%6.%7.%8.%9."/>
      <w:lvlJc w:val="left"/>
      <w:pPr>
        <w:ind w:left="2160" w:hanging="2160"/>
        <w:tabs>
          <w:tab w:val="num" w:pos="0" w:leader="none"/>
        </w:tabs>
      </w:pPr>
    </w:lvl>
  </w:abstractNum>
  <w:abstractNum w:abstractNumId="2">
    <w:multiLevelType w:val="hybridMultilevel"/>
    <w:lvl w:ilvl="0">
      <w:start w:val="1"/>
      <w:numFmt w:val="bullet"/>
      <w:isLgl w:val="false"/>
      <w:suff w:val="tab"/>
      <w:lvlText w:val=""/>
      <w:lvlJc w:val="left"/>
      <w:pPr>
        <w:ind w:left="1429" w:hanging="360"/>
        <w:tabs>
          <w:tab w:val="num" w:pos="0" w:leader="none"/>
        </w:tabs>
      </w:pPr>
      <w:rPr>
        <w:rFonts w:hint="default" w:ascii="Symbol" w:hAnsi="Symbol" w:cs="Symbol"/>
      </w:rPr>
    </w:lvl>
    <w:lvl w:ilvl="1">
      <w:start w:val="1"/>
      <w:numFmt w:val="bullet"/>
      <w:isLgl w:val="false"/>
      <w:suff w:val="tab"/>
      <w:lvlText w:val="o"/>
      <w:lvlJc w:val="left"/>
      <w:pPr>
        <w:ind w:left="2149" w:hanging="360"/>
        <w:tabs>
          <w:tab w:val="num" w:pos="0" w:leader="none"/>
        </w:tabs>
      </w:pPr>
      <w:rPr>
        <w:rFonts w:hint="default" w:ascii="Times New Roman" w:hAnsi="Times New Roman" w:cs="Times New Roman"/>
      </w:rPr>
    </w:lvl>
    <w:lvl w:ilvl="2">
      <w:start w:val="1"/>
      <w:numFmt w:val="bullet"/>
      <w:isLgl w:val="false"/>
      <w:suff w:val="tab"/>
      <w:lvlText w:val=""/>
      <w:lvlJc w:val="left"/>
      <w:pPr>
        <w:ind w:left="2869" w:hanging="360"/>
        <w:tabs>
          <w:tab w:val="num" w:pos="0" w:leader="none"/>
        </w:tabs>
      </w:pPr>
      <w:rPr>
        <w:rFonts w:hint="default" w:ascii="Wingdings" w:hAnsi="Wingdings" w:cs="Wingdings"/>
      </w:rPr>
    </w:lvl>
    <w:lvl w:ilvl="3">
      <w:start w:val="1"/>
      <w:numFmt w:val="bullet"/>
      <w:isLgl w:val="false"/>
      <w:suff w:val="tab"/>
      <w:lvlText w:val=""/>
      <w:lvlJc w:val="left"/>
      <w:pPr>
        <w:ind w:left="3589" w:hanging="360"/>
        <w:tabs>
          <w:tab w:val="num" w:pos="0" w:leader="none"/>
        </w:tabs>
      </w:pPr>
      <w:rPr>
        <w:rFonts w:hint="default" w:ascii="Symbol" w:hAnsi="Symbol" w:cs="Symbol"/>
      </w:rPr>
    </w:lvl>
    <w:lvl w:ilvl="4">
      <w:start w:val="1"/>
      <w:numFmt w:val="bullet"/>
      <w:isLgl w:val="false"/>
      <w:suff w:val="tab"/>
      <w:lvlText w:val="o"/>
      <w:lvlJc w:val="left"/>
      <w:pPr>
        <w:ind w:left="4309" w:hanging="360"/>
        <w:tabs>
          <w:tab w:val="num" w:pos="0" w:leader="none"/>
        </w:tabs>
      </w:pPr>
      <w:rPr>
        <w:rFonts w:hint="default" w:ascii="Times New Roman" w:hAnsi="Times New Roman" w:cs="Times New Roman"/>
      </w:rPr>
    </w:lvl>
    <w:lvl w:ilvl="5">
      <w:start w:val="1"/>
      <w:numFmt w:val="bullet"/>
      <w:isLgl w:val="false"/>
      <w:suff w:val="tab"/>
      <w:lvlText w:val=""/>
      <w:lvlJc w:val="left"/>
      <w:pPr>
        <w:ind w:left="5029" w:hanging="360"/>
        <w:tabs>
          <w:tab w:val="num" w:pos="0" w:leader="none"/>
        </w:tabs>
      </w:pPr>
      <w:rPr>
        <w:rFonts w:hint="default" w:ascii="Wingdings" w:hAnsi="Wingdings" w:cs="Wingdings"/>
      </w:rPr>
    </w:lvl>
    <w:lvl w:ilvl="6">
      <w:start w:val="1"/>
      <w:numFmt w:val="bullet"/>
      <w:isLgl w:val="false"/>
      <w:suff w:val="tab"/>
      <w:lvlText w:val=""/>
      <w:lvlJc w:val="left"/>
      <w:pPr>
        <w:ind w:left="5749" w:hanging="360"/>
        <w:tabs>
          <w:tab w:val="num" w:pos="0" w:leader="none"/>
        </w:tabs>
      </w:pPr>
      <w:rPr>
        <w:rFonts w:hint="default" w:ascii="Symbol" w:hAnsi="Symbol" w:cs="Symbol"/>
      </w:rPr>
    </w:lvl>
    <w:lvl w:ilvl="7">
      <w:start w:val="1"/>
      <w:numFmt w:val="bullet"/>
      <w:isLgl w:val="false"/>
      <w:suff w:val="tab"/>
      <w:lvlText w:val="o"/>
      <w:lvlJc w:val="left"/>
      <w:pPr>
        <w:ind w:left="6469" w:hanging="360"/>
        <w:tabs>
          <w:tab w:val="num" w:pos="0" w:leader="none"/>
        </w:tabs>
      </w:pPr>
      <w:rPr>
        <w:rFonts w:hint="default" w:ascii="Times New Roman" w:hAnsi="Times New Roman" w:cs="Times New Roman"/>
      </w:rPr>
    </w:lvl>
    <w:lvl w:ilvl="8">
      <w:start w:val="1"/>
      <w:numFmt w:val="bullet"/>
      <w:isLgl w:val="false"/>
      <w:suff w:val="tab"/>
      <w:lvlText w:val=""/>
      <w:lvlJc w:val="left"/>
      <w:pPr>
        <w:ind w:left="7189" w:hanging="360"/>
        <w:tabs>
          <w:tab w:val="num" w:pos="0" w:leader="none"/>
        </w:tabs>
      </w:pPr>
      <w:rPr>
        <w:rFonts w:hint="default" w:ascii="Wingdings" w:hAnsi="Wingdings" w:cs="Wingdings"/>
      </w:rPr>
    </w:lvl>
  </w:abstractNum>
  <w:abstractNum w:abstractNumId="3">
    <w:multiLevelType w:val="hybridMultilevel"/>
    <w:lvl w:ilvl="0">
      <w:start w:val="1"/>
      <w:numFmt w:val="bullet"/>
      <w:isLgl w:val="false"/>
      <w:suff w:val="tab"/>
      <w:lvlText w:val="·"/>
      <w:lvlJc w:val="left"/>
      <w:pPr>
        <w:ind w:left="720" w:hanging="360"/>
        <w:tabs>
          <w:tab w:val="num" w:pos="0" w:leader="none"/>
        </w:tabs>
      </w:pPr>
      <w:rPr>
        <w:rFonts w:hint="default" w:ascii="Symbol" w:hAnsi="Symbol" w:cs="Symbol"/>
      </w:rPr>
    </w:lvl>
    <w:lvl w:ilvl="1">
      <w:start w:val="1"/>
      <w:numFmt w:val="bullet"/>
      <w:isLgl w:val="false"/>
      <w:suff w:val="tab"/>
      <w:lvlText w:val="o"/>
      <w:lvlJc w:val="left"/>
      <w:pPr>
        <w:ind w:left="1440" w:hanging="360"/>
        <w:tabs>
          <w:tab w:val="num" w:pos="0" w:leader="none"/>
        </w:tabs>
      </w:pPr>
      <w:rPr>
        <w:rFonts w:hint="default" w:ascii="Times New Roman" w:hAnsi="Times New Roman" w:cs="Times New Roman"/>
      </w:rPr>
    </w:lvl>
    <w:lvl w:ilvl="2">
      <w:start w:val="1"/>
      <w:numFmt w:val="bullet"/>
      <w:isLgl w:val="false"/>
      <w:suff w:val="tab"/>
      <w:lvlText w:val="§"/>
      <w:lvlJc w:val="left"/>
      <w:pPr>
        <w:ind w:left="2160" w:hanging="360"/>
        <w:tabs>
          <w:tab w:val="num" w:pos="0" w:leader="none"/>
        </w:tabs>
      </w:pPr>
      <w:rPr>
        <w:rFonts w:hint="default" w:ascii="Wingdings" w:hAnsi="Wingdings" w:cs="Wingdings"/>
      </w:rPr>
    </w:lvl>
    <w:lvl w:ilvl="3">
      <w:start w:val="1"/>
      <w:numFmt w:val="bullet"/>
      <w:isLgl w:val="false"/>
      <w:suff w:val="tab"/>
      <w:lvlText w:val="·"/>
      <w:lvlJc w:val="left"/>
      <w:pPr>
        <w:ind w:left="2880" w:hanging="360"/>
        <w:tabs>
          <w:tab w:val="num" w:pos="0" w:leader="none"/>
        </w:tabs>
      </w:pPr>
      <w:rPr>
        <w:rFonts w:hint="default" w:ascii="Symbol" w:hAnsi="Symbol" w:cs="Symbol"/>
      </w:rPr>
    </w:lvl>
    <w:lvl w:ilvl="4">
      <w:start w:val="1"/>
      <w:numFmt w:val="bullet"/>
      <w:isLgl w:val="false"/>
      <w:suff w:val="tab"/>
      <w:lvlText w:val="o"/>
      <w:lvlJc w:val="left"/>
      <w:pPr>
        <w:ind w:left="3600" w:hanging="360"/>
        <w:tabs>
          <w:tab w:val="num" w:pos="0" w:leader="none"/>
        </w:tabs>
      </w:pPr>
      <w:rPr>
        <w:rFonts w:hint="default" w:ascii="Times New Roman" w:hAnsi="Times New Roman" w:cs="Times New Roman"/>
      </w:rPr>
    </w:lvl>
    <w:lvl w:ilvl="5">
      <w:start w:val="1"/>
      <w:numFmt w:val="bullet"/>
      <w:isLgl w:val="false"/>
      <w:suff w:val="tab"/>
      <w:lvlText w:val="§"/>
      <w:lvlJc w:val="left"/>
      <w:pPr>
        <w:ind w:left="4320" w:hanging="360"/>
        <w:tabs>
          <w:tab w:val="num" w:pos="0" w:leader="none"/>
        </w:tabs>
      </w:pPr>
      <w:rPr>
        <w:rFonts w:hint="default" w:ascii="Wingdings" w:hAnsi="Wingdings" w:cs="Wingdings"/>
      </w:rPr>
    </w:lvl>
    <w:lvl w:ilvl="6">
      <w:start w:val="1"/>
      <w:numFmt w:val="bullet"/>
      <w:isLgl w:val="false"/>
      <w:suff w:val="tab"/>
      <w:lvlText w:val="·"/>
      <w:lvlJc w:val="left"/>
      <w:pPr>
        <w:ind w:left="5040" w:hanging="360"/>
        <w:tabs>
          <w:tab w:val="num" w:pos="0" w:leader="none"/>
        </w:tabs>
      </w:pPr>
      <w:rPr>
        <w:rFonts w:hint="default" w:ascii="Symbol" w:hAnsi="Symbol" w:cs="Symbol"/>
      </w:rPr>
    </w:lvl>
    <w:lvl w:ilvl="7">
      <w:start w:val="1"/>
      <w:numFmt w:val="bullet"/>
      <w:isLgl w:val="false"/>
      <w:suff w:val="tab"/>
      <w:lvlText w:val="o"/>
      <w:lvlJc w:val="left"/>
      <w:pPr>
        <w:ind w:left="5760" w:hanging="360"/>
        <w:tabs>
          <w:tab w:val="num" w:pos="0" w:leader="none"/>
        </w:tabs>
      </w:pPr>
      <w:rPr>
        <w:rFonts w:hint="default" w:ascii="Times New Roman" w:hAnsi="Times New Roman" w:cs="Times New Roman"/>
      </w:rPr>
    </w:lvl>
    <w:lvl w:ilvl="8">
      <w:start w:val="1"/>
      <w:numFmt w:val="bullet"/>
      <w:isLgl w:val="false"/>
      <w:suff w:val="tab"/>
      <w:lvlText w:val="§"/>
      <w:lvlJc w:val="left"/>
      <w:pPr>
        <w:ind w:left="6480" w:hanging="360"/>
        <w:tabs>
          <w:tab w:val="num" w:pos="0" w:leader="none"/>
        </w:tabs>
      </w:pPr>
      <w:rPr>
        <w:rFonts w:hint="default" w:ascii="Wingdings" w:hAnsi="Wingdings" w:cs="Wingdings"/>
      </w:rPr>
    </w:lvl>
  </w:abstractNum>
  <w:abstractNum w:abstractNumId="4">
    <w:multiLevelType w:val="hybridMultilevel"/>
    <w:lvl w:ilvl="0">
      <w:start w:val="1"/>
      <w:numFmt w:val="bullet"/>
      <w:isLgl w:val="false"/>
      <w:suff w:val="tab"/>
      <w:lvlText w:val=""/>
      <w:lvlJc w:val="left"/>
      <w:pPr>
        <w:ind w:left="6740" w:hanging="360"/>
        <w:tabs>
          <w:tab w:val="num" w:pos="0" w:leader="none"/>
        </w:tabs>
      </w:pPr>
      <w:rPr>
        <w:rFonts w:hint="default" w:ascii="Symbol" w:hAnsi="Symbol" w:cs="Symbol"/>
      </w:rPr>
    </w:lvl>
    <w:lvl w:ilvl="1">
      <w:start w:val="1"/>
      <w:numFmt w:val="bullet"/>
      <w:isLgl w:val="false"/>
      <w:suff w:val="tab"/>
      <w:lvlText w:val="o"/>
      <w:lvlJc w:val="left"/>
      <w:pPr>
        <w:ind w:left="2149" w:hanging="360"/>
        <w:tabs>
          <w:tab w:val="num" w:pos="0" w:leader="none"/>
        </w:tabs>
      </w:pPr>
      <w:rPr>
        <w:rFonts w:hint="default" w:ascii="Times New Roman" w:hAnsi="Times New Roman" w:cs="Times New Roman"/>
      </w:rPr>
    </w:lvl>
    <w:lvl w:ilvl="2">
      <w:start w:val="1"/>
      <w:numFmt w:val="bullet"/>
      <w:isLgl w:val="false"/>
      <w:suff w:val="tab"/>
      <w:lvlText w:val=""/>
      <w:lvlJc w:val="left"/>
      <w:pPr>
        <w:ind w:left="2869" w:hanging="360"/>
        <w:tabs>
          <w:tab w:val="num" w:pos="0" w:leader="none"/>
        </w:tabs>
      </w:pPr>
      <w:rPr>
        <w:rFonts w:hint="default" w:ascii="Wingdings" w:hAnsi="Wingdings" w:cs="Wingdings"/>
      </w:rPr>
    </w:lvl>
    <w:lvl w:ilvl="3">
      <w:start w:val="1"/>
      <w:numFmt w:val="bullet"/>
      <w:isLgl w:val="false"/>
      <w:suff w:val="tab"/>
      <w:lvlText w:val=""/>
      <w:lvlJc w:val="left"/>
      <w:pPr>
        <w:ind w:left="3589" w:hanging="360"/>
        <w:tabs>
          <w:tab w:val="num" w:pos="0" w:leader="none"/>
        </w:tabs>
      </w:pPr>
      <w:rPr>
        <w:rFonts w:hint="default" w:ascii="Symbol" w:hAnsi="Symbol" w:cs="Symbol"/>
      </w:rPr>
    </w:lvl>
    <w:lvl w:ilvl="4">
      <w:start w:val="1"/>
      <w:numFmt w:val="bullet"/>
      <w:isLgl w:val="false"/>
      <w:suff w:val="tab"/>
      <w:lvlText w:val="o"/>
      <w:lvlJc w:val="left"/>
      <w:pPr>
        <w:ind w:left="4309" w:hanging="360"/>
        <w:tabs>
          <w:tab w:val="num" w:pos="0" w:leader="none"/>
        </w:tabs>
      </w:pPr>
      <w:rPr>
        <w:rFonts w:hint="default" w:ascii="Times New Roman" w:hAnsi="Times New Roman" w:cs="Times New Roman"/>
      </w:rPr>
    </w:lvl>
    <w:lvl w:ilvl="5">
      <w:start w:val="1"/>
      <w:numFmt w:val="bullet"/>
      <w:isLgl w:val="false"/>
      <w:suff w:val="tab"/>
      <w:lvlText w:val=""/>
      <w:lvlJc w:val="left"/>
      <w:pPr>
        <w:ind w:left="5029" w:hanging="360"/>
        <w:tabs>
          <w:tab w:val="num" w:pos="0" w:leader="none"/>
        </w:tabs>
      </w:pPr>
      <w:rPr>
        <w:rFonts w:hint="default" w:ascii="Wingdings" w:hAnsi="Wingdings" w:cs="Wingdings"/>
      </w:rPr>
    </w:lvl>
    <w:lvl w:ilvl="6">
      <w:start w:val="1"/>
      <w:numFmt w:val="bullet"/>
      <w:isLgl w:val="false"/>
      <w:suff w:val="tab"/>
      <w:lvlText w:val=""/>
      <w:lvlJc w:val="left"/>
      <w:pPr>
        <w:ind w:left="5749" w:hanging="360"/>
        <w:tabs>
          <w:tab w:val="num" w:pos="0" w:leader="none"/>
        </w:tabs>
      </w:pPr>
      <w:rPr>
        <w:rFonts w:hint="default" w:ascii="Symbol" w:hAnsi="Symbol" w:cs="Symbol"/>
      </w:rPr>
    </w:lvl>
    <w:lvl w:ilvl="7">
      <w:start w:val="1"/>
      <w:numFmt w:val="bullet"/>
      <w:isLgl w:val="false"/>
      <w:suff w:val="tab"/>
      <w:lvlText w:val="o"/>
      <w:lvlJc w:val="left"/>
      <w:pPr>
        <w:ind w:left="6469" w:hanging="360"/>
        <w:tabs>
          <w:tab w:val="num" w:pos="0" w:leader="none"/>
        </w:tabs>
      </w:pPr>
      <w:rPr>
        <w:rFonts w:hint="default" w:ascii="Times New Roman" w:hAnsi="Times New Roman" w:cs="Times New Roman"/>
      </w:rPr>
    </w:lvl>
    <w:lvl w:ilvl="8">
      <w:start w:val="1"/>
      <w:numFmt w:val="bullet"/>
      <w:isLgl w:val="false"/>
      <w:suff w:val="tab"/>
      <w:lvlText w:val=""/>
      <w:lvlJc w:val="left"/>
      <w:pPr>
        <w:ind w:left="7189" w:hanging="360"/>
        <w:tabs>
          <w:tab w:val="num" w:pos="0" w:leader="none"/>
        </w:tabs>
      </w:pPr>
      <w:rPr>
        <w:rFonts w:hint="default" w:ascii="Wingdings" w:hAnsi="Wingdings" w:cs="Wingdings"/>
      </w:rPr>
    </w:lvl>
  </w:abstractNum>
  <w:abstractNum w:abstractNumId="5">
    <w:multiLevelType w:val="hybridMultilevel"/>
    <w:lvl w:ilvl="0">
      <w:start w:val="1"/>
      <w:numFmt w:val="bullet"/>
      <w:isLgl w:val="false"/>
      <w:suff w:val="tab"/>
      <w:lvlText w:val=""/>
      <w:lvlJc w:val="left"/>
      <w:pPr>
        <w:ind w:left="6740" w:hanging="360"/>
        <w:tabs>
          <w:tab w:val="num" w:pos="0" w:leader="none"/>
        </w:tabs>
      </w:pPr>
      <w:rPr>
        <w:rFonts w:hint="default" w:ascii="Symbol" w:hAnsi="Symbol" w:cs="Symbol"/>
      </w:rPr>
    </w:lvl>
    <w:lvl w:ilvl="1">
      <w:start w:val="1"/>
      <w:numFmt w:val="bullet"/>
      <w:isLgl w:val="false"/>
      <w:suff w:val="tab"/>
      <w:lvlText w:val="o"/>
      <w:lvlJc w:val="left"/>
      <w:pPr>
        <w:ind w:left="2149" w:hanging="360"/>
        <w:tabs>
          <w:tab w:val="num" w:pos="0" w:leader="none"/>
        </w:tabs>
      </w:pPr>
      <w:rPr>
        <w:rFonts w:hint="default" w:ascii="Times New Roman" w:hAnsi="Times New Roman" w:cs="Times New Roman"/>
      </w:rPr>
    </w:lvl>
    <w:lvl w:ilvl="2">
      <w:start w:val="1"/>
      <w:numFmt w:val="bullet"/>
      <w:isLgl w:val="false"/>
      <w:suff w:val="tab"/>
      <w:lvlText w:val=""/>
      <w:lvlJc w:val="left"/>
      <w:pPr>
        <w:ind w:left="2869" w:hanging="360"/>
        <w:tabs>
          <w:tab w:val="num" w:pos="0" w:leader="none"/>
        </w:tabs>
      </w:pPr>
      <w:rPr>
        <w:rFonts w:hint="default" w:ascii="Wingdings" w:hAnsi="Wingdings" w:cs="Wingdings"/>
      </w:rPr>
    </w:lvl>
    <w:lvl w:ilvl="3">
      <w:start w:val="1"/>
      <w:numFmt w:val="bullet"/>
      <w:isLgl w:val="false"/>
      <w:suff w:val="tab"/>
      <w:lvlText w:val=""/>
      <w:lvlJc w:val="left"/>
      <w:pPr>
        <w:ind w:left="3589" w:hanging="360"/>
        <w:tabs>
          <w:tab w:val="num" w:pos="0" w:leader="none"/>
        </w:tabs>
      </w:pPr>
      <w:rPr>
        <w:rFonts w:hint="default" w:ascii="Symbol" w:hAnsi="Symbol" w:cs="Symbol"/>
      </w:rPr>
    </w:lvl>
    <w:lvl w:ilvl="4">
      <w:start w:val="1"/>
      <w:numFmt w:val="bullet"/>
      <w:isLgl w:val="false"/>
      <w:suff w:val="tab"/>
      <w:lvlText w:val="o"/>
      <w:lvlJc w:val="left"/>
      <w:pPr>
        <w:ind w:left="4309" w:hanging="360"/>
        <w:tabs>
          <w:tab w:val="num" w:pos="0" w:leader="none"/>
        </w:tabs>
      </w:pPr>
      <w:rPr>
        <w:rFonts w:hint="default" w:ascii="Times New Roman" w:hAnsi="Times New Roman" w:cs="Times New Roman"/>
      </w:rPr>
    </w:lvl>
    <w:lvl w:ilvl="5">
      <w:start w:val="1"/>
      <w:numFmt w:val="bullet"/>
      <w:isLgl w:val="false"/>
      <w:suff w:val="tab"/>
      <w:lvlText w:val=""/>
      <w:lvlJc w:val="left"/>
      <w:pPr>
        <w:ind w:left="5029" w:hanging="360"/>
        <w:tabs>
          <w:tab w:val="num" w:pos="0" w:leader="none"/>
        </w:tabs>
      </w:pPr>
      <w:rPr>
        <w:rFonts w:hint="default" w:ascii="Wingdings" w:hAnsi="Wingdings" w:cs="Wingdings"/>
      </w:rPr>
    </w:lvl>
    <w:lvl w:ilvl="6">
      <w:start w:val="1"/>
      <w:numFmt w:val="bullet"/>
      <w:isLgl w:val="false"/>
      <w:suff w:val="tab"/>
      <w:lvlText w:val=""/>
      <w:lvlJc w:val="left"/>
      <w:pPr>
        <w:ind w:left="5749" w:hanging="360"/>
        <w:tabs>
          <w:tab w:val="num" w:pos="0" w:leader="none"/>
        </w:tabs>
      </w:pPr>
      <w:rPr>
        <w:rFonts w:hint="default" w:ascii="Symbol" w:hAnsi="Symbol" w:cs="Symbol"/>
      </w:rPr>
    </w:lvl>
    <w:lvl w:ilvl="7">
      <w:start w:val="1"/>
      <w:numFmt w:val="bullet"/>
      <w:isLgl w:val="false"/>
      <w:suff w:val="tab"/>
      <w:lvlText w:val="o"/>
      <w:lvlJc w:val="left"/>
      <w:pPr>
        <w:ind w:left="6469" w:hanging="360"/>
        <w:tabs>
          <w:tab w:val="num" w:pos="0" w:leader="none"/>
        </w:tabs>
      </w:pPr>
      <w:rPr>
        <w:rFonts w:hint="default" w:ascii="Times New Roman" w:hAnsi="Times New Roman" w:cs="Times New Roman"/>
      </w:rPr>
    </w:lvl>
    <w:lvl w:ilvl="8">
      <w:start w:val="1"/>
      <w:numFmt w:val="bullet"/>
      <w:isLgl w:val="false"/>
      <w:suff w:val="tab"/>
      <w:lvlText w:val=""/>
      <w:lvlJc w:val="left"/>
      <w:pPr>
        <w:ind w:left="7189" w:hanging="360"/>
        <w:tabs>
          <w:tab w:val="num" w:pos="0" w:leader="none"/>
        </w:tabs>
      </w:pPr>
      <w:rPr>
        <w:rFonts w:hint="default" w:ascii="Wingdings" w:hAnsi="Wingdings" w:cs="Wingdings"/>
      </w:rPr>
    </w:lvl>
  </w:abstractNum>
  <w:abstractNum w:abstractNumId="6">
    <w:multiLevelType w:val="hybridMultilevel"/>
    <w:lvl w:ilvl="0">
      <w:start w:val="1"/>
      <w:numFmt w:val="bullet"/>
      <w:isLgl w:val="false"/>
      <w:suff w:val="tab"/>
      <w:lvlText w:val=""/>
      <w:lvlJc w:val="left"/>
      <w:pPr>
        <w:ind w:left="1429" w:hanging="360"/>
        <w:tabs>
          <w:tab w:val="num" w:pos="0" w:leader="none"/>
        </w:tabs>
      </w:pPr>
      <w:rPr>
        <w:rFonts w:hint="default" w:ascii="Symbol" w:hAnsi="Symbol" w:cs="Symbol"/>
      </w:rPr>
    </w:lvl>
    <w:lvl w:ilvl="1">
      <w:start w:val="1"/>
      <w:numFmt w:val="bullet"/>
      <w:isLgl w:val="false"/>
      <w:suff w:val="tab"/>
      <w:lvlText w:val="o"/>
      <w:lvlJc w:val="left"/>
      <w:pPr>
        <w:ind w:left="2149" w:hanging="360"/>
        <w:tabs>
          <w:tab w:val="num" w:pos="0" w:leader="none"/>
        </w:tabs>
      </w:pPr>
      <w:rPr>
        <w:rFonts w:hint="default" w:ascii="Times New Roman" w:hAnsi="Times New Roman" w:cs="Times New Roman"/>
      </w:rPr>
    </w:lvl>
    <w:lvl w:ilvl="2">
      <w:start w:val="1"/>
      <w:numFmt w:val="bullet"/>
      <w:isLgl w:val="false"/>
      <w:suff w:val="tab"/>
      <w:lvlText w:val=""/>
      <w:lvlJc w:val="left"/>
      <w:pPr>
        <w:ind w:left="2869" w:hanging="360"/>
        <w:tabs>
          <w:tab w:val="num" w:pos="0" w:leader="none"/>
        </w:tabs>
      </w:pPr>
      <w:rPr>
        <w:rFonts w:hint="default" w:ascii="Wingdings" w:hAnsi="Wingdings" w:cs="Wingdings"/>
      </w:rPr>
    </w:lvl>
    <w:lvl w:ilvl="3">
      <w:start w:val="1"/>
      <w:numFmt w:val="bullet"/>
      <w:isLgl w:val="false"/>
      <w:suff w:val="tab"/>
      <w:lvlText w:val=""/>
      <w:lvlJc w:val="left"/>
      <w:pPr>
        <w:ind w:left="3589" w:hanging="360"/>
        <w:tabs>
          <w:tab w:val="num" w:pos="0" w:leader="none"/>
        </w:tabs>
      </w:pPr>
      <w:rPr>
        <w:rFonts w:hint="default" w:ascii="Symbol" w:hAnsi="Symbol" w:cs="Symbol"/>
      </w:rPr>
    </w:lvl>
    <w:lvl w:ilvl="4">
      <w:start w:val="1"/>
      <w:numFmt w:val="bullet"/>
      <w:isLgl w:val="false"/>
      <w:suff w:val="tab"/>
      <w:lvlText w:val="o"/>
      <w:lvlJc w:val="left"/>
      <w:pPr>
        <w:ind w:left="4309" w:hanging="360"/>
        <w:tabs>
          <w:tab w:val="num" w:pos="0" w:leader="none"/>
        </w:tabs>
      </w:pPr>
      <w:rPr>
        <w:rFonts w:hint="default" w:ascii="Times New Roman" w:hAnsi="Times New Roman" w:cs="Times New Roman"/>
      </w:rPr>
    </w:lvl>
    <w:lvl w:ilvl="5">
      <w:start w:val="1"/>
      <w:numFmt w:val="bullet"/>
      <w:isLgl w:val="false"/>
      <w:suff w:val="tab"/>
      <w:lvlText w:val=""/>
      <w:lvlJc w:val="left"/>
      <w:pPr>
        <w:ind w:left="5029" w:hanging="360"/>
        <w:tabs>
          <w:tab w:val="num" w:pos="0" w:leader="none"/>
        </w:tabs>
      </w:pPr>
      <w:rPr>
        <w:rFonts w:hint="default" w:ascii="Wingdings" w:hAnsi="Wingdings" w:cs="Wingdings"/>
      </w:rPr>
    </w:lvl>
    <w:lvl w:ilvl="6">
      <w:start w:val="1"/>
      <w:numFmt w:val="bullet"/>
      <w:isLgl w:val="false"/>
      <w:suff w:val="tab"/>
      <w:lvlText w:val=""/>
      <w:lvlJc w:val="left"/>
      <w:pPr>
        <w:ind w:left="5749" w:hanging="360"/>
        <w:tabs>
          <w:tab w:val="num" w:pos="0" w:leader="none"/>
        </w:tabs>
      </w:pPr>
      <w:rPr>
        <w:rFonts w:hint="default" w:ascii="Symbol" w:hAnsi="Symbol" w:cs="Symbol"/>
      </w:rPr>
    </w:lvl>
    <w:lvl w:ilvl="7">
      <w:start w:val="1"/>
      <w:numFmt w:val="bullet"/>
      <w:isLgl w:val="false"/>
      <w:suff w:val="tab"/>
      <w:lvlText w:val="o"/>
      <w:lvlJc w:val="left"/>
      <w:pPr>
        <w:ind w:left="6469" w:hanging="360"/>
        <w:tabs>
          <w:tab w:val="num" w:pos="0" w:leader="none"/>
        </w:tabs>
      </w:pPr>
      <w:rPr>
        <w:rFonts w:hint="default" w:ascii="Times New Roman" w:hAnsi="Times New Roman" w:cs="Times New Roman"/>
      </w:rPr>
    </w:lvl>
    <w:lvl w:ilvl="8">
      <w:start w:val="1"/>
      <w:numFmt w:val="bullet"/>
      <w:isLgl w:val="false"/>
      <w:suff w:val="tab"/>
      <w:lvlText w:val=""/>
      <w:lvlJc w:val="left"/>
      <w:pPr>
        <w:ind w:left="7189" w:hanging="360"/>
        <w:tabs>
          <w:tab w:val="num" w:pos="0" w:leader="none"/>
        </w:tabs>
      </w:pPr>
      <w:rPr>
        <w:rFonts w:hint="default" w:ascii="Wingdings" w:hAnsi="Wingdings" w:cs="Wingdings"/>
      </w:rPr>
    </w:lvl>
  </w:abstractNum>
  <w:abstractNum w:abstractNumId="7">
    <w:multiLevelType w:val="hybridMultilevel"/>
    <w:lvl w:ilvl="0">
      <w:start w:val="1"/>
      <w:numFmt w:val="bullet"/>
      <w:isLgl w:val="false"/>
      <w:suff w:val="tab"/>
      <w:lvlText w:val="·"/>
      <w:lvlJc w:val="left"/>
      <w:pPr>
        <w:ind w:left="720" w:hanging="360"/>
        <w:tabs>
          <w:tab w:val="num" w:pos="0" w:leader="none"/>
        </w:tabs>
      </w:pPr>
      <w:rPr>
        <w:rFonts w:hint="default" w:ascii="Symbol" w:hAnsi="Symbol" w:cs="Symbol"/>
      </w:rPr>
    </w:lvl>
    <w:lvl w:ilvl="1">
      <w:start w:val="1"/>
      <w:numFmt w:val="bullet"/>
      <w:isLgl w:val="false"/>
      <w:suff w:val="tab"/>
      <w:lvlText w:val="o"/>
      <w:lvlJc w:val="left"/>
      <w:pPr>
        <w:ind w:left="1440" w:hanging="360"/>
        <w:tabs>
          <w:tab w:val="num" w:pos="0" w:leader="none"/>
        </w:tabs>
      </w:pPr>
      <w:rPr>
        <w:rFonts w:hint="default" w:ascii="Times New Roman" w:hAnsi="Times New Roman" w:cs="Times New Roman"/>
      </w:rPr>
    </w:lvl>
    <w:lvl w:ilvl="2">
      <w:start w:val="1"/>
      <w:numFmt w:val="bullet"/>
      <w:isLgl w:val="false"/>
      <w:suff w:val="tab"/>
      <w:lvlText w:val="§"/>
      <w:lvlJc w:val="left"/>
      <w:pPr>
        <w:ind w:left="2160" w:hanging="360"/>
        <w:tabs>
          <w:tab w:val="num" w:pos="0" w:leader="none"/>
        </w:tabs>
      </w:pPr>
      <w:rPr>
        <w:rFonts w:hint="default" w:ascii="Wingdings" w:hAnsi="Wingdings" w:cs="Wingdings"/>
      </w:rPr>
    </w:lvl>
    <w:lvl w:ilvl="3">
      <w:start w:val="1"/>
      <w:numFmt w:val="bullet"/>
      <w:isLgl w:val="false"/>
      <w:suff w:val="tab"/>
      <w:lvlText w:val="·"/>
      <w:lvlJc w:val="left"/>
      <w:pPr>
        <w:ind w:left="2880" w:hanging="360"/>
        <w:tabs>
          <w:tab w:val="num" w:pos="0" w:leader="none"/>
        </w:tabs>
      </w:pPr>
      <w:rPr>
        <w:rFonts w:hint="default" w:ascii="Symbol" w:hAnsi="Symbol" w:cs="Symbol"/>
      </w:rPr>
    </w:lvl>
    <w:lvl w:ilvl="4">
      <w:start w:val="1"/>
      <w:numFmt w:val="bullet"/>
      <w:isLgl w:val="false"/>
      <w:suff w:val="tab"/>
      <w:lvlText w:val="o"/>
      <w:lvlJc w:val="left"/>
      <w:pPr>
        <w:ind w:left="3600" w:hanging="360"/>
        <w:tabs>
          <w:tab w:val="num" w:pos="0" w:leader="none"/>
        </w:tabs>
      </w:pPr>
      <w:rPr>
        <w:rFonts w:hint="default" w:ascii="Times New Roman" w:hAnsi="Times New Roman" w:cs="Times New Roman"/>
      </w:rPr>
    </w:lvl>
    <w:lvl w:ilvl="5">
      <w:start w:val="1"/>
      <w:numFmt w:val="bullet"/>
      <w:isLgl w:val="false"/>
      <w:suff w:val="tab"/>
      <w:lvlText w:val="§"/>
      <w:lvlJc w:val="left"/>
      <w:pPr>
        <w:ind w:left="4320" w:hanging="360"/>
        <w:tabs>
          <w:tab w:val="num" w:pos="0" w:leader="none"/>
        </w:tabs>
      </w:pPr>
      <w:rPr>
        <w:rFonts w:hint="default" w:ascii="Wingdings" w:hAnsi="Wingdings" w:cs="Wingdings"/>
      </w:rPr>
    </w:lvl>
    <w:lvl w:ilvl="6">
      <w:start w:val="1"/>
      <w:numFmt w:val="bullet"/>
      <w:isLgl w:val="false"/>
      <w:suff w:val="tab"/>
      <w:lvlText w:val="·"/>
      <w:lvlJc w:val="left"/>
      <w:pPr>
        <w:ind w:left="5040" w:hanging="360"/>
        <w:tabs>
          <w:tab w:val="num" w:pos="0" w:leader="none"/>
        </w:tabs>
      </w:pPr>
      <w:rPr>
        <w:rFonts w:hint="default" w:ascii="Symbol" w:hAnsi="Symbol" w:cs="Symbol"/>
      </w:rPr>
    </w:lvl>
    <w:lvl w:ilvl="7">
      <w:start w:val="1"/>
      <w:numFmt w:val="bullet"/>
      <w:isLgl w:val="false"/>
      <w:suff w:val="tab"/>
      <w:lvlText w:val="o"/>
      <w:lvlJc w:val="left"/>
      <w:pPr>
        <w:ind w:left="5760" w:hanging="360"/>
        <w:tabs>
          <w:tab w:val="num" w:pos="0" w:leader="none"/>
        </w:tabs>
      </w:pPr>
      <w:rPr>
        <w:rFonts w:hint="default" w:ascii="Times New Roman" w:hAnsi="Times New Roman" w:cs="Times New Roman"/>
      </w:rPr>
    </w:lvl>
    <w:lvl w:ilvl="8">
      <w:start w:val="1"/>
      <w:numFmt w:val="bullet"/>
      <w:isLgl w:val="false"/>
      <w:suff w:val="tab"/>
      <w:lvlText w:val="§"/>
      <w:lvlJc w:val="left"/>
      <w:pPr>
        <w:ind w:left="6480" w:hanging="360"/>
        <w:tabs>
          <w:tab w:val="num" w:pos="0" w:leader="none"/>
        </w:tabs>
      </w:pPr>
      <w:rPr>
        <w:rFonts w:hint="default" w:ascii="Wingdings" w:hAnsi="Wingdings" w:cs="Wingdings"/>
      </w:rPr>
    </w:lvl>
  </w:abstractNum>
  <w:abstractNum w:abstractNumId="8">
    <w:multiLevelType w:val="hybridMultilevel"/>
    <w:lvl w:ilvl="0">
      <w:start w:val="1"/>
      <w:numFmt w:val="bullet"/>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9">
    <w:multiLevelType w:val="hybridMultilevel"/>
    <w:lvl w:ilvl="0">
      <w:start w:val="1"/>
      <w:numFmt w:val="bullet"/>
      <w:isLgl w:val="false"/>
      <w:suff w:val="tab"/>
      <w:lvlText w:val="–"/>
      <w:lvlJc w:val="left"/>
      <w:pPr>
        <w:ind w:left="1287" w:hanging="360"/>
        <w:tabs>
          <w:tab w:val="num" w:pos="0" w:leader="none"/>
        </w:tabs>
      </w:pPr>
      <w:rPr>
        <w:rFonts w:hint="default" w:ascii="Times New Roman" w:hAnsi="Times New Roman" w:cs="Times New Roman"/>
      </w:rPr>
    </w:lvl>
    <w:lvl w:ilvl="1">
      <w:start w:val="1"/>
      <w:numFmt w:val="bullet"/>
      <w:isLgl w:val="false"/>
      <w:suff w:val="tab"/>
      <w:lvlText w:val="o"/>
      <w:lvlJc w:val="left"/>
      <w:pPr>
        <w:ind w:left="2007" w:hanging="360"/>
        <w:tabs>
          <w:tab w:val="num" w:pos="0" w:leader="none"/>
        </w:tabs>
      </w:pPr>
      <w:rPr>
        <w:rFonts w:hint="default" w:ascii="Times New Roman" w:hAnsi="Times New Roman" w:cs="Times New Roman"/>
      </w:rPr>
    </w:lvl>
    <w:lvl w:ilvl="2">
      <w:start w:val="1"/>
      <w:numFmt w:val="bullet"/>
      <w:isLgl w:val="false"/>
      <w:suff w:val="tab"/>
      <w:lvlText w:val=""/>
      <w:lvlJc w:val="left"/>
      <w:pPr>
        <w:ind w:left="2727" w:hanging="360"/>
        <w:tabs>
          <w:tab w:val="num" w:pos="0" w:leader="none"/>
        </w:tabs>
      </w:pPr>
      <w:rPr>
        <w:rFonts w:hint="default" w:ascii="Wingdings" w:hAnsi="Wingdings" w:cs="Wingdings"/>
      </w:rPr>
    </w:lvl>
    <w:lvl w:ilvl="3">
      <w:start w:val="1"/>
      <w:numFmt w:val="bullet"/>
      <w:isLgl w:val="false"/>
      <w:suff w:val="tab"/>
      <w:lvlText w:val=""/>
      <w:lvlJc w:val="left"/>
      <w:pPr>
        <w:ind w:left="3447" w:hanging="360"/>
        <w:tabs>
          <w:tab w:val="num" w:pos="0" w:leader="none"/>
        </w:tabs>
      </w:pPr>
      <w:rPr>
        <w:rFonts w:hint="default" w:ascii="Symbol" w:hAnsi="Symbol" w:cs="Symbol"/>
      </w:rPr>
    </w:lvl>
    <w:lvl w:ilvl="4">
      <w:start w:val="1"/>
      <w:numFmt w:val="bullet"/>
      <w:isLgl w:val="false"/>
      <w:suff w:val="tab"/>
      <w:lvlText w:val="o"/>
      <w:lvlJc w:val="left"/>
      <w:pPr>
        <w:ind w:left="4167" w:hanging="360"/>
        <w:tabs>
          <w:tab w:val="num" w:pos="0" w:leader="none"/>
        </w:tabs>
      </w:pPr>
      <w:rPr>
        <w:rFonts w:hint="default" w:ascii="Times New Roman" w:hAnsi="Times New Roman" w:cs="Times New Roman"/>
      </w:rPr>
    </w:lvl>
    <w:lvl w:ilvl="5">
      <w:start w:val="1"/>
      <w:numFmt w:val="bullet"/>
      <w:isLgl w:val="false"/>
      <w:suff w:val="tab"/>
      <w:lvlText w:val=""/>
      <w:lvlJc w:val="left"/>
      <w:pPr>
        <w:ind w:left="4887" w:hanging="360"/>
        <w:tabs>
          <w:tab w:val="num" w:pos="0" w:leader="none"/>
        </w:tabs>
      </w:pPr>
      <w:rPr>
        <w:rFonts w:hint="default" w:ascii="Wingdings" w:hAnsi="Wingdings" w:cs="Wingdings"/>
      </w:rPr>
    </w:lvl>
    <w:lvl w:ilvl="6">
      <w:start w:val="1"/>
      <w:numFmt w:val="bullet"/>
      <w:isLgl w:val="false"/>
      <w:suff w:val="tab"/>
      <w:lvlText w:val=""/>
      <w:lvlJc w:val="left"/>
      <w:pPr>
        <w:ind w:left="5607" w:hanging="360"/>
        <w:tabs>
          <w:tab w:val="num" w:pos="0" w:leader="none"/>
        </w:tabs>
      </w:pPr>
      <w:rPr>
        <w:rFonts w:hint="default" w:ascii="Symbol" w:hAnsi="Symbol" w:cs="Symbol"/>
      </w:rPr>
    </w:lvl>
    <w:lvl w:ilvl="7">
      <w:start w:val="1"/>
      <w:numFmt w:val="bullet"/>
      <w:isLgl w:val="false"/>
      <w:suff w:val="tab"/>
      <w:lvlText w:val="o"/>
      <w:lvlJc w:val="left"/>
      <w:pPr>
        <w:ind w:left="6327" w:hanging="360"/>
        <w:tabs>
          <w:tab w:val="num" w:pos="0" w:leader="none"/>
        </w:tabs>
      </w:pPr>
      <w:rPr>
        <w:rFonts w:hint="default" w:ascii="Times New Roman" w:hAnsi="Times New Roman" w:cs="Times New Roman"/>
      </w:rPr>
    </w:lvl>
    <w:lvl w:ilvl="8">
      <w:start w:val="1"/>
      <w:numFmt w:val="bullet"/>
      <w:isLgl w:val="false"/>
      <w:suff w:val="tab"/>
      <w:lvlText w:val=""/>
      <w:lvlJc w:val="left"/>
      <w:pPr>
        <w:ind w:left="7046" w:hanging="360"/>
        <w:tabs>
          <w:tab w:val="num" w:pos="0" w:leader="none"/>
        </w:tabs>
      </w:pPr>
      <w:rPr>
        <w:rFonts w:hint="default" w:ascii="Wingdings" w:hAnsi="Wingdings" w:cs="Wingdings"/>
      </w:rPr>
    </w:lvl>
  </w:abstractNum>
  <w:abstractNum w:abstractNumId="10">
    <w:multiLevelType w:val="hybridMultilevel"/>
    <w:lvl w:ilvl="0">
      <w:start w:val="1"/>
      <w:numFmt w:val="bullet"/>
      <w:isLgl w:val="false"/>
      <w:suff w:val="tab"/>
      <w:lvlText w:val=""/>
      <w:lvlJc w:val="left"/>
      <w:pPr>
        <w:ind w:left="1440" w:hanging="360"/>
        <w:tabs>
          <w:tab w:val="num" w:pos="0" w:leader="none"/>
        </w:tabs>
      </w:pPr>
      <w:rPr>
        <w:rFonts w:hint="default" w:ascii="Symbol" w:hAnsi="Symbol" w:cs="Symbol"/>
      </w:rPr>
    </w:lvl>
    <w:lvl w:ilvl="1">
      <w:start w:val="1"/>
      <w:numFmt w:val="bullet"/>
      <w:isLgl w:val="false"/>
      <w:suff w:val="tab"/>
      <w:lvlText w:val="o"/>
      <w:lvlJc w:val="left"/>
      <w:pPr>
        <w:ind w:left="2160" w:hanging="360"/>
        <w:tabs>
          <w:tab w:val="num" w:pos="0" w:leader="none"/>
        </w:tabs>
      </w:pPr>
      <w:rPr>
        <w:rFonts w:hint="default" w:ascii="Times New Roman" w:hAnsi="Times New Roman" w:cs="Times New Roman"/>
      </w:rPr>
    </w:lvl>
    <w:lvl w:ilvl="2">
      <w:start w:val="1"/>
      <w:numFmt w:val="bullet"/>
      <w:isLgl w:val="false"/>
      <w:suff w:val="tab"/>
      <w:lvlText w:val=""/>
      <w:lvlJc w:val="left"/>
      <w:pPr>
        <w:ind w:left="2880" w:hanging="360"/>
        <w:tabs>
          <w:tab w:val="num" w:pos="0" w:leader="none"/>
        </w:tabs>
      </w:pPr>
      <w:rPr>
        <w:rFonts w:hint="default" w:ascii="Wingdings" w:hAnsi="Wingdings" w:cs="Wingdings"/>
      </w:rPr>
    </w:lvl>
    <w:lvl w:ilvl="3">
      <w:start w:val="1"/>
      <w:numFmt w:val="bullet"/>
      <w:isLgl w:val="false"/>
      <w:suff w:val="tab"/>
      <w:lvlText w:val=""/>
      <w:lvlJc w:val="left"/>
      <w:pPr>
        <w:ind w:left="3600" w:hanging="360"/>
        <w:tabs>
          <w:tab w:val="num" w:pos="0" w:leader="none"/>
        </w:tabs>
      </w:pPr>
      <w:rPr>
        <w:rFonts w:hint="default" w:ascii="Symbol" w:hAnsi="Symbol" w:cs="Symbol"/>
      </w:rPr>
    </w:lvl>
    <w:lvl w:ilvl="4">
      <w:start w:val="1"/>
      <w:numFmt w:val="bullet"/>
      <w:isLgl w:val="false"/>
      <w:suff w:val="tab"/>
      <w:lvlText w:val="o"/>
      <w:lvlJc w:val="left"/>
      <w:pPr>
        <w:ind w:left="4320" w:hanging="360"/>
        <w:tabs>
          <w:tab w:val="num" w:pos="0" w:leader="none"/>
        </w:tabs>
      </w:pPr>
      <w:rPr>
        <w:rFonts w:hint="default" w:ascii="Times New Roman" w:hAnsi="Times New Roman" w:cs="Times New Roman"/>
      </w:rPr>
    </w:lvl>
    <w:lvl w:ilvl="5">
      <w:start w:val="1"/>
      <w:numFmt w:val="bullet"/>
      <w:isLgl w:val="false"/>
      <w:suff w:val="tab"/>
      <w:lvlText w:val=""/>
      <w:lvlJc w:val="left"/>
      <w:pPr>
        <w:ind w:left="5040" w:hanging="360"/>
        <w:tabs>
          <w:tab w:val="num" w:pos="0" w:leader="none"/>
        </w:tabs>
      </w:pPr>
      <w:rPr>
        <w:rFonts w:hint="default" w:ascii="Wingdings" w:hAnsi="Wingdings" w:cs="Wingdings"/>
      </w:rPr>
    </w:lvl>
    <w:lvl w:ilvl="6">
      <w:start w:val="1"/>
      <w:numFmt w:val="bullet"/>
      <w:isLgl w:val="false"/>
      <w:suff w:val="tab"/>
      <w:lvlText w:val=""/>
      <w:lvlJc w:val="left"/>
      <w:pPr>
        <w:ind w:left="5760" w:hanging="360"/>
        <w:tabs>
          <w:tab w:val="num" w:pos="0" w:leader="none"/>
        </w:tabs>
      </w:pPr>
      <w:rPr>
        <w:rFonts w:hint="default" w:ascii="Symbol" w:hAnsi="Symbol" w:cs="Symbol"/>
      </w:rPr>
    </w:lvl>
    <w:lvl w:ilvl="7">
      <w:start w:val="1"/>
      <w:numFmt w:val="bullet"/>
      <w:isLgl w:val="false"/>
      <w:suff w:val="tab"/>
      <w:lvlText w:val="o"/>
      <w:lvlJc w:val="left"/>
      <w:pPr>
        <w:ind w:left="6480" w:hanging="360"/>
        <w:tabs>
          <w:tab w:val="num" w:pos="0" w:leader="none"/>
        </w:tabs>
      </w:pPr>
      <w:rPr>
        <w:rFonts w:hint="default" w:ascii="Times New Roman" w:hAnsi="Times New Roman" w:cs="Times New Roman"/>
      </w:rPr>
    </w:lvl>
    <w:lvl w:ilvl="8">
      <w:start w:val="1"/>
      <w:numFmt w:val="bullet"/>
      <w:isLgl w:val="false"/>
      <w:suff w:val="tab"/>
      <w:lvlText w:val=""/>
      <w:lvlJc w:val="left"/>
      <w:pPr>
        <w:ind w:left="7200" w:hanging="360"/>
        <w:tabs>
          <w:tab w:val="num" w:pos="0" w:leader="none"/>
        </w:tabs>
      </w:pPr>
      <w:rPr>
        <w:rFonts w:hint="default" w:ascii="Wingdings" w:hAnsi="Wingdings" w:cs="Wingdings"/>
      </w:rPr>
    </w:lvl>
  </w:abstractNum>
  <w:abstractNum w:abstractNumId="11">
    <w:multiLevelType w:val="hybridMultilevel"/>
    <w:lvl w:ilvl="0">
      <w:start w:val="5"/>
      <w:numFmt w:val="decimal"/>
      <w:isLgl w:val="false"/>
      <w:suff w:val="tab"/>
      <w:lvlText w:val="%1."/>
      <w:lvlJc w:val="left"/>
      <w:pPr>
        <w:ind w:left="450" w:hanging="450"/>
        <w:tabs>
          <w:tab w:val="num" w:pos="0" w:leader="none"/>
        </w:tabs>
      </w:pPr>
    </w:lvl>
    <w:lvl w:ilvl="1">
      <w:start w:val="1"/>
      <w:numFmt w:val="decimal"/>
      <w:isLgl w:val="false"/>
      <w:suff w:val="tab"/>
      <w:lvlText w:val="%1.%2."/>
      <w:lvlJc w:val="left"/>
      <w:pPr>
        <w:ind w:left="720" w:hanging="720"/>
        <w:tabs>
          <w:tab w:val="num" w:pos="0" w:leader="none"/>
        </w:tabs>
      </w:pPr>
      <w:rPr>
        <w:rFonts w:ascii="Arial Narrow" w:hAnsi="Arial Narrow"/>
        <w:b/>
        <w:color w:val="365f91" w:themeColor="accent1" w:themeShade="BF"/>
        <w:sz w:val="24"/>
        <w:szCs w:val="24"/>
      </w:rPr>
    </w:lvl>
    <w:lvl w:ilvl="2">
      <w:start w:val="1"/>
      <w:numFmt w:val="decimal"/>
      <w:isLgl w:val="false"/>
      <w:suff w:val="tab"/>
      <w:lvlText w:val="%1.%2.%3."/>
      <w:lvlJc w:val="left"/>
      <w:pPr>
        <w:ind w:left="720" w:hanging="720"/>
        <w:tabs>
          <w:tab w:val="num" w:pos="0" w:leader="none"/>
        </w:tabs>
      </w:pPr>
    </w:lvl>
    <w:lvl w:ilvl="3">
      <w:start w:val="1"/>
      <w:numFmt w:val="decimal"/>
      <w:isLgl w:val="false"/>
      <w:suff w:val="tab"/>
      <w:lvlText w:val="%1.%2.%3.%4."/>
      <w:lvlJc w:val="left"/>
      <w:pPr>
        <w:ind w:left="1080" w:hanging="1080"/>
        <w:tabs>
          <w:tab w:val="num" w:pos="0" w:leader="none"/>
        </w:tabs>
      </w:pPr>
    </w:lvl>
    <w:lvl w:ilvl="4">
      <w:start w:val="1"/>
      <w:numFmt w:val="decimal"/>
      <w:isLgl w:val="false"/>
      <w:suff w:val="tab"/>
      <w:lvlText w:val="%1.%2.%3.%4.%5."/>
      <w:lvlJc w:val="left"/>
      <w:pPr>
        <w:ind w:left="1080" w:hanging="1080"/>
        <w:tabs>
          <w:tab w:val="num" w:pos="0" w:leader="none"/>
        </w:tabs>
      </w:pPr>
    </w:lvl>
    <w:lvl w:ilvl="5">
      <w:start w:val="1"/>
      <w:numFmt w:val="decimal"/>
      <w:isLgl w:val="false"/>
      <w:suff w:val="tab"/>
      <w:lvlText w:val="%1.%2.%3.%4.%5.%6."/>
      <w:lvlJc w:val="left"/>
      <w:pPr>
        <w:ind w:left="1440" w:hanging="1440"/>
        <w:tabs>
          <w:tab w:val="num" w:pos="0" w:leader="none"/>
        </w:tabs>
      </w:pPr>
    </w:lvl>
    <w:lvl w:ilvl="6">
      <w:start w:val="1"/>
      <w:numFmt w:val="decimal"/>
      <w:isLgl w:val="false"/>
      <w:suff w:val="tab"/>
      <w:lvlText w:val="%1.%2.%3.%4.%5.%6.%7."/>
      <w:lvlJc w:val="left"/>
      <w:pPr>
        <w:ind w:left="1800" w:hanging="1800"/>
        <w:tabs>
          <w:tab w:val="num" w:pos="0" w:leader="none"/>
        </w:tabs>
      </w:pPr>
    </w:lvl>
    <w:lvl w:ilvl="7">
      <w:start w:val="1"/>
      <w:numFmt w:val="decimal"/>
      <w:isLgl w:val="false"/>
      <w:suff w:val="tab"/>
      <w:lvlText w:val="%1.%2.%3.%4.%5.%6.%7.%8."/>
      <w:lvlJc w:val="left"/>
      <w:pPr>
        <w:ind w:left="1800" w:hanging="1800"/>
        <w:tabs>
          <w:tab w:val="num" w:pos="0" w:leader="none"/>
        </w:tabs>
      </w:pPr>
    </w:lvl>
    <w:lvl w:ilvl="8">
      <w:start w:val="1"/>
      <w:numFmt w:val="decimal"/>
      <w:isLgl w:val="false"/>
      <w:suff w:val="tab"/>
      <w:lvlText w:val="%1.%2.%3.%4.%5.%6.%7.%8.%9."/>
      <w:lvlJc w:val="left"/>
      <w:pPr>
        <w:ind w:left="2160" w:hanging="2160"/>
        <w:tabs>
          <w:tab w:val="num" w:pos="0" w:leader="none"/>
        </w:tabs>
      </w:pPr>
    </w:lvl>
  </w:abstractNum>
  <w:abstractNum w:abstractNumId="12">
    <w:multiLevelType w:val="hybridMultilevel"/>
    <w:lvl w:ilvl="0">
      <w:start w:val="1"/>
      <w:numFmt w:val="decimal"/>
      <w:isLgl w:val="false"/>
      <w:suff w:val="tab"/>
      <w:lvlText w:val="%1."/>
      <w:lvlJc w:val="left"/>
      <w:pPr>
        <w:ind w:left="1287" w:hanging="360"/>
        <w:tabs>
          <w:tab w:val="num" w:pos="0" w:leader="none"/>
        </w:tabs>
      </w:pPr>
    </w:lvl>
    <w:lvl w:ilvl="1">
      <w:start w:val="1"/>
      <w:numFmt w:val="lowerLetter"/>
      <w:isLgl w:val="false"/>
      <w:suff w:val="tab"/>
      <w:lvlText w:val="%2."/>
      <w:lvlJc w:val="left"/>
      <w:pPr>
        <w:ind w:left="2007" w:hanging="360"/>
        <w:tabs>
          <w:tab w:val="num" w:pos="0" w:leader="none"/>
        </w:tabs>
      </w:pPr>
    </w:lvl>
    <w:lvl w:ilvl="2">
      <w:start w:val="1"/>
      <w:numFmt w:val="lowerRoman"/>
      <w:isLgl w:val="false"/>
      <w:suff w:val="tab"/>
      <w:lvlText w:val="%3."/>
      <w:lvlJc w:val="right"/>
      <w:pPr>
        <w:ind w:left="2727" w:hanging="180"/>
        <w:tabs>
          <w:tab w:val="num" w:pos="0" w:leader="none"/>
        </w:tabs>
      </w:pPr>
    </w:lvl>
    <w:lvl w:ilvl="3">
      <w:start w:val="1"/>
      <w:numFmt w:val="decimal"/>
      <w:isLgl w:val="false"/>
      <w:suff w:val="tab"/>
      <w:lvlText w:val="%4."/>
      <w:lvlJc w:val="left"/>
      <w:pPr>
        <w:ind w:left="3447" w:hanging="360"/>
        <w:tabs>
          <w:tab w:val="num" w:pos="0" w:leader="none"/>
        </w:tabs>
      </w:pPr>
    </w:lvl>
    <w:lvl w:ilvl="4">
      <w:start w:val="1"/>
      <w:numFmt w:val="lowerLetter"/>
      <w:isLgl w:val="false"/>
      <w:suff w:val="tab"/>
      <w:lvlText w:val="%5."/>
      <w:lvlJc w:val="left"/>
      <w:pPr>
        <w:ind w:left="4167" w:hanging="360"/>
        <w:tabs>
          <w:tab w:val="num" w:pos="0" w:leader="none"/>
        </w:tabs>
      </w:pPr>
    </w:lvl>
    <w:lvl w:ilvl="5">
      <w:start w:val="1"/>
      <w:numFmt w:val="lowerRoman"/>
      <w:isLgl w:val="false"/>
      <w:suff w:val="tab"/>
      <w:lvlText w:val="%6."/>
      <w:lvlJc w:val="right"/>
      <w:pPr>
        <w:ind w:left="4887" w:hanging="180"/>
        <w:tabs>
          <w:tab w:val="num" w:pos="0" w:leader="none"/>
        </w:tabs>
      </w:pPr>
    </w:lvl>
    <w:lvl w:ilvl="6">
      <w:start w:val="1"/>
      <w:numFmt w:val="decimal"/>
      <w:isLgl w:val="false"/>
      <w:suff w:val="tab"/>
      <w:lvlText w:val="%7."/>
      <w:lvlJc w:val="left"/>
      <w:pPr>
        <w:ind w:left="5607" w:hanging="360"/>
        <w:tabs>
          <w:tab w:val="num" w:pos="0" w:leader="none"/>
        </w:tabs>
      </w:pPr>
    </w:lvl>
    <w:lvl w:ilvl="7">
      <w:start w:val="1"/>
      <w:numFmt w:val="lowerLetter"/>
      <w:pStyle w:val="1072"/>
      <w:isLgl w:val="false"/>
      <w:suff w:val="tab"/>
      <w:lvlText w:val="%8."/>
      <w:lvlJc w:val="left"/>
      <w:pPr>
        <w:ind w:left="6327" w:hanging="360"/>
        <w:tabs>
          <w:tab w:val="num" w:pos="0" w:leader="none"/>
        </w:tabs>
      </w:pPr>
    </w:lvl>
    <w:lvl w:ilvl="8">
      <w:start w:val="1"/>
      <w:numFmt w:val="lowerRoman"/>
      <w:isLgl w:val="false"/>
      <w:suff w:val="tab"/>
      <w:lvlText w:val="%9."/>
      <w:lvlJc w:val="right"/>
      <w:pPr>
        <w:ind w:left="7046" w:hanging="180"/>
        <w:tabs>
          <w:tab w:val="num" w:pos="0" w:leader="none"/>
        </w:tabs>
      </w:pPr>
    </w:lvl>
  </w:abstractNum>
  <w:abstractNum w:abstractNumId="13">
    <w:multiLevelType w:val="hybridMultilevel"/>
    <w:lvl w:ilvl="0">
      <w:start w:val="1"/>
      <w:numFmt w:val="bullet"/>
      <w:isLgl w:val="false"/>
      <w:suff w:val="tab"/>
      <w:lvlText w:val="·"/>
      <w:lvlJc w:val="left"/>
      <w:pPr>
        <w:ind w:left="720" w:hanging="360"/>
        <w:tabs>
          <w:tab w:val="num" w:pos="0" w:leader="none"/>
        </w:tabs>
      </w:pPr>
      <w:rPr>
        <w:rFonts w:hint="default" w:ascii="Symbol" w:hAnsi="Symbol" w:cs="Symbol"/>
      </w:rPr>
    </w:lvl>
    <w:lvl w:ilvl="1">
      <w:start w:val="1"/>
      <w:numFmt w:val="bullet"/>
      <w:isLgl w:val="false"/>
      <w:suff w:val="tab"/>
      <w:lvlText w:val="o"/>
      <w:lvlJc w:val="left"/>
      <w:pPr>
        <w:ind w:left="1440" w:hanging="360"/>
        <w:tabs>
          <w:tab w:val="num" w:pos="0" w:leader="none"/>
        </w:tabs>
      </w:pPr>
      <w:rPr>
        <w:rFonts w:hint="default" w:ascii="Times New Roman" w:hAnsi="Times New Roman" w:cs="Times New Roman"/>
      </w:rPr>
    </w:lvl>
    <w:lvl w:ilvl="2">
      <w:start w:val="1"/>
      <w:numFmt w:val="bullet"/>
      <w:isLgl w:val="false"/>
      <w:suff w:val="tab"/>
      <w:lvlText w:val="§"/>
      <w:lvlJc w:val="left"/>
      <w:pPr>
        <w:ind w:left="2160" w:hanging="360"/>
        <w:tabs>
          <w:tab w:val="num" w:pos="0" w:leader="none"/>
        </w:tabs>
      </w:pPr>
      <w:rPr>
        <w:rFonts w:hint="default" w:ascii="Wingdings" w:hAnsi="Wingdings" w:cs="Wingdings"/>
      </w:rPr>
    </w:lvl>
    <w:lvl w:ilvl="3">
      <w:start w:val="1"/>
      <w:numFmt w:val="bullet"/>
      <w:isLgl w:val="false"/>
      <w:suff w:val="tab"/>
      <w:lvlText w:val="·"/>
      <w:lvlJc w:val="left"/>
      <w:pPr>
        <w:ind w:left="2880" w:hanging="360"/>
        <w:tabs>
          <w:tab w:val="num" w:pos="0" w:leader="none"/>
        </w:tabs>
      </w:pPr>
      <w:rPr>
        <w:rFonts w:hint="default" w:ascii="Symbol" w:hAnsi="Symbol" w:cs="Symbol"/>
      </w:rPr>
    </w:lvl>
    <w:lvl w:ilvl="4">
      <w:start w:val="1"/>
      <w:numFmt w:val="bullet"/>
      <w:isLgl w:val="false"/>
      <w:suff w:val="tab"/>
      <w:lvlText w:val="o"/>
      <w:lvlJc w:val="left"/>
      <w:pPr>
        <w:ind w:left="3600" w:hanging="360"/>
        <w:tabs>
          <w:tab w:val="num" w:pos="0" w:leader="none"/>
        </w:tabs>
      </w:pPr>
      <w:rPr>
        <w:rFonts w:hint="default" w:ascii="Times New Roman" w:hAnsi="Times New Roman" w:cs="Times New Roman"/>
      </w:rPr>
    </w:lvl>
    <w:lvl w:ilvl="5">
      <w:start w:val="1"/>
      <w:numFmt w:val="bullet"/>
      <w:isLgl w:val="false"/>
      <w:suff w:val="tab"/>
      <w:lvlText w:val="§"/>
      <w:lvlJc w:val="left"/>
      <w:pPr>
        <w:ind w:left="4320" w:hanging="360"/>
        <w:tabs>
          <w:tab w:val="num" w:pos="0" w:leader="none"/>
        </w:tabs>
      </w:pPr>
      <w:rPr>
        <w:rFonts w:hint="default" w:ascii="Wingdings" w:hAnsi="Wingdings" w:cs="Wingdings"/>
      </w:rPr>
    </w:lvl>
    <w:lvl w:ilvl="6">
      <w:start w:val="1"/>
      <w:numFmt w:val="bullet"/>
      <w:isLgl w:val="false"/>
      <w:suff w:val="tab"/>
      <w:lvlText w:val="·"/>
      <w:lvlJc w:val="left"/>
      <w:pPr>
        <w:ind w:left="5040" w:hanging="360"/>
        <w:tabs>
          <w:tab w:val="num" w:pos="0" w:leader="none"/>
        </w:tabs>
      </w:pPr>
      <w:rPr>
        <w:rFonts w:hint="default" w:ascii="Symbol" w:hAnsi="Symbol" w:cs="Symbol"/>
      </w:rPr>
    </w:lvl>
    <w:lvl w:ilvl="7">
      <w:start w:val="1"/>
      <w:numFmt w:val="bullet"/>
      <w:isLgl w:val="false"/>
      <w:suff w:val="tab"/>
      <w:lvlText w:val="o"/>
      <w:lvlJc w:val="left"/>
      <w:pPr>
        <w:ind w:left="5760" w:hanging="360"/>
        <w:tabs>
          <w:tab w:val="num" w:pos="0" w:leader="none"/>
        </w:tabs>
      </w:pPr>
      <w:rPr>
        <w:rFonts w:hint="default" w:ascii="Times New Roman" w:hAnsi="Times New Roman" w:cs="Times New Roman"/>
      </w:rPr>
    </w:lvl>
    <w:lvl w:ilvl="8">
      <w:start w:val="1"/>
      <w:numFmt w:val="bullet"/>
      <w:isLgl w:val="false"/>
      <w:suff w:val="tab"/>
      <w:lvlText w:val="§"/>
      <w:lvlJc w:val="left"/>
      <w:pPr>
        <w:ind w:left="6480" w:hanging="360"/>
        <w:tabs>
          <w:tab w:val="num" w:pos="0" w:leader="none"/>
        </w:tabs>
      </w:pPr>
      <w:rPr>
        <w:rFonts w:hint="default" w:ascii="Wingdings" w:hAnsi="Wingdings" w:cs="Wingdings"/>
      </w:rPr>
    </w:lvl>
  </w:abstractNum>
  <w:abstractNum w:abstractNumId="14">
    <w:multiLevelType w:val="hybridMultilevel"/>
    <w:lvl w:ilvl="0">
      <w:start w:val="1"/>
      <w:numFmt w:val="decimal"/>
      <w:isLgl w:val="false"/>
      <w:suff w:val="tab"/>
      <w:lvlText w:val="%1."/>
      <w:lvlJc w:val="left"/>
      <w:pPr>
        <w:ind w:left="1287" w:hanging="360"/>
        <w:tabs>
          <w:tab w:val="num" w:pos="0" w:leader="none"/>
        </w:tabs>
      </w:pPr>
    </w:lvl>
    <w:lvl w:ilvl="1">
      <w:start w:val="1"/>
      <w:numFmt w:val="lowerLetter"/>
      <w:isLgl w:val="false"/>
      <w:suff w:val="tab"/>
      <w:lvlText w:val="%2."/>
      <w:lvlJc w:val="left"/>
      <w:pPr>
        <w:ind w:left="2007" w:hanging="360"/>
        <w:tabs>
          <w:tab w:val="num" w:pos="0" w:leader="none"/>
        </w:tabs>
      </w:pPr>
    </w:lvl>
    <w:lvl w:ilvl="2">
      <w:start w:val="1"/>
      <w:numFmt w:val="lowerRoman"/>
      <w:isLgl w:val="false"/>
      <w:suff w:val="tab"/>
      <w:lvlText w:val="%3."/>
      <w:lvlJc w:val="right"/>
      <w:pPr>
        <w:ind w:left="2727" w:hanging="180"/>
        <w:tabs>
          <w:tab w:val="num" w:pos="0" w:leader="none"/>
        </w:tabs>
      </w:pPr>
    </w:lvl>
    <w:lvl w:ilvl="3">
      <w:start w:val="1"/>
      <w:numFmt w:val="decimal"/>
      <w:isLgl w:val="false"/>
      <w:suff w:val="tab"/>
      <w:lvlText w:val="%4."/>
      <w:lvlJc w:val="left"/>
      <w:pPr>
        <w:ind w:left="3447" w:hanging="360"/>
        <w:tabs>
          <w:tab w:val="num" w:pos="0" w:leader="none"/>
        </w:tabs>
      </w:pPr>
    </w:lvl>
    <w:lvl w:ilvl="4">
      <w:start w:val="1"/>
      <w:numFmt w:val="lowerLetter"/>
      <w:isLgl w:val="false"/>
      <w:suff w:val="tab"/>
      <w:lvlText w:val="%5."/>
      <w:lvlJc w:val="left"/>
      <w:pPr>
        <w:ind w:left="4167" w:hanging="360"/>
        <w:tabs>
          <w:tab w:val="num" w:pos="0" w:leader="none"/>
        </w:tabs>
      </w:pPr>
    </w:lvl>
    <w:lvl w:ilvl="5">
      <w:start w:val="1"/>
      <w:numFmt w:val="lowerRoman"/>
      <w:isLgl w:val="false"/>
      <w:suff w:val="tab"/>
      <w:lvlText w:val="%6."/>
      <w:lvlJc w:val="right"/>
      <w:pPr>
        <w:ind w:left="4887" w:hanging="180"/>
        <w:tabs>
          <w:tab w:val="num" w:pos="0" w:leader="none"/>
        </w:tabs>
      </w:pPr>
    </w:lvl>
    <w:lvl w:ilvl="6">
      <w:start w:val="1"/>
      <w:numFmt w:val="decimal"/>
      <w:isLgl w:val="false"/>
      <w:suff w:val="tab"/>
      <w:lvlText w:val="%7."/>
      <w:lvlJc w:val="left"/>
      <w:pPr>
        <w:ind w:left="5607" w:hanging="360"/>
        <w:tabs>
          <w:tab w:val="num" w:pos="0" w:leader="none"/>
        </w:tabs>
      </w:pPr>
    </w:lvl>
    <w:lvl w:ilvl="7">
      <w:start w:val="1"/>
      <w:numFmt w:val="lowerLetter"/>
      <w:isLgl w:val="false"/>
      <w:suff w:val="tab"/>
      <w:lvlText w:val="%8."/>
      <w:lvlJc w:val="left"/>
      <w:pPr>
        <w:ind w:left="6327" w:hanging="360"/>
        <w:tabs>
          <w:tab w:val="num" w:pos="0" w:leader="none"/>
        </w:tabs>
      </w:pPr>
    </w:lvl>
    <w:lvl w:ilvl="8">
      <w:start w:val="1"/>
      <w:numFmt w:val="lowerRoman"/>
      <w:isLgl w:val="false"/>
      <w:suff w:val="tab"/>
      <w:lvlText w:val="%9."/>
      <w:lvlJc w:val="right"/>
      <w:pPr>
        <w:ind w:left="7046" w:hanging="180"/>
        <w:tabs>
          <w:tab w:val="num" w:pos="0" w:leader="none"/>
        </w:tabs>
      </w:pPr>
    </w:lvl>
  </w:abstractNum>
  <w:abstractNum w:abstractNumId="15">
    <w:multiLevelType w:val="hybridMultilevel"/>
    <w:lvl w:ilvl="0">
      <w:start w:val="1"/>
      <w:numFmt w:val="bullet"/>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16">
    <w:multiLevelType w:val="hybridMultilevel"/>
    <w:lvl w:ilvl="0">
      <w:start w:val="1"/>
      <w:numFmt w:val="bullet"/>
      <w:isLgl w:val="false"/>
      <w:suff w:val="tab"/>
      <w:lvlText w:val="–"/>
      <w:lvlJc w:val="left"/>
      <w:pPr>
        <w:ind w:left="720" w:hanging="360"/>
        <w:tabs>
          <w:tab w:val="num" w:pos="0" w:leader="none"/>
        </w:tabs>
      </w:pPr>
      <w:rPr>
        <w:rFonts w:hint="default" w:ascii="Times New Roman" w:hAnsi="Times New Roman" w:cs="Times New Roman"/>
      </w:rPr>
    </w:lvl>
    <w:lvl w:ilvl="1">
      <w:start w:val="1"/>
      <w:numFmt w:val="bullet"/>
      <w:isLgl w:val="false"/>
      <w:suff w:val="tab"/>
      <w:lvlText w:val="o"/>
      <w:lvlJc w:val="left"/>
      <w:pPr>
        <w:ind w:left="1440" w:hanging="360"/>
        <w:tabs>
          <w:tab w:val="num" w:pos="0" w:leader="none"/>
        </w:tabs>
      </w:pPr>
      <w:rPr>
        <w:rFonts w:hint="default" w:ascii="Times New Roman" w:hAnsi="Times New Roman" w:cs="Times New Roman"/>
      </w:rPr>
    </w:lvl>
    <w:lvl w:ilvl="2">
      <w:start w:val="1"/>
      <w:numFmt w:val="bullet"/>
      <w:isLgl w:val="false"/>
      <w:suff w:val="tab"/>
      <w:lvlText w:val="§"/>
      <w:lvlJc w:val="left"/>
      <w:pPr>
        <w:ind w:left="2160" w:hanging="360"/>
        <w:tabs>
          <w:tab w:val="num" w:pos="0" w:leader="none"/>
        </w:tabs>
      </w:pPr>
      <w:rPr>
        <w:rFonts w:hint="default" w:ascii="Wingdings" w:hAnsi="Wingdings" w:cs="Wingdings"/>
      </w:rPr>
    </w:lvl>
    <w:lvl w:ilvl="3">
      <w:start w:val="1"/>
      <w:numFmt w:val="bullet"/>
      <w:isLgl w:val="false"/>
      <w:suff w:val="tab"/>
      <w:lvlText w:val="·"/>
      <w:lvlJc w:val="left"/>
      <w:pPr>
        <w:ind w:left="2880" w:hanging="360"/>
        <w:tabs>
          <w:tab w:val="num" w:pos="0" w:leader="none"/>
        </w:tabs>
      </w:pPr>
      <w:rPr>
        <w:rFonts w:hint="default" w:ascii="Symbol" w:hAnsi="Symbol" w:cs="Symbol"/>
      </w:rPr>
    </w:lvl>
    <w:lvl w:ilvl="4">
      <w:start w:val="1"/>
      <w:numFmt w:val="bullet"/>
      <w:isLgl w:val="false"/>
      <w:suff w:val="tab"/>
      <w:lvlText w:val="o"/>
      <w:lvlJc w:val="left"/>
      <w:pPr>
        <w:ind w:left="3600" w:hanging="360"/>
        <w:tabs>
          <w:tab w:val="num" w:pos="0" w:leader="none"/>
        </w:tabs>
      </w:pPr>
      <w:rPr>
        <w:rFonts w:hint="default" w:ascii="Times New Roman" w:hAnsi="Times New Roman" w:cs="Times New Roman"/>
      </w:rPr>
    </w:lvl>
    <w:lvl w:ilvl="5">
      <w:start w:val="1"/>
      <w:numFmt w:val="bullet"/>
      <w:isLgl w:val="false"/>
      <w:suff w:val="tab"/>
      <w:lvlText w:val="§"/>
      <w:lvlJc w:val="left"/>
      <w:pPr>
        <w:ind w:left="4320" w:hanging="360"/>
        <w:tabs>
          <w:tab w:val="num" w:pos="0" w:leader="none"/>
        </w:tabs>
      </w:pPr>
      <w:rPr>
        <w:rFonts w:hint="default" w:ascii="Wingdings" w:hAnsi="Wingdings" w:cs="Wingdings"/>
      </w:rPr>
    </w:lvl>
    <w:lvl w:ilvl="6">
      <w:start w:val="1"/>
      <w:numFmt w:val="bullet"/>
      <w:isLgl w:val="false"/>
      <w:suff w:val="tab"/>
      <w:lvlText w:val="·"/>
      <w:lvlJc w:val="left"/>
      <w:pPr>
        <w:ind w:left="5040" w:hanging="360"/>
        <w:tabs>
          <w:tab w:val="num" w:pos="0" w:leader="none"/>
        </w:tabs>
      </w:pPr>
      <w:rPr>
        <w:rFonts w:hint="default" w:ascii="Symbol" w:hAnsi="Symbol" w:cs="Symbol"/>
      </w:rPr>
    </w:lvl>
    <w:lvl w:ilvl="7">
      <w:start w:val="1"/>
      <w:numFmt w:val="bullet"/>
      <w:isLgl w:val="false"/>
      <w:suff w:val="tab"/>
      <w:lvlText w:val="o"/>
      <w:lvlJc w:val="left"/>
      <w:pPr>
        <w:ind w:left="5760" w:hanging="360"/>
        <w:tabs>
          <w:tab w:val="num" w:pos="0" w:leader="none"/>
        </w:tabs>
      </w:pPr>
      <w:rPr>
        <w:rFonts w:hint="default" w:ascii="Times New Roman" w:hAnsi="Times New Roman" w:cs="Times New Roman"/>
      </w:rPr>
    </w:lvl>
    <w:lvl w:ilvl="8">
      <w:start w:val="1"/>
      <w:numFmt w:val="bullet"/>
      <w:isLgl w:val="false"/>
      <w:suff w:val="tab"/>
      <w:lvlText w:val="§"/>
      <w:lvlJc w:val="left"/>
      <w:pPr>
        <w:ind w:left="6480" w:hanging="360"/>
        <w:tabs>
          <w:tab w:val="num" w:pos="0" w:leader="none"/>
        </w:tabs>
      </w:pPr>
      <w:rPr>
        <w:rFonts w:hint="default" w:ascii="Wingdings" w:hAnsi="Wingdings" w:cs="Wingdings"/>
      </w:rPr>
    </w:lvl>
  </w:abstractNum>
  <w:abstractNum w:abstractNumId="17">
    <w:multiLevelType w:val="hybridMultilevel"/>
    <w:lvl w:ilvl="0">
      <w:start w:val="1"/>
      <w:numFmt w:val="decimal"/>
      <w:isLgl w:val="false"/>
      <w:suff w:val="tab"/>
      <w:lvlText w:val="%1."/>
      <w:lvlJc w:val="left"/>
      <w:pPr>
        <w:ind w:left="720" w:hanging="360"/>
        <w:tabs>
          <w:tab w:val="num" w:pos="0" w:leader="none"/>
        </w:tabs>
      </w:pPr>
    </w:lvl>
    <w:lvl w:ilvl="1">
      <w:start w:val="1"/>
      <w:numFmt w:val="lowerLetter"/>
      <w:isLgl w:val="false"/>
      <w:suff w:val="tab"/>
      <w:lvlText w:val="%2."/>
      <w:lvlJc w:val="left"/>
      <w:pPr>
        <w:ind w:left="1440" w:hanging="360"/>
        <w:tabs>
          <w:tab w:val="num" w:pos="0" w:leader="none"/>
        </w:tabs>
      </w:pPr>
    </w:lvl>
    <w:lvl w:ilvl="2">
      <w:start w:val="1"/>
      <w:numFmt w:val="lowerRoman"/>
      <w:isLgl w:val="false"/>
      <w:suff w:val="tab"/>
      <w:lvlText w:val="%3."/>
      <w:lvlJc w:val="right"/>
      <w:pPr>
        <w:ind w:left="2160" w:hanging="180"/>
        <w:tabs>
          <w:tab w:val="num" w:pos="0" w:leader="none"/>
        </w:tabs>
      </w:pPr>
    </w:lvl>
    <w:lvl w:ilvl="3">
      <w:start w:val="1"/>
      <w:numFmt w:val="decimal"/>
      <w:isLgl w:val="false"/>
      <w:suff w:val="tab"/>
      <w:lvlText w:val="%4."/>
      <w:lvlJc w:val="left"/>
      <w:pPr>
        <w:ind w:left="2880" w:hanging="360"/>
        <w:tabs>
          <w:tab w:val="num" w:pos="0" w:leader="none"/>
        </w:tabs>
      </w:pPr>
    </w:lvl>
    <w:lvl w:ilvl="4">
      <w:start w:val="1"/>
      <w:numFmt w:val="lowerLetter"/>
      <w:isLgl w:val="false"/>
      <w:suff w:val="tab"/>
      <w:lvlText w:val="%5."/>
      <w:lvlJc w:val="left"/>
      <w:pPr>
        <w:ind w:left="3600" w:hanging="360"/>
        <w:tabs>
          <w:tab w:val="num" w:pos="0" w:leader="none"/>
        </w:tabs>
      </w:pPr>
    </w:lvl>
    <w:lvl w:ilvl="5">
      <w:start w:val="1"/>
      <w:numFmt w:val="lowerRoman"/>
      <w:isLgl w:val="false"/>
      <w:suff w:val="tab"/>
      <w:lvlText w:val="%6."/>
      <w:lvlJc w:val="right"/>
      <w:pPr>
        <w:ind w:left="4320" w:hanging="180"/>
        <w:tabs>
          <w:tab w:val="num" w:pos="0" w:leader="none"/>
        </w:tabs>
      </w:pPr>
    </w:lvl>
    <w:lvl w:ilvl="6">
      <w:start w:val="1"/>
      <w:numFmt w:val="decimal"/>
      <w:isLgl w:val="false"/>
      <w:suff w:val="tab"/>
      <w:lvlText w:val="%7."/>
      <w:lvlJc w:val="left"/>
      <w:pPr>
        <w:ind w:left="5040" w:hanging="360"/>
        <w:tabs>
          <w:tab w:val="num" w:pos="0" w:leader="none"/>
        </w:tabs>
      </w:pPr>
    </w:lvl>
    <w:lvl w:ilvl="7">
      <w:start w:val="1"/>
      <w:numFmt w:val="lowerLetter"/>
      <w:isLgl w:val="false"/>
      <w:suff w:val="tab"/>
      <w:lvlText w:val="%8."/>
      <w:lvlJc w:val="left"/>
      <w:pPr>
        <w:ind w:left="5760" w:hanging="360"/>
        <w:tabs>
          <w:tab w:val="num" w:pos="0" w:leader="none"/>
        </w:tabs>
      </w:pPr>
    </w:lvl>
    <w:lvl w:ilvl="8">
      <w:start w:val="1"/>
      <w:numFmt w:val="lowerRoman"/>
      <w:isLgl w:val="false"/>
      <w:suff w:val="tab"/>
      <w:lvlText w:val="%9."/>
      <w:lvlJc w:val="right"/>
      <w:pPr>
        <w:ind w:left="6480" w:hanging="180"/>
        <w:tabs>
          <w:tab w:val="num" w:pos="0" w:leader="none"/>
        </w:tabs>
      </w:pPr>
    </w:lvl>
  </w:abstractNum>
  <w:abstractNum w:abstractNumId="18">
    <w:multiLevelType w:val="hybridMultilevel"/>
    <w:lvl w:ilvl="0">
      <w:start w:val="1"/>
      <w:numFmt w:val="bullet"/>
      <w:isLgl w:val="false"/>
      <w:suff w:val="tab"/>
      <w:lvlText w:val=""/>
      <w:lvlJc w:val="left"/>
      <w:pPr>
        <w:ind w:left="1429" w:hanging="360"/>
        <w:tabs>
          <w:tab w:val="num" w:pos="0" w:leader="none"/>
        </w:tabs>
      </w:pPr>
      <w:rPr>
        <w:rFonts w:hint="default" w:ascii="Symbol" w:hAnsi="Symbol" w:cs="Symbol"/>
      </w:rPr>
    </w:lvl>
    <w:lvl w:ilvl="1">
      <w:start w:val="1"/>
      <w:numFmt w:val="bullet"/>
      <w:isLgl w:val="false"/>
      <w:suff w:val="tab"/>
      <w:lvlText w:val="o"/>
      <w:lvlJc w:val="left"/>
      <w:pPr>
        <w:ind w:left="2149" w:hanging="360"/>
        <w:tabs>
          <w:tab w:val="num" w:pos="0" w:leader="none"/>
        </w:tabs>
      </w:pPr>
      <w:rPr>
        <w:rFonts w:hint="default" w:ascii="Times New Roman" w:hAnsi="Times New Roman" w:cs="Times New Roman"/>
      </w:rPr>
    </w:lvl>
    <w:lvl w:ilvl="2">
      <w:start w:val="1"/>
      <w:numFmt w:val="bullet"/>
      <w:isLgl w:val="false"/>
      <w:suff w:val="tab"/>
      <w:lvlText w:val=""/>
      <w:lvlJc w:val="left"/>
      <w:pPr>
        <w:ind w:left="2869" w:hanging="360"/>
        <w:tabs>
          <w:tab w:val="num" w:pos="0" w:leader="none"/>
        </w:tabs>
      </w:pPr>
      <w:rPr>
        <w:rFonts w:hint="default" w:ascii="Wingdings" w:hAnsi="Wingdings" w:cs="Wingdings"/>
      </w:rPr>
    </w:lvl>
    <w:lvl w:ilvl="3">
      <w:start w:val="1"/>
      <w:numFmt w:val="bullet"/>
      <w:isLgl w:val="false"/>
      <w:suff w:val="tab"/>
      <w:lvlText w:val=""/>
      <w:lvlJc w:val="left"/>
      <w:pPr>
        <w:ind w:left="3589" w:hanging="360"/>
        <w:tabs>
          <w:tab w:val="num" w:pos="0" w:leader="none"/>
        </w:tabs>
      </w:pPr>
      <w:rPr>
        <w:rFonts w:hint="default" w:ascii="Symbol" w:hAnsi="Symbol" w:cs="Symbol"/>
      </w:rPr>
    </w:lvl>
    <w:lvl w:ilvl="4">
      <w:start w:val="1"/>
      <w:numFmt w:val="bullet"/>
      <w:isLgl w:val="false"/>
      <w:suff w:val="tab"/>
      <w:lvlText w:val="o"/>
      <w:lvlJc w:val="left"/>
      <w:pPr>
        <w:ind w:left="4309" w:hanging="360"/>
        <w:tabs>
          <w:tab w:val="num" w:pos="0" w:leader="none"/>
        </w:tabs>
      </w:pPr>
      <w:rPr>
        <w:rFonts w:hint="default" w:ascii="Times New Roman" w:hAnsi="Times New Roman" w:cs="Times New Roman"/>
      </w:rPr>
    </w:lvl>
    <w:lvl w:ilvl="5">
      <w:start w:val="1"/>
      <w:numFmt w:val="bullet"/>
      <w:isLgl w:val="false"/>
      <w:suff w:val="tab"/>
      <w:lvlText w:val=""/>
      <w:lvlJc w:val="left"/>
      <w:pPr>
        <w:ind w:left="5029" w:hanging="360"/>
        <w:tabs>
          <w:tab w:val="num" w:pos="0" w:leader="none"/>
        </w:tabs>
      </w:pPr>
      <w:rPr>
        <w:rFonts w:hint="default" w:ascii="Wingdings" w:hAnsi="Wingdings" w:cs="Wingdings"/>
      </w:rPr>
    </w:lvl>
    <w:lvl w:ilvl="6">
      <w:start w:val="1"/>
      <w:numFmt w:val="bullet"/>
      <w:isLgl w:val="false"/>
      <w:suff w:val="tab"/>
      <w:lvlText w:val=""/>
      <w:lvlJc w:val="left"/>
      <w:pPr>
        <w:ind w:left="5749" w:hanging="360"/>
        <w:tabs>
          <w:tab w:val="num" w:pos="0" w:leader="none"/>
        </w:tabs>
      </w:pPr>
      <w:rPr>
        <w:rFonts w:hint="default" w:ascii="Symbol" w:hAnsi="Symbol" w:cs="Symbol"/>
      </w:rPr>
    </w:lvl>
    <w:lvl w:ilvl="7">
      <w:start w:val="1"/>
      <w:numFmt w:val="bullet"/>
      <w:isLgl w:val="false"/>
      <w:suff w:val="tab"/>
      <w:lvlText w:val="o"/>
      <w:lvlJc w:val="left"/>
      <w:pPr>
        <w:ind w:left="6469" w:hanging="360"/>
        <w:tabs>
          <w:tab w:val="num" w:pos="0" w:leader="none"/>
        </w:tabs>
      </w:pPr>
      <w:rPr>
        <w:rFonts w:hint="default" w:ascii="Times New Roman" w:hAnsi="Times New Roman" w:cs="Times New Roman"/>
      </w:rPr>
    </w:lvl>
    <w:lvl w:ilvl="8">
      <w:start w:val="1"/>
      <w:numFmt w:val="bullet"/>
      <w:isLgl w:val="false"/>
      <w:suff w:val="tab"/>
      <w:lvlText w:val=""/>
      <w:lvlJc w:val="left"/>
      <w:pPr>
        <w:ind w:left="7189" w:hanging="360"/>
        <w:tabs>
          <w:tab w:val="num" w:pos="0" w:leader="none"/>
        </w:tabs>
      </w:pPr>
      <w:rPr>
        <w:rFonts w:hint="default" w:ascii="Wingdings" w:hAnsi="Wingdings" w:cs="Wingdings"/>
      </w:rPr>
    </w:lvl>
  </w:abstractNum>
  <w:abstractNum w:abstractNumId="19">
    <w:multiLevelType w:val="hybridMultilevel"/>
    <w:lvl w:ilvl="0">
      <w:start w:val="1"/>
      <w:numFmt w:val="bullet"/>
      <w:isLgl w:val="false"/>
      <w:suff w:val="tab"/>
      <w:lvlText w:val=""/>
      <w:lvlJc w:val="left"/>
      <w:pPr>
        <w:ind w:left="1287" w:hanging="360"/>
      </w:pPr>
      <w:rPr>
        <w:rFonts w:hint="default" w:ascii="Symbol" w:hAnsi="Symbol"/>
      </w:rPr>
    </w:lvl>
    <w:lvl w:ilvl="1">
      <w:start w:val="1"/>
      <w:numFmt w:val="bullet"/>
      <w:isLgl w:val="false"/>
      <w:suff w:val="tab"/>
      <w:lvlText w:val="o"/>
      <w:lvlJc w:val="left"/>
      <w:pPr>
        <w:ind w:left="2007" w:hanging="360"/>
      </w:pPr>
      <w:rPr>
        <w:rFonts w:hint="default" w:ascii="Courier New" w:hAnsi="Courier New" w:cs="Courier New"/>
      </w:rPr>
    </w:lvl>
    <w:lvl w:ilvl="2">
      <w:start w:val="1"/>
      <w:numFmt w:val="bullet"/>
      <w:isLgl w:val="false"/>
      <w:suff w:val="tab"/>
      <w:lvlText w:val=""/>
      <w:lvlJc w:val="left"/>
      <w:pPr>
        <w:ind w:left="2727" w:hanging="360"/>
      </w:pPr>
      <w:rPr>
        <w:rFonts w:hint="default" w:ascii="Wingdings" w:hAnsi="Wingdings"/>
      </w:rPr>
    </w:lvl>
    <w:lvl w:ilvl="3">
      <w:start w:val="1"/>
      <w:numFmt w:val="bullet"/>
      <w:isLgl w:val="false"/>
      <w:suff w:val="tab"/>
      <w:lvlText w:val=""/>
      <w:lvlJc w:val="left"/>
      <w:pPr>
        <w:ind w:left="3447" w:hanging="360"/>
      </w:pPr>
      <w:rPr>
        <w:rFonts w:hint="default" w:ascii="Symbol" w:hAnsi="Symbol"/>
      </w:rPr>
    </w:lvl>
    <w:lvl w:ilvl="4">
      <w:start w:val="1"/>
      <w:numFmt w:val="bullet"/>
      <w:isLgl w:val="false"/>
      <w:suff w:val="tab"/>
      <w:lvlText w:val="o"/>
      <w:lvlJc w:val="left"/>
      <w:pPr>
        <w:ind w:left="4167" w:hanging="360"/>
      </w:pPr>
      <w:rPr>
        <w:rFonts w:hint="default" w:ascii="Courier New" w:hAnsi="Courier New" w:cs="Courier New"/>
      </w:rPr>
    </w:lvl>
    <w:lvl w:ilvl="5">
      <w:start w:val="1"/>
      <w:numFmt w:val="bullet"/>
      <w:isLgl w:val="false"/>
      <w:suff w:val="tab"/>
      <w:lvlText w:val=""/>
      <w:lvlJc w:val="left"/>
      <w:pPr>
        <w:ind w:left="4887" w:hanging="360"/>
      </w:pPr>
      <w:rPr>
        <w:rFonts w:hint="default" w:ascii="Wingdings" w:hAnsi="Wingdings"/>
      </w:rPr>
    </w:lvl>
    <w:lvl w:ilvl="6">
      <w:start w:val="1"/>
      <w:numFmt w:val="bullet"/>
      <w:isLgl w:val="false"/>
      <w:suff w:val="tab"/>
      <w:lvlText w:val=""/>
      <w:lvlJc w:val="left"/>
      <w:pPr>
        <w:ind w:left="5607" w:hanging="360"/>
      </w:pPr>
      <w:rPr>
        <w:rFonts w:hint="default" w:ascii="Symbol" w:hAnsi="Symbol"/>
      </w:rPr>
    </w:lvl>
    <w:lvl w:ilvl="7">
      <w:start w:val="1"/>
      <w:numFmt w:val="bullet"/>
      <w:isLgl w:val="false"/>
      <w:suff w:val="tab"/>
      <w:lvlText w:val="o"/>
      <w:lvlJc w:val="left"/>
      <w:pPr>
        <w:ind w:left="6327" w:hanging="360"/>
      </w:pPr>
      <w:rPr>
        <w:rFonts w:hint="default" w:ascii="Courier New" w:hAnsi="Courier New" w:cs="Courier New"/>
      </w:rPr>
    </w:lvl>
    <w:lvl w:ilvl="8">
      <w:start w:val="1"/>
      <w:numFmt w:val="bullet"/>
      <w:isLgl w:val="false"/>
      <w:suff w:val="tab"/>
      <w:lvlText w:val=""/>
      <w:lvlJc w:val="left"/>
      <w:pPr>
        <w:ind w:left="7047" w:hanging="360"/>
      </w:pPr>
      <w:rPr>
        <w:rFonts w:hint="default" w:ascii="Wingdings" w:hAnsi="Wingdings"/>
      </w:rPr>
    </w:lvl>
  </w:abstractNum>
  <w:abstractNum w:abstractNumId="20">
    <w:multiLevelType w:val="hybridMultilevel"/>
    <w:lvl w:ilvl="0">
      <w:start w:val="4"/>
      <w:numFmt w:val="decimal"/>
      <w:isLgl w:val="false"/>
      <w:suff w:val="tab"/>
      <w:lvlText w:val="%1."/>
      <w:lvlJc w:val="left"/>
      <w:pPr>
        <w:ind w:left="450" w:hanging="450"/>
        <w:tabs>
          <w:tab w:val="num" w:pos="0" w:leader="none"/>
        </w:tabs>
      </w:pPr>
    </w:lvl>
    <w:lvl w:ilvl="1">
      <w:start w:val="5"/>
      <w:numFmt w:val="decimal"/>
      <w:isLgl w:val="false"/>
      <w:suff w:val="tab"/>
      <w:lvlText w:val="%1.%2."/>
      <w:lvlJc w:val="left"/>
      <w:pPr>
        <w:ind w:left="720" w:hanging="720"/>
        <w:tabs>
          <w:tab w:val="num" w:pos="0" w:leader="none"/>
        </w:tabs>
      </w:pPr>
    </w:lvl>
    <w:lvl w:ilvl="2">
      <w:start w:val="1"/>
      <w:numFmt w:val="decimal"/>
      <w:isLgl w:val="false"/>
      <w:suff w:val="tab"/>
      <w:lvlText w:val="%1.%2.%3."/>
      <w:lvlJc w:val="left"/>
      <w:pPr>
        <w:ind w:left="720" w:hanging="720"/>
        <w:tabs>
          <w:tab w:val="num" w:pos="0" w:leader="none"/>
        </w:tabs>
      </w:pPr>
    </w:lvl>
    <w:lvl w:ilvl="3">
      <w:start w:val="1"/>
      <w:numFmt w:val="decimal"/>
      <w:isLgl w:val="false"/>
      <w:suff w:val="tab"/>
      <w:lvlText w:val="%1.%2.%3.%4."/>
      <w:lvlJc w:val="left"/>
      <w:pPr>
        <w:ind w:left="1080" w:hanging="1080"/>
        <w:tabs>
          <w:tab w:val="num" w:pos="0" w:leader="none"/>
        </w:tabs>
      </w:pPr>
    </w:lvl>
    <w:lvl w:ilvl="4">
      <w:start w:val="1"/>
      <w:numFmt w:val="decimal"/>
      <w:isLgl w:val="false"/>
      <w:suff w:val="tab"/>
      <w:lvlText w:val="%1.%2.%3.%4.%5."/>
      <w:lvlJc w:val="left"/>
      <w:pPr>
        <w:ind w:left="1080" w:hanging="1080"/>
        <w:tabs>
          <w:tab w:val="num" w:pos="0" w:leader="none"/>
        </w:tabs>
      </w:pPr>
    </w:lvl>
    <w:lvl w:ilvl="5">
      <w:start w:val="1"/>
      <w:numFmt w:val="decimal"/>
      <w:isLgl w:val="false"/>
      <w:suff w:val="tab"/>
      <w:lvlText w:val="%1.%2.%3.%4.%5.%6."/>
      <w:lvlJc w:val="left"/>
      <w:pPr>
        <w:ind w:left="1440" w:hanging="1440"/>
        <w:tabs>
          <w:tab w:val="num" w:pos="0" w:leader="none"/>
        </w:tabs>
      </w:pPr>
    </w:lvl>
    <w:lvl w:ilvl="6">
      <w:start w:val="1"/>
      <w:numFmt w:val="decimal"/>
      <w:isLgl w:val="false"/>
      <w:suff w:val="tab"/>
      <w:lvlText w:val="%1.%2.%3.%4.%5.%6.%7."/>
      <w:lvlJc w:val="left"/>
      <w:pPr>
        <w:ind w:left="1800" w:hanging="1800"/>
        <w:tabs>
          <w:tab w:val="num" w:pos="0" w:leader="none"/>
        </w:tabs>
      </w:pPr>
    </w:lvl>
    <w:lvl w:ilvl="7">
      <w:start w:val="1"/>
      <w:numFmt w:val="decimal"/>
      <w:isLgl w:val="false"/>
      <w:suff w:val="tab"/>
      <w:lvlText w:val="%1.%2.%3.%4.%5.%6.%7.%8."/>
      <w:lvlJc w:val="left"/>
      <w:pPr>
        <w:ind w:left="1800" w:hanging="1800"/>
        <w:tabs>
          <w:tab w:val="num" w:pos="0" w:leader="none"/>
        </w:tabs>
      </w:pPr>
    </w:lvl>
    <w:lvl w:ilvl="8">
      <w:start w:val="1"/>
      <w:numFmt w:val="decimal"/>
      <w:isLgl w:val="false"/>
      <w:suff w:val="tab"/>
      <w:lvlText w:val="%1.%2.%3.%4.%5.%6.%7.%8.%9."/>
      <w:lvlJc w:val="left"/>
      <w:pPr>
        <w:ind w:left="2160" w:hanging="2160"/>
        <w:tabs>
          <w:tab w:val="num" w:pos="0" w:leader="none"/>
        </w:tabs>
      </w:pPr>
    </w:lvl>
  </w:abstractNum>
  <w:abstractNum w:abstractNumId="21">
    <w:multiLevelType w:val="hybridMultilevel"/>
    <w:lvl w:ilvl="0">
      <w:start w:val="1"/>
      <w:numFmt w:val="none"/>
      <w:isLgl w:val="false"/>
      <w:suff w:val="nothing"/>
      <w:lvlText w:val=""/>
      <w:lvlJc w:val="left"/>
      <w:pPr>
        <w:ind w:left="0" w:firstLine="0"/>
        <w:tabs>
          <w:tab w:val="num" w:pos="0" w:leader="none"/>
        </w:tabs>
      </w:pPr>
    </w:lvl>
    <w:lvl w:ilvl="1">
      <w:start w:val="1"/>
      <w:numFmt w:val="none"/>
      <w:isLgl w:val="false"/>
      <w:suff w:val="nothing"/>
      <w:lvlText w:val=""/>
      <w:lvlJc w:val="left"/>
      <w:pPr>
        <w:ind w:left="0" w:firstLine="0"/>
        <w:tabs>
          <w:tab w:val="num" w:pos="0" w:leader="none"/>
        </w:tabs>
      </w:pPr>
    </w:lvl>
    <w:lvl w:ilvl="2">
      <w:start w:val="1"/>
      <w:numFmt w:val="none"/>
      <w:isLgl w:val="false"/>
      <w:suff w:val="nothing"/>
      <w:lvlText w:val=""/>
      <w:lvlJc w:val="left"/>
      <w:pPr>
        <w:ind w:left="0" w:firstLine="0"/>
        <w:tabs>
          <w:tab w:val="num" w:pos="0" w:leader="none"/>
        </w:tabs>
      </w:pPr>
    </w:lvl>
    <w:lvl w:ilvl="3">
      <w:start w:val="1"/>
      <w:numFmt w:val="none"/>
      <w:isLgl w:val="false"/>
      <w:suff w:val="nothing"/>
      <w:lvlText w:val=""/>
      <w:lvlJc w:val="left"/>
      <w:pPr>
        <w:ind w:left="0" w:firstLine="0"/>
        <w:tabs>
          <w:tab w:val="num" w:pos="0" w:leader="none"/>
        </w:tabs>
      </w:pPr>
    </w:lvl>
    <w:lvl w:ilvl="4">
      <w:start w:val="1"/>
      <w:numFmt w:val="none"/>
      <w:isLgl w:val="false"/>
      <w:suff w:val="nothing"/>
      <w:lvlText w:val=""/>
      <w:lvlJc w:val="left"/>
      <w:pPr>
        <w:ind w:left="0" w:firstLine="0"/>
        <w:tabs>
          <w:tab w:val="num" w:pos="0" w:leader="none"/>
        </w:tabs>
      </w:pPr>
    </w:lvl>
    <w:lvl w:ilvl="5">
      <w:start w:val="1"/>
      <w:numFmt w:val="none"/>
      <w:isLgl w:val="false"/>
      <w:suff w:val="nothing"/>
      <w:lvlText w:val=""/>
      <w:lvlJc w:val="left"/>
      <w:pPr>
        <w:ind w:left="0" w:firstLine="0"/>
        <w:tabs>
          <w:tab w:val="num" w:pos="0" w:leader="none"/>
        </w:tabs>
      </w:pPr>
    </w:lvl>
    <w:lvl w:ilvl="6">
      <w:start w:val="1"/>
      <w:numFmt w:val="none"/>
      <w:isLgl w:val="false"/>
      <w:suff w:val="nothing"/>
      <w:lvlText w:val=""/>
      <w:lvlJc w:val="left"/>
      <w:pPr>
        <w:ind w:left="0" w:firstLine="0"/>
        <w:tabs>
          <w:tab w:val="num" w:pos="0" w:leader="none"/>
        </w:tabs>
      </w:pPr>
    </w:lvl>
    <w:lvl w:ilvl="7">
      <w:start w:val="1"/>
      <w:numFmt w:val="none"/>
      <w:isLgl w:val="false"/>
      <w:suff w:val="nothing"/>
      <w:lvlText w:val=""/>
      <w:lvlJc w:val="left"/>
      <w:pPr>
        <w:ind w:left="0" w:firstLine="0"/>
        <w:tabs>
          <w:tab w:val="num" w:pos="0" w:leader="none"/>
        </w:tabs>
      </w:pPr>
    </w:lvl>
    <w:lvl w:ilvl="8">
      <w:start w:val="1"/>
      <w:numFmt w:val="none"/>
      <w:isLgl w:val="false"/>
      <w:suff w:val="nothing"/>
      <w:lvlText w:val=""/>
      <w:lvlJc w:val="left"/>
      <w:pPr>
        <w:ind w:left="0" w:firstLine="0"/>
        <w:tabs>
          <w:tab w:val="num" w:pos="0" w:leader="none"/>
        </w:tabs>
      </w:pPr>
    </w:lvl>
  </w:abstractNum>
  <w:abstractNum w:abstractNumId="22">
    <w:multiLevelType w:val="hybridMultilevel"/>
    <w:lvl w:ilvl="0">
      <w:start w:val="1"/>
      <w:numFmt w:val="bullet"/>
      <w:isLgl w:val="false"/>
      <w:suff w:val="tab"/>
      <w:lvlText w:val="ü"/>
      <w:lvlJc w:val="left"/>
      <w:pPr>
        <w:ind w:left="720" w:hanging="360"/>
        <w:tabs>
          <w:tab w:val="num" w:pos="0" w:leader="none"/>
        </w:tabs>
      </w:pPr>
      <w:rPr>
        <w:rFonts w:hint="default" w:ascii="Wingdings" w:hAnsi="Wingdings" w:cs="Wingdings"/>
      </w:rPr>
    </w:lvl>
    <w:lvl w:ilvl="1">
      <w:start w:val="1"/>
      <w:numFmt w:val="bullet"/>
      <w:isLgl w:val="false"/>
      <w:suff w:val="tab"/>
      <w:lvlText w:val="o"/>
      <w:lvlJc w:val="left"/>
      <w:pPr>
        <w:ind w:left="1440" w:hanging="360"/>
        <w:tabs>
          <w:tab w:val="num" w:pos="0" w:leader="none"/>
        </w:tabs>
      </w:pPr>
      <w:rPr>
        <w:rFonts w:hint="default" w:ascii="Times New Roman" w:hAnsi="Times New Roman" w:cs="Times New Roman"/>
      </w:rPr>
    </w:lvl>
    <w:lvl w:ilvl="2">
      <w:start w:val="1"/>
      <w:numFmt w:val="bullet"/>
      <w:isLgl w:val="false"/>
      <w:suff w:val="tab"/>
      <w:lvlText w:val="§"/>
      <w:lvlJc w:val="left"/>
      <w:pPr>
        <w:ind w:left="2160" w:hanging="360"/>
        <w:tabs>
          <w:tab w:val="num" w:pos="0" w:leader="none"/>
        </w:tabs>
      </w:pPr>
      <w:rPr>
        <w:rFonts w:hint="default" w:ascii="Wingdings" w:hAnsi="Wingdings" w:cs="Wingdings"/>
      </w:rPr>
    </w:lvl>
    <w:lvl w:ilvl="3">
      <w:start w:val="1"/>
      <w:numFmt w:val="bullet"/>
      <w:isLgl w:val="false"/>
      <w:suff w:val="tab"/>
      <w:lvlText w:val="·"/>
      <w:lvlJc w:val="left"/>
      <w:pPr>
        <w:ind w:left="2880" w:hanging="360"/>
        <w:tabs>
          <w:tab w:val="num" w:pos="0" w:leader="none"/>
        </w:tabs>
      </w:pPr>
      <w:rPr>
        <w:rFonts w:hint="default" w:ascii="Symbol" w:hAnsi="Symbol" w:cs="Symbol"/>
      </w:rPr>
    </w:lvl>
    <w:lvl w:ilvl="4">
      <w:start w:val="1"/>
      <w:numFmt w:val="bullet"/>
      <w:isLgl w:val="false"/>
      <w:suff w:val="tab"/>
      <w:lvlText w:val="o"/>
      <w:lvlJc w:val="left"/>
      <w:pPr>
        <w:ind w:left="3600" w:hanging="360"/>
        <w:tabs>
          <w:tab w:val="num" w:pos="0" w:leader="none"/>
        </w:tabs>
      </w:pPr>
      <w:rPr>
        <w:rFonts w:hint="default" w:ascii="Times New Roman" w:hAnsi="Times New Roman" w:cs="Times New Roman"/>
      </w:rPr>
    </w:lvl>
    <w:lvl w:ilvl="5">
      <w:start w:val="1"/>
      <w:numFmt w:val="bullet"/>
      <w:isLgl w:val="false"/>
      <w:suff w:val="tab"/>
      <w:lvlText w:val="§"/>
      <w:lvlJc w:val="left"/>
      <w:pPr>
        <w:ind w:left="4320" w:hanging="360"/>
        <w:tabs>
          <w:tab w:val="num" w:pos="0" w:leader="none"/>
        </w:tabs>
      </w:pPr>
      <w:rPr>
        <w:rFonts w:hint="default" w:ascii="Wingdings" w:hAnsi="Wingdings" w:cs="Wingdings"/>
      </w:rPr>
    </w:lvl>
    <w:lvl w:ilvl="6">
      <w:start w:val="1"/>
      <w:numFmt w:val="bullet"/>
      <w:isLgl w:val="false"/>
      <w:suff w:val="tab"/>
      <w:lvlText w:val="·"/>
      <w:lvlJc w:val="left"/>
      <w:pPr>
        <w:ind w:left="5040" w:hanging="360"/>
        <w:tabs>
          <w:tab w:val="num" w:pos="0" w:leader="none"/>
        </w:tabs>
      </w:pPr>
      <w:rPr>
        <w:rFonts w:hint="default" w:ascii="Symbol" w:hAnsi="Symbol" w:cs="Symbol"/>
      </w:rPr>
    </w:lvl>
    <w:lvl w:ilvl="7">
      <w:start w:val="1"/>
      <w:numFmt w:val="bullet"/>
      <w:isLgl w:val="false"/>
      <w:suff w:val="tab"/>
      <w:lvlText w:val="o"/>
      <w:lvlJc w:val="left"/>
      <w:pPr>
        <w:ind w:left="5760" w:hanging="360"/>
        <w:tabs>
          <w:tab w:val="num" w:pos="0" w:leader="none"/>
        </w:tabs>
      </w:pPr>
      <w:rPr>
        <w:rFonts w:hint="default" w:ascii="Times New Roman" w:hAnsi="Times New Roman" w:cs="Times New Roman"/>
      </w:rPr>
    </w:lvl>
    <w:lvl w:ilvl="8">
      <w:start w:val="1"/>
      <w:numFmt w:val="bullet"/>
      <w:isLgl w:val="false"/>
      <w:suff w:val="tab"/>
      <w:lvlText w:val="§"/>
      <w:lvlJc w:val="left"/>
      <w:pPr>
        <w:ind w:left="6480" w:hanging="360"/>
        <w:tabs>
          <w:tab w:val="num" w:pos="0" w:leader="none"/>
        </w:tabs>
      </w:pPr>
      <w:rPr>
        <w:rFonts w:hint="default" w:ascii="Wingdings" w:hAnsi="Wingdings" w:cs="Wingdings"/>
      </w:rPr>
    </w:lvl>
  </w:abstractNum>
  <w:abstractNum w:abstractNumId="23">
    <w:multiLevelType w:val="hybridMultilevel"/>
    <w:lvl w:ilvl="0">
      <w:start w:val="1"/>
      <w:numFmt w:val="bullet"/>
      <w:isLgl w:val="false"/>
      <w:suff w:val="tab"/>
      <w:lvlText w:val=""/>
      <w:lvlJc w:val="left"/>
      <w:pPr>
        <w:ind w:left="1429" w:hanging="360"/>
        <w:tabs>
          <w:tab w:val="num" w:pos="0" w:leader="none"/>
        </w:tabs>
      </w:pPr>
      <w:rPr>
        <w:rFonts w:hint="default" w:ascii="Symbol" w:hAnsi="Symbol" w:cs="Symbol"/>
      </w:rPr>
    </w:lvl>
    <w:lvl w:ilvl="1">
      <w:start w:val="1"/>
      <w:numFmt w:val="bullet"/>
      <w:isLgl w:val="false"/>
      <w:suff w:val="tab"/>
      <w:lvlText w:val="o"/>
      <w:lvlJc w:val="left"/>
      <w:pPr>
        <w:ind w:left="2149" w:hanging="360"/>
        <w:tabs>
          <w:tab w:val="num" w:pos="0" w:leader="none"/>
        </w:tabs>
      </w:pPr>
      <w:rPr>
        <w:rFonts w:hint="default" w:ascii="Times New Roman" w:hAnsi="Times New Roman" w:cs="Times New Roman"/>
      </w:rPr>
    </w:lvl>
    <w:lvl w:ilvl="2">
      <w:start w:val="1"/>
      <w:numFmt w:val="bullet"/>
      <w:isLgl w:val="false"/>
      <w:suff w:val="tab"/>
      <w:lvlText w:val=""/>
      <w:lvlJc w:val="left"/>
      <w:pPr>
        <w:ind w:left="2869" w:hanging="360"/>
        <w:tabs>
          <w:tab w:val="num" w:pos="0" w:leader="none"/>
        </w:tabs>
      </w:pPr>
      <w:rPr>
        <w:rFonts w:hint="default" w:ascii="Wingdings" w:hAnsi="Wingdings" w:cs="Wingdings"/>
      </w:rPr>
    </w:lvl>
    <w:lvl w:ilvl="3">
      <w:start w:val="1"/>
      <w:numFmt w:val="bullet"/>
      <w:isLgl w:val="false"/>
      <w:suff w:val="tab"/>
      <w:lvlText w:val=""/>
      <w:lvlJc w:val="left"/>
      <w:pPr>
        <w:ind w:left="3589" w:hanging="360"/>
        <w:tabs>
          <w:tab w:val="num" w:pos="0" w:leader="none"/>
        </w:tabs>
      </w:pPr>
      <w:rPr>
        <w:rFonts w:hint="default" w:ascii="Symbol" w:hAnsi="Symbol" w:cs="Symbol"/>
      </w:rPr>
    </w:lvl>
    <w:lvl w:ilvl="4">
      <w:start w:val="1"/>
      <w:numFmt w:val="bullet"/>
      <w:isLgl w:val="false"/>
      <w:suff w:val="tab"/>
      <w:lvlText w:val="o"/>
      <w:lvlJc w:val="left"/>
      <w:pPr>
        <w:ind w:left="4309" w:hanging="360"/>
        <w:tabs>
          <w:tab w:val="num" w:pos="0" w:leader="none"/>
        </w:tabs>
      </w:pPr>
      <w:rPr>
        <w:rFonts w:hint="default" w:ascii="Times New Roman" w:hAnsi="Times New Roman" w:cs="Times New Roman"/>
      </w:rPr>
    </w:lvl>
    <w:lvl w:ilvl="5">
      <w:start w:val="1"/>
      <w:numFmt w:val="bullet"/>
      <w:isLgl w:val="false"/>
      <w:suff w:val="tab"/>
      <w:lvlText w:val=""/>
      <w:lvlJc w:val="left"/>
      <w:pPr>
        <w:ind w:left="5029" w:hanging="360"/>
        <w:tabs>
          <w:tab w:val="num" w:pos="0" w:leader="none"/>
        </w:tabs>
      </w:pPr>
      <w:rPr>
        <w:rFonts w:hint="default" w:ascii="Wingdings" w:hAnsi="Wingdings" w:cs="Wingdings"/>
      </w:rPr>
    </w:lvl>
    <w:lvl w:ilvl="6">
      <w:start w:val="1"/>
      <w:numFmt w:val="bullet"/>
      <w:isLgl w:val="false"/>
      <w:suff w:val="tab"/>
      <w:lvlText w:val=""/>
      <w:lvlJc w:val="left"/>
      <w:pPr>
        <w:ind w:left="5749" w:hanging="360"/>
        <w:tabs>
          <w:tab w:val="num" w:pos="0" w:leader="none"/>
        </w:tabs>
      </w:pPr>
      <w:rPr>
        <w:rFonts w:hint="default" w:ascii="Symbol" w:hAnsi="Symbol" w:cs="Symbol"/>
      </w:rPr>
    </w:lvl>
    <w:lvl w:ilvl="7">
      <w:start w:val="1"/>
      <w:numFmt w:val="bullet"/>
      <w:isLgl w:val="false"/>
      <w:suff w:val="tab"/>
      <w:lvlText w:val="o"/>
      <w:lvlJc w:val="left"/>
      <w:pPr>
        <w:ind w:left="6469" w:hanging="360"/>
        <w:tabs>
          <w:tab w:val="num" w:pos="0" w:leader="none"/>
        </w:tabs>
      </w:pPr>
      <w:rPr>
        <w:rFonts w:hint="default" w:ascii="Times New Roman" w:hAnsi="Times New Roman" w:cs="Times New Roman"/>
      </w:rPr>
    </w:lvl>
    <w:lvl w:ilvl="8">
      <w:start w:val="1"/>
      <w:numFmt w:val="bullet"/>
      <w:isLgl w:val="false"/>
      <w:suff w:val="tab"/>
      <w:lvlText w:val=""/>
      <w:lvlJc w:val="left"/>
      <w:pPr>
        <w:ind w:left="7189" w:hanging="360"/>
        <w:tabs>
          <w:tab w:val="num" w:pos="0" w:leader="none"/>
        </w:tabs>
      </w:pPr>
      <w:rPr>
        <w:rFonts w:hint="default" w:ascii="Wingdings" w:hAnsi="Wingdings" w:cs="Wingdings"/>
      </w:rPr>
    </w:lvl>
  </w:abstractNum>
  <w:num w:numId="1">
    <w:abstractNumId w:val="1"/>
  </w:num>
  <w:num w:numId="2">
    <w:abstractNumId w:val="13"/>
  </w:num>
  <w:num w:numId="3">
    <w:abstractNumId w:val="3"/>
  </w:num>
  <w:num w:numId="4">
    <w:abstractNumId w:val="4"/>
  </w:num>
  <w:num w:numId="5">
    <w:abstractNumId w:val="20"/>
  </w:num>
  <w:num w:numId="6">
    <w:abstractNumId w:val="11"/>
  </w:num>
  <w:num w:numId="7">
    <w:abstractNumId w:val="23"/>
  </w:num>
  <w:num w:numId="8">
    <w:abstractNumId w:val="18"/>
  </w:num>
  <w:num w:numId="9">
    <w:abstractNumId w:val="10"/>
  </w:num>
  <w:num w:numId="10">
    <w:abstractNumId w:val="7"/>
  </w:num>
  <w:num w:numId="11">
    <w:abstractNumId w:val="22"/>
  </w:num>
  <w:num w:numId="12">
    <w:abstractNumId w:val="16"/>
  </w:num>
  <w:num w:numId="13">
    <w:abstractNumId w:val="2"/>
  </w:num>
  <w:num w:numId="14">
    <w:abstractNumId w:val="6"/>
  </w:num>
  <w:num w:numId="15">
    <w:abstractNumId w:val="14"/>
  </w:num>
  <w:num w:numId="16">
    <w:abstractNumId w:val="9"/>
  </w:num>
  <w:num w:numId="17">
    <w:abstractNumId w:val="12"/>
  </w:num>
  <w:num w:numId="18">
    <w:abstractNumId w:val="17"/>
  </w:num>
  <w:num w:numId="19">
    <w:abstractNumId w:val="5"/>
  </w:num>
  <w:num w:numId="20">
    <w:abstractNumId w:val="21"/>
  </w:num>
  <w:num w:numId="21">
    <w:abstractNumId w:val="19"/>
  </w:num>
  <w:num w:numId="22">
    <w:abstractNumId w:val="8"/>
  </w:num>
  <w:num w:numId="23">
    <w:abstractNumId w:val="15"/>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Tahoma" w:cs="Noto Sans Devanagari"/>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61" w:default="1">
    <w:name w:val="Normal"/>
    <w:qFormat/>
  </w:style>
  <w:style w:type="paragraph" w:styleId="762">
    <w:name w:val="Heading 1"/>
    <w:basedOn w:val="761"/>
    <w:next w:val="761"/>
    <w:link w:val="797"/>
    <w:qFormat/>
    <w:pPr>
      <w:keepLines/>
      <w:keepNext/>
      <w:spacing w:before="480" w:after="200"/>
      <w:outlineLvl w:val="0"/>
    </w:pPr>
    <w:rPr>
      <w:rFonts w:ascii="Arial" w:hAnsi="Arial" w:eastAsia="Arial" w:cs="Arial"/>
      <w:sz w:val="40"/>
      <w:szCs w:val="40"/>
    </w:rPr>
  </w:style>
  <w:style w:type="paragraph" w:styleId="763">
    <w:name w:val="Heading 2"/>
    <w:basedOn w:val="761"/>
    <w:next w:val="761"/>
    <w:link w:val="816"/>
    <w:qFormat/>
    <w:pPr>
      <w:keepNext/>
      <w:spacing w:after="240"/>
      <w:outlineLvl w:val="1"/>
    </w:pPr>
    <w:rPr>
      <w:rFonts w:eastAsia="Arial" w:cs="Arial"/>
      <w:color w:val="082a75"/>
      <w:sz w:val="36"/>
      <w:szCs w:val="26"/>
    </w:rPr>
  </w:style>
  <w:style w:type="paragraph" w:styleId="764">
    <w:name w:val="Heading 3"/>
    <w:basedOn w:val="761"/>
    <w:next w:val="761"/>
    <w:link w:val="799"/>
    <w:uiPriority w:val="9"/>
    <w:unhideWhenUsed/>
    <w:qFormat/>
    <w:pPr>
      <w:keepLines/>
      <w:keepNext/>
      <w:spacing w:before="320" w:after="200"/>
      <w:outlineLvl w:val="2"/>
    </w:pPr>
    <w:rPr>
      <w:rFonts w:ascii="Arial" w:hAnsi="Arial" w:eastAsia="Arial" w:cs="Arial"/>
      <w:sz w:val="30"/>
      <w:szCs w:val="30"/>
    </w:rPr>
  </w:style>
  <w:style w:type="paragraph" w:styleId="765">
    <w:name w:val="Heading 4"/>
    <w:basedOn w:val="761"/>
    <w:next w:val="761"/>
    <w:link w:val="800"/>
    <w:uiPriority w:val="9"/>
    <w:unhideWhenUsed/>
    <w:qFormat/>
    <w:pPr>
      <w:keepLines/>
      <w:keepNext/>
      <w:spacing w:before="320" w:after="200"/>
      <w:outlineLvl w:val="3"/>
    </w:pPr>
    <w:rPr>
      <w:rFonts w:ascii="Arial" w:hAnsi="Arial" w:eastAsia="Arial" w:cs="Arial"/>
      <w:b/>
      <w:bCs/>
      <w:sz w:val="26"/>
      <w:szCs w:val="26"/>
    </w:rPr>
  </w:style>
  <w:style w:type="paragraph" w:styleId="766">
    <w:name w:val="Heading 5"/>
    <w:basedOn w:val="761"/>
    <w:next w:val="761"/>
    <w:link w:val="801"/>
    <w:uiPriority w:val="9"/>
    <w:unhideWhenUsed/>
    <w:qFormat/>
    <w:pPr>
      <w:keepLines/>
      <w:keepNext/>
      <w:spacing w:before="320" w:after="200"/>
      <w:outlineLvl w:val="4"/>
    </w:pPr>
    <w:rPr>
      <w:rFonts w:ascii="Arial" w:hAnsi="Arial" w:eastAsia="Arial" w:cs="Arial"/>
      <w:b/>
      <w:bCs/>
      <w:sz w:val="24"/>
      <w:szCs w:val="24"/>
    </w:rPr>
  </w:style>
  <w:style w:type="paragraph" w:styleId="767">
    <w:name w:val="Heading 6"/>
    <w:basedOn w:val="761"/>
    <w:next w:val="761"/>
    <w:link w:val="802"/>
    <w:uiPriority w:val="9"/>
    <w:unhideWhenUsed/>
    <w:qFormat/>
    <w:pPr>
      <w:keepLines/>
      <w:keepNext/>
      <w:spacing w:before="320" w:after="200"/>
      <w:outlineLvl w:val="5"/>
    </w:pPr>
    <w:rPr>
      <w:rFonts w:ascii="Arial" w:hAnsi="Arial" w:eastAsia="Arial" w:cs="Arial"/>
      <w:b/>
      <w:bCs/>
      <w:sz w:val="22"/>
      <w:szCs w:val="22"/>
    </w:rPr>
  </w:style>
  <w:style w:type="paragraph" w:styleId="768">
    <w:name w:val="Heading 7"/>
    <w:basedOn w:val="761"/>
    <w:next w:val="761"/>
    <w:link w:val="803"/>
    <w:uiPriority w:val="9"/>
    <w:unhideWhenUsed/>
    <w:qFormat/>
    <w:pPr>
      <w:keepLines/>
      <w:keepNext/>
      <w:spacing w:before="320" w:after="200"/>
      <w:outlineLvl w:val="6"/>
    </w:pPr>
    <w:rPr>
      <w:rFonts w:ascii="Arial" w:hAnsi="Arial" w:eastAsia="Arial" w:cs="Arial"/>
      <w:b/>
      <w:bCs/>
      <w:i/>
      <w:iCs/>
      <w:sz w:val="22"/>
      <w:szCs w:val="22"/>
    </w:rPr>
  </w:style>
  <w:style w:type="paragraph" w:styleId="769">
    <w:name w:val="Heading 8"/>
    <w:basedOn w:val="761"/>
    <w:next w:val="761"/>
    <w:link w:val="804"/>
    <w:uiPriority w:val="9"/>
    <w:unhideWhenUsed/>
    <w:qFormat/>
    <w:pPr>
      <w:keepLines/>
      <w:keepNext/>
      <w:spacing w:before="320" w:after="200"/>
      <w:outlineLvl w:val="7"/>
    </w:pPr>
    <w:rPr>
      <w:rFonts w:ascii="Arial" w:hAnsi="Arial" w:eastAsia="Arial" w:cs="Arial"/>
      <w:i/>
      <w:iCs/>
      <w:sz w:val="22"/>
      <w:szCs w:val="22"/>
    </w:rPr>
  </w:style>
  <w:style w:type="paragraph" w:styleId="770">
    <w:name w:val="Heading 9"/>
    <w:basedOn w:val="761"/>
    <w:next w:val="761"/>
    <w:link w:val="805"/>
    <w:uiPriority w:val="9"/>
    <w:unhideWhenUsed/>
    <w:qFormat/>
    <w:pPr>
      <w:keepLines/>
      <w:keepNext/>
      <w:spacing w:before="320" w:after="200"/>
      <w:outlineLvl w:val="8"/>
    </w:pPr>
    <w:rPr>
      <w:rFonts w:ascii="Arial" w:hAnsi="Arial" w:eastAsia="Arial" w:cs="Arial"/>
      <w:i/>
      <w:iCs/>
      <w:sz w:val="21"/>
      <w:szCs w:val="21"/>
    </w:rPr>
  </w:style>
  <w:style w:type="character" w:styleId="771" w:default="1">
    <w:name w:val="Default Paragraph Font"/>
    <w:uiPriority w:val="1"/>
    <w:semiHidden/>
    <w:unhideWhenUsed/>
  </w:style>
  <w:style w:type="table" w:styleId="772" w:default="1">
    <w:name w:val="Normal Table"/>
    <w:uiPriority w:val="99"/>
    <w:semiHidden/>
    <w:unhideWhenUsed/>
    <w:tblPr>
      <w:tblInd w:w="0" w:type="dxa"/>
      <w:tblCellMar>
        <w:left w:w="108" w:type="dxa"/>
        <w:top w:w="0" w:type="dxa"/>
        <w:right w:w="108" w:type="dxa"/>
        <w:bottom w:w="0" w:type="dxa"/>
      </w:tblCellMar>
    </w:tblPr>
  </w:style>
  <w:style w:type="numbering" w:styleId="773" w:default="1">
    <w:name w:val="No List"/>
    <w:uiPriority w:val="99"/>
    <w:semiHidden/>
    <w:unhideWhenUsed/>
  </w:style>
  <w:style w:type="character" w:styleId="774" w:customStyle="1">
    <w:name w:val="Символ сноски"/>
    <w:basedOn w:val="771"/>
    <w:uiPriority w:val="99"/>
    <w:unhideWhenUsed/>
    <w:qFormat/>
    <w:rPr>
      <w:vertAlign w:val="superscript"/>
    </w:rPr>
  </w:style>
  <w:style w:type="character" w:styleId="775">
    <w:name w:val="footnote reference"/>
    <w:rPr>
      <w:vertAlign w:val="superscript"/>
    </w:rPr>
  </w:style>
  <w:style w:type="character" w:styleId="776" w:customStyle="1">
    <w:name w:val="Символ концевой сноски"/>
    <w:basedOn w:val="771"/>
    <w:uiPriority w:val="99"/>
    <w:semiHidden/>
    <w:unhideWhenUsed/>
    <w:qFormat/>
    <w:rPr>
      <w:vertAlign w:val="superscript"/>
    </w:rPr>
  </w:style>
  <w:style w:type="character" w:styleId="777">
    <w:name w:val="endnote reference"/>
    <w:rPr>
      <w:vertAlign w:val="superscript"/>
    </w:rPr>
  </w:style>
  <w:style w:type="character" w:styleId="778" w:customStyle="1">
    <w:name w:val="Heading 1 Char"/>
    <w:basedOn w:val="771"/>
    <w:uiPriority w:val="9"/>
    <w:qFormat/>
    <w:rPr>
      <w:rFonts w:ascii="Arial" w:hAnsi="Arial" w:eastAsia="Arial" w:cs="Arial"/>
      <w:sz w:val="40"/>
      <w:szCs w:val="40"/>
    </w:rPr>
  </w:style>
  <w:style w:type="character" w:styleId="779" w:customStyle="1">
    <w:name w:val="Heading 3 Char"/>
    <w:basedOn w:val="771"/>
    <w:uiPriority w:val="9"/>
    <w:qFormat/>
    <w:rPr>
      <w:rFonts w:ascii="Arial" w:hAnsi="Arial" w:eastAsia="Arial" w:cs="Arial"/>
      <w:sz w:val="30"/>
      <w:szCs w:val="30"/>
    </w:rPr>
  </w:style>
  <w:style w:type="character" w:styleId="780" w:customStyle="1">
    <w:name w:val="Heading 4 Char"/>
    <w:basedOn w:val="771"/>
    <w:uiPriority w:val="9"/>
    <w:qFormat/>
    <w:rPr>
      <w:rFonts w:ascii="Arial" w:hAnsi="Arial" w:eastAsia="Arial" w:cs="Arial"/>
      <w:b/>
      <w:bCs/>
      <w:sz w:val="26"/>
      <w:szCs w:val="26"/>
    </w:rPr>
  </w:style>
  <w:style w:type="character" w:styleId="781" w:customStyle="1">
    <w:name w:val="Heading 5 Char"/>
    <w:basedOn w:val="771"/>
    <w:uiPriority w:val="9"/>
    <w:qFormat/>
    <w:rPr>
      <w:rFonts w:ascii="Arial" w:hAnsi="Arial" w:eastAsia="Arial" w:cs="Arial"/>
      <w:b/>
      <w:bCs/>
      <w:sz w:val="24"/>
      <w:szCs w:val="24"/>
    </w:rPr>
  </w:style>
  <w:style w:type="character" w:styleId="782" w:customStyle="1">
    <w:name w:val="Heading 6 Char"/>
    <w:basedOn w:val="771"/>
    <w:uiPriority w:val="9"/>
    <w:qFormat/>
    <w:rPr>
      <w:rFonts w:ascii="Arial" w:hAnsi="Arial" w:eastAsia="Arial" w:cs="Arial"/>
      <w:b/>
      <w:bCs/>
      <w:sz w:val="22"/>
      <w:szCs w:val="22"/>
    </w:rPr>
  </w:style>
  <w:style w:type="character" w:styleId="783" w:customStyle="1">
    <w:name w:val="Heading 7 Char"/>
    <w:basedOn w:val="771"/>
    <w:uiPriority w:val="9"/>
    <w:qFormat/>
    <w:rPr>
      <w:rFonts w:ascii="Arial" w:hAnsi="Arial" w:eastAsia="Arial" w:cs="Arial"/>
      <w:b/>
      <w:bCs/>
      <w:i/>
      <w:iCs/>
      <w:sz w:val="22"/>
      <w:szCs w:val="22"/>
    </w:rPr>
  </w:style>
  <w:style w:type="character" w:styleId="784" w:customStyle="1">
    <w:name w:val="Heading 8 Char"/>
    <w:basedOn w:val="771"/>
    <w:uiPriority w:val="9"/>
    <w:qFormat/>
    <w:rPr>
      <w:rFonts w:ascii="Arial" w:hAnsi="Arial" w:eastAsia="Arial" w:cs="Arial"/>
      <w:i/>
      <w:iCs/>
      <w:sz w:val="22"/>
      <w:szCs w:val="22"/>
    </w:rPr>
  </w:style>
  <w:style w:type="character" w:styleId="785" w:customStyle="1">
    <w:name w:val="Heading 9 Char"/>
    <w:basedOn w:val="771"/>
    <w:uiPriority w:val="9"/>
    <w:qFormat/>
    <w:rPr>
      <w:rFonts w:ascii="Arial" w:hAnsi="Arial" w:eastAsia="Arial" w:cs="Arial"/>
      <w:i/>
      <w:iCs/>
      <w:sz w:val="21"/>
      <w:szCs w:val="21"/>
    </w:rPr>
  </w:style>
  <w:style w:type="character" w:styleId="786" w:customStyle="1">
    <w:name w:val="Title Char"/>
    <w:basedOn w:val="771"/>
    <w:uiPriority w:val="10"/>
    <w:qFormat/>
    <w:rPr>
      <w:sz w:val="48"/>
      <w:szCs w:val="48"/>
    </w:rPr>
  </w:style>
  <w:style w:type="character" w:styleId="787" w:customStyle="1">
    <w:name w:val="Subtitle Char"/>
    <w:basedOn w:val="771"/>
    <w:uiPriority w:val="11"/>
    <w:qFormat/>
    <w:rPr>
      <w:sz w:val="24"/>
      <w:szCs w:val="24"/>
    </w:rPr>
  </w:style>
  <w:style w:type="character" w:styleId="788" w:customStyle="1">
    <w:name w:val="Quote Char"/>
    <w:uiPriority w:val="29"/>
    <w:qFormat/>
    <w:rPr>
      <w:i/>
    </w:rPr>
  </w:style>
  <w:style w:type="character" w:styleId="789" w:customStyle="1">
    <w:name w:val="Intense Quote Char"/>
    <w:uiPriority w:val="30"/>
    <w:qFormat/>
    <w:rPr>
      <w:i/>
    </w:rPr>
  </w:style>
  <w:style w:type="character" w:styleId="790" w:customStyle="1">
    <w:name w:val="Footnote Text Char"/>
    <w:uiPriority w:val="99"/>
    <w:qFormat/>
    <w:rPr>
      <w:sz w:val="18"/>
    </w:rPr>
  </w:style>
  <w:style w:type="character" w:styleId="791" w:customStyle="1">
    <w:name w:val="Endnote Text Char"/>
    <w:uiPriority w:val="99"/>
    <w:qFormat/>
    <w:rPr>
      <w:sz w:val="20"/>
    </w:rPr>
  </w:style>
  <w:style w:type="character" w:styleId="792" w:customStyle="1">
    <w:name w:val="Знак сноски1"/>
    <w:basedOn w:val="794"/>
    <w:qFormat/>
    <w:rPr>
      <w:vertAlign w:val="superscript"/>
    </w:rPr>
  </w:style>
  <w:style w:type="character" w:styleId="793" w:customStyle="1">
    <w:name w:val="Знак концевой сноски1"/>
    <w:qFormat/>
    <w:rPr>
      <w:vertAlign w:val="superscript"/>
    </w:rPr>
  </w:style>
  <w:style w:type="character" w:styleId="794" w:customStyle="1">
    <w:name w:val="Основной шрифт абзаца1"/>
    <w:qFormat/>
  </w:style>
  <w:style w:type="character" w:styleId="795" w:customStyle="1">
    <w:name w:val="Цитата 2 Знак1"/>
    <w:link w:val="1049"/>
    <w:qFormat/>
    <w:rPr>
      <w:i/>
    </w:rPr>
  </w:style>
  <w:style w:type="character" w:styleId="796" w:customStyle="1">
    <w:name w:val="Выделенная цитата Знак1"/>
    <w:link w:val="1050"/>
    <w:qFormat/>
    <w:rPr>
      <w:i/>
    </w:rPr>
  </w:style>
  <w:style w:type="character" w:styleId="797" w:customStyle="1">
    <w:name w:val="Заголовок 1 Знак1"/>
    <w:basedOn w:val="794"/>
    <w:link w:val="762"/>
    <w:qFormat/>
    <w:rPr>
      <w:rFonts w:ascii="Arial" w:hAnsi="Arial" w:eastAsia="Arial" w:cs="Arial"/>
      <w:sz w:val="40"/>
      <w:szCs w:val="40"/>
    </w:rPr>
  </w:style>
  <w:style w:type="character" w:styleId="798" w:customStyle="1">
    <w:name w:val="Heading 2 Char"/>
    <w:basedOn w:val="794"/>
    <w:qFormat/>
    <w:rPr>
      <w:rFonts w:ascii="Arial" w:hAnsi="Arial" w:eastAsia="Arial" w:cs="Arial"/>
      <w:sz w:val="34"/>
    </w:rPr>
  </w:style>
  <w:style w:type="character" w:styleId="799" w:customStyle="1">
    <w:name w:val="Заголовок 3 Знак1"/>
    <w:basedOn w:val="794"/>
    <w:link w:val="764"/>
    <w:qFormat/>
    <w:rPr>
      <w:rFonts w:ascii="Arial" w:hAnsi="Arial" w:eastAsia="Arial" w:cs="Arial"/>
      <w:sz w:val="30"/>
      <w:szCs w:val="30"/>
    </w:rPr>
  </w:style>
  <w:style w:type="character" w:styleId="800" w:customStyle="1">
    <w:name w:val="Заголовок 4 Знак1"/>
    <w:basedOn w:val="794"/>
    <w:link w:val="765"/>
    <w:qFormat/>
    <w:rPr>
      <w:rFonts w:ascii="Arial" w:hAnsi="Arial" w:eastAsia="Arial" w:cs="Arial"/>
      <w:b/>
      <w:bCs/>
      <w:sz w:val="26"/>
      <w:szCs w:val="26"/>
    </w:rPr>
  </w:style>
  <w:style w:type="character" w:styleId="801" w:customStyle="1">
    <w:name w:val="Заголовок 5 Знак1"/>
    <w:basedOn w:val="794"/>
    <w:link w:val="766"/>
    <w:qFormat/>
    <w:rPr>
      <w:rFonts w:ascii="Arial" w:hAnsi="Arial" w:eastAsia="Arial" w:cs="Arial"/>
      <w:b/>
      <w:bCs/>
      <w:sz w:val="24"/>
      <w:szCs w:val="24"/>
    </w:rPr>
  </w:style>
  <w:style w:type="character" w:styleId="802" w:customStyle="1">
    <w:name w:val="Заголовок 6 Знак1"/>
    <w:basedOn w:val="794"/>
    <w:link w:val="767"/>
    <w:qFormat/>
    <w:rPr>
      <w:rFonts w:ascii="Arial" w:hAnsi="Arial" w:eastAsia="Arial" w:cs="Arial"/>
      <w:b/>
      <w:bCs/>
      <w:sz w:val="22"/>
      <w:szCs w:val="22"/>
    </w:rPr>
  </w:style>
  <w:style w:type="character" w:styleId="803" w:customStyle="1">
    <w:name w:val="Заголовок 7 Знак1"/>
    <w:basedOn w:val="794"/>
    <w:link w:val="768"/>
    <w:qFormat/>
    <w:rPr>
      <w:rFonts w:ascii="Arial" w:hAnsi="Arial" w:eastAsia="Arial" w:cs="Arial"/>
      <w:b/>
      <w:bCs/>
      <w:i/>
      <w:iCs/>
      <w:sz w:val="22"/>
      <w:szCs w:val="22"/>
    </w:rPr>
  </w:style>
  <w:style w:type="character" w:styleId="804" w:customStyle="1">
    <w:name w:val="Заголовок 8 Знак1"/>
    <w:basedOn w:val="794"/>
    <w:link w:val="769"/>
    <w:qFormat/>
    <w:rPr>
      <w:rFonts w:ascii="Arial" w:hAnsi="Arial" w:eastAsia="Arial" w:cs="Arial"/>
      <w:i/>
      <w:iCs/>
      <w:sz w:val="22"/>
      <w:szCs w:val="22"/>
    </w:rPr>
  </w:style>
  <w:style w:type="character" w:styleId="805" w:customStyle="1">
    <w:name w:val="Заголовок 9 Знак1"/>
    <w:basedOn w:val="794"/>
    <w:link w:val="770"/>
    <w:qFormat/>
    <w:rPr>
      <w:rFonts w:ascii="Arial" w:hAnsi="Arial" w:eastAsia="Arial" w:cs="Arial"/>
      <w:i/>
      <w:iCs/>
      <w:sz w:val="21"/>
      <w:szCs w:val="21"/>
    </w:rPr>
  </w:style>
  <w:style w:type="character" w:styleId="806" w:customStyle="1">
    <w:name w:val="Заголовок Знак1"/>
    <w:basedOn w:val="794"/>
    <w:link w:val="1039"/>
    <w:qFormat/>
    <w:rPr>
      <w:sz w:val="48"/>
      <w:szCs w:val="48"/>
    </w:rPr>
  </w:style>
  <w:style w:type="character" w:styleId="807" w:customStyle="1">
    <w:name w:val="Подзаголовок Знак1"/>
    <w:basedOn w:val="794"/>
    <w:link w:val="1048"/>
    <w:qFormat/>
    <w:rPr>
      <w:sz w:val="24"/>
      <w:szCs w:val="24"/>
    </w:rPr>
  </w:style>
  <w:style w:type="character" w:styleId="808" w:customStyle="1">
    <w:name w:val="Цитата 2 Знак"/>
    <w:qFormat/>
    <w:rPr>
      <w:i/>
    </w:rPr>
  </w:style>
  <w:style w:type="character" w:styleId="809" w:customStyle="1">
    <w:name w:val="Выделенная цитата Знак"/>
    <w:qFormat/>
    <w:rPr>
      <w:i/>
    </w:rPr>
  </w:style>
  <w:style w:type="character" w:styleId="810" w:customStyle="1">
    <w:name w:val="Header Char"/>
    <w:basedOn w:val="794"/>
    <w:qFormat/>
  </w:style>
  <w:style w:type="character" w:styleId="811" w:customStyle="1">
    <w:name w:val="Footer Char"/>
    <w:basedOn w:val="794"/>
    <w:qFormat/>
  </w:style>
  <w:style w:type="character" w:styleId="812" w:customStyle="1">
    <w:name w:val="Caption Char"/>
    <w:qFormat/>
  </w:style>
  <w:style w:type="character" w:styleId="813" w:customStyle="1">
    <w:name w:val="Текст сноски Знак1"/>
    <w:link w:val="1094"/>
    <w:qFormat/>
    <w:rPr>
      <w:sz w:val="18"/>
    </w:rPr>
  </w:style>
  <w:style w:type="character" w:styleId="814" w:customStyle="1">
    <w:name w:val="Текст концевой сноски Знак1"/>
    <w:link w:val="1169"/>
    <w:qFormat/>
    <w:rPr>
      <w:sz w:val="20"/>
    </w:rPr>
  </w:style>
  <w:style w:type="character" w:styleId="815" w:customStyle="1">
    <w:name w:val="Заголовок 1 Знак"/>
    <w:basedOn w:val="794"/>
    <w:qFormat/>
    <w:rPr>
      <w:rFonts w:ascii="Arial" w:hAnsi="Arial" w:eastAsia="Arial" w:cs="Arial"/>
      <w:b/>
      <w:color w:val="061f57"/>
      <w:sz w:val="52"/>
      <w:szCs w:val="32"/>
    </w:rPr>
  </w:style>
  <w:style w:type="character" w:styleId="816" w:customStyle="1">
    <w:name w:val="Заголовок 2 Знак"/>
    <w:basedOn w:val="794"/>
    <w:link w:val="763"/>
    <w:qFormat/>
    <w:rPr>
      <w:rFonts w:eastAsia="Arial" w:cs="Arial"/>
      <w:color w:val="082a75"/>
      <w:sz w:val="36"/>
      <w:szCs w:val="26"/>
    </w:rPr>
  </w:style>
  <w:style w:type="character" w:styleId="817" w:customStyle="1">
    <w:name w:val="Заголовок 3 Знак"/>
    <w:basedOn w:val="794"/>
    <w:qFormat/>
    <w:rPr>
      <w:rFonts w:ascii="Arial" w:hAnsi="Arial" w:eastAsia="Times New Roman" w:cs="Times New Roman"/>
      <w:b/>
      <w:bCs/>
      <w:sz w:val="26"/>
      <w:szCs w:val="26"/>
    </w:rPr>
  </w:style>
  <w:style w:type="character" w:styleId="818" w:customStyle="1">
    <w:name w:val="Заголовок 4 Знак"/>
    <w:basedOn w:val="794"/>
    <w:qFormat/>
    <w:rPr>
      <w:rFonts w:ascii="Times New Roman" w:hAnsi="Times New Roman" w:eastAsia="Times New Roman" w:cs="Times New Roman"/>
      <w:b/>
      <w:bCs/>
      <w:sz w:val="28"/>
      <w:szCs w:val="28"/>
    </w:rPr>
  </w:style>
  <w:style w:type="character" w:styleId="819" w:customStyle="1">
    <w:name w:val="Заголовок 5 Знак"/>
    <w:basedOn w:val="794"/>
    <w:qFormat/>
    <w:rPr>
      <w:rFonts w:ascii="Times New Roman" w:hAnsi="Times New Roman" w:eastAsia="Times New Roman" w:cs="Times New Roman"/>
      <w:b/>
      <w:bCs/>
      <w:i/>
      <w:iCs/>
      <w:sz w:val="26"/>
      <w:szCs w:val="26"/>
    </w:rPr>
  </w:style>
  <w:style w:type="character" w:styleId="820" w:customStyle="1">
    <w:name w:val="Заголовок 6 Знак"/>
    <w:basedOn w:val="794"/>
    <w:qFormat/>
    <w:rPr>
      <w:rFonts w:ascii="Calibri" w:hAnsi="Calibri" w:eastAsia="Times New Roman" w:cs="Times New Roman"/>
      <w:b/>
      <w:bCs/>
      <w:sz w:val="22"/>
      <w:szCs w:val="22"/>
    </w:rPr>
  </w:style>
  <w:style w:type="character" w:styleId="821" w:customStyle="1">
    <w:name w:val="Заголовок 7 Знак"/>
    <w:basedOn w:val="794"/>
    <w:qFormat/>
    <w:rPr>
      <w:rFonts w:ascii="Arial" w:hAnsi="Arial" w:eastAsia="Times New Roman" w:cs="Times New Roman"/>
      <w:sz w:val="20"/>
      <w:szCs w:val="20"/>
    </w:rPr>
  </w:style>
  <w:style w:type="character" w:styleId="822" w:customStyle="1">
    <w:name w:val="Заголовок 8 Знак"/>
    <w:basedOn w:val="794"/>
    <w:qFormat/>
    <w:rPr>
      <w:rFonts w:ascii="Arial" w:hAnsi="Arial" w:eastAsia="Times New Roman" w:cs="Times New Roman"/>
      <w:i/>
      <w:iCs/>
      <w:sz w:val="20"/>
      <w:szCs w:val="20"/>
    </w:rPr>
  </w:style>
  <w:style w:type="character" w:styleId="823" w:customStyle="1">
    <w:name w:val="Заголовок 9 Знак"/>
    <w:basedOn w:val="794"/>
    <w:qFormat/>
    <w:rPr>
      <w:rFonts w:ascii="Arial" w:hAnsi="Arial" w:eastAsia="Times New Roman" w:cs="Times New Roman"/>
      <w:b/>
      <w:bCs/>
      <w:i/>
      <w:iCs/>
      <w:sz w:val="18"/>
      <w:szCs w:val="18"/>
    </w:rPr>
  </w:style>
  <w:style w:type="character" w:styleId="824" w:customStyle="1">
    <w:name w:val="Текст выноски Знак"/>
    <w:basedOn w:val="794"/>
    <w:qFormat/>
    <w:rPr>
      <w:rFonts w:ascii="Tahoma" w:hAnsi="Tahoma" w:eastAsia="Tahoma" w:cs="Tahoma"/>
      <w:sz w:val="16"/>
      <w:szCs w:val="16"/>
    </w:rPr>
  </w:style>
  <w:style w:type="character" w:styleId="825" w:customStyle="1">
    <w:name w:val="Заголовок Знак"/>
    <w:basedOn w:val="794"/>
    <w:qFormat/>
    <w:rPr>
      <w:rFonts w:ascii="Arial" w:hAnsi="Arial" w:eastAsia="Arial" w:cs="Arial"/>
      <w:b/>
      <w:bCs/>
      <w:color w:val="082a75"/>
      <w:sz w:val="72"/>
      <w:szCs w:val="52"/>
    </w:rPr>
  </w:style>
  <w:style w:type="character" w:styleId="826" w:customStyle="1">
    <w:name w:val="Подзаголовок Знак"/>
    <w:basedOn w:val="794"/>
    <w:qFormat/>
    <w:rPr>
      <w:rFonts w:eastAsia="Arial"/>
      <w:caps/>
      <w:color w:val="082a75"/>
      <w:spacing w:val="19"/>
      <w:sz w:val="32"/>
      <w:szCs w:val="22"/>
    </w:rPr>
  </w:style>
  <w:style w:type="character" w:styleId="827" w:customStyle="1">
    <w:name w:val="Верхний колонтитул Знак"/>
    <w:basedOn w:val="794"/>
    <w:uiPriority w:val="99"/>
    <w:qFormat/>
  </w:style>
  <w:style w:type="character" w:styleId="828" w:customStyle="1">
    <w:name w:val="Нижний колонтитул Знак"/>
    <w:basedOn w:val="794"/>
    <w:uiPriority w:val="99"/>
    <w:qFormat/>
    <w:rPr>
      <w:sz w:val="24"/>
      <w:szCs w:val="24"/>
    </w:rPr>
  </w:style>
  <w:style w:type="character" w:styleId="829" w:customStyle="1">
    <w:name w:val="Замещающий текст1"/>
    <w:basedOn w:val="794"/>
    <w:qFormat/>
    <w:rPr>
      <w:color w:val="808080"/>
    </w:rPr>
  </w:style>
  <w:style w:type="character" w:styleId="830" w:customStyle="1">
    <w:name w:val="Содержимое (знак)"/>
    <w:basedOn w:val="794"/>
    <w:qFormat/>
    <w:rPr>
      <w:rFonts w:eastAsia="Arial"/>
      <w:color w:val="082a75"/>
      <w:sz w:val="28"/>
      <w:szCs w:val="22"/>
    </w:rPr>
  </w:style>
  <w:style w:type="character" w:styleId="831" w:customStyle="1">
    <w:name w:val="Выделенный текст (знак)"/>
    <w:basedOn w:val="794"/>
    <w:qFormat/>
    <w:rPr>
      <w:rFonts w:eastAsia="Arial"/>
      <w:b/>
      <w:color w:val="082a75"/>
      <w:sz w:val="28"/>
      <w:szCs w:val="22"/>
    </w:rPr>
  </w:style>
  <w:style w:type="character" w:styleId="832" w:customStyle="1">
    <w:name w:val="Internet link"/>
    <w:basedOn w:val="794"/>
    <w:qFormat/>
    <w:rPr>
      <w:color w:val="3592cf"/>
      <w:u w:val="single"/>
    </w:rPr>
  </w:style>
  <w:style w:type="character" w:styleId="833" w:customStyle="1">
    <w:name w:val="Абзац списка Знак"/>
    <w:qFormat/>
    <w:rPr>
      <w:color w:val="0f0d29"/>
      <w:sz w:val="22"/>
      <w:szCs w:val="20"/>
      <w:lang w:eastAsia="ja-JP"/>
    </w:rPr>
  </w:style>
  <w:style w:type="character" w:styleId="834" w:customStyle="1">
    <w:name w:val="Основной текст 3 Знак"/>
    <w:basedOn w:val="794"/>
    <w:qFormat/>
    <w:rPr>
      <w:rFonts w:ascii="Times New Roman" w:hAnsi="Times New Roman" w:eastAsia="Times New Roman" w:cs="Times New Roman"/>
      <w:sz w:val="16"/>
      <w:szCs w:val="16"/>
      <w:lang w:eastAsia="ru-RU"/>
    </w:rPr>
  </w:style>
  <w:style w:type="character" w:styleId="835" w:customStyle="1">
    <w:name w:val="Основной текст Знак"/>
    <w:basedOn w:val="794"/>
    <w:qFormat/>
    <w:rPr>
      <w:rFonts w:ascii="Times New Roman" w:hAnsi="Times New Roman" w:eastAsia="Times New Roman" w:cs="Times New Roman"/>
    </w:rPr>
  </w:style>
  <w:style w:type="character" w:styleId="836" w:customStyle="1">
    <w:name w:val="__SUBST"/>
    <w:qFormat/>
    <w:rPr>
      <w:b/>
      <w:bCs/>
      <w:i/>
      <w:iCs/>
      <w:sz w:val="22"/>
      <w:szCs w:val="22"/>
    </w:rPr>
  </w:style>
  <w:style w:type="character" w:styleId="837" w:customStyle="1">
    <w:name w:val="Текст сноски Знак"/>
    <w:basedOn w:val="794"/>
    <w:qFormat/>
    <w:rPr>
      <w:rFonts w:ascii="Times New Roman" w:hAnsi="Times New Roman" w:eastAsia="Times New Roman" w:cs="Times New Roman"/>
      <w:sz w:val="20"/>
      <w:szCs w:val="20"/>
      <w:lang w:eastAsia="ru-RU"/>
    </w:rPr>
  </w:style>
  <w:style w:type="character" w:styleId="838" w:customStyle="1">
    <w:name w:val="Footnote Symbol"/>
    <w:qFormat/>
    <w:rPr>
      <w:vertAlign w:val="superscript"/>
    </w:rPr>
  </w:style>
  <w:style w:type="character" w:styleId="839" w:customStyle="1">
    <w:name w:val="Основной текст с отступом 2 Знак"/>
    <w:basedOn w:val="794"/>
    <w:qFormat/>
    <w:rPr>
      <w:color w:val="0f0d29"/>
      <w:sz w:val="22"/>
      <w:szCs w:val="20"/>
      <w:lang w:eastAsia="ja-JP"/>
    </w:rPr>
  </w:style>
  <w:style w:type="character" w:styleId="840" w:customStyle="1">
    <w:name w:val="Текст Знак"/>
    <w:basedOn w:val="794"/>
    <w:qFormat/>
    <w:rPr>
      <w:rFonts w:ascii="Courier New" w:hAnsi="Courier New" w:eastAsia="Times New Roman" w:cs="Times New Roman"/>
      <w:sz w:val="28"/>
      <w:szCs w:val="20"/>
    </w:rPr>
  </w:style>
  <w:style w:type="character" w:styleId="841" w:customStyle="1">
    <w:name w:val="Основной текст_"/>
    <w:qFormat/>
    <w:rPr>
      <w:rFonts w:ascii="Times New Roman" w:hAnsi="Times New Roman" w:eastAsia="Times New Roman" w:cs="Times New Roman"/>
      <w:spacing w:val="3"/>
      <w:sz w:val="19"/>
      <w:szCs w:val="19"/>
      <w:shd w:val="clear" w:color="auto" w:fill="ffffff"/>
    </w:rPr>
  </w:style>
  <w:style w:type="character" w:styleId="842" w:customStyle="1">
    <w:name w:val="Основной текст с отступом Знак"/>
    <w:basedOn w:val="794"/>
    <w:qFormat/>
    <w:rPr>
      <w:rFonts w:eastAsia="Arial"/>
      <w:b/>
      <w:color w:val="082a75"/>
      <w:sz w:val="28"/>
      <w:szCs w:val="22"/>
    </w:rPr>
  </w:style>
  <w:style w:type="character" w:styleId="843" w:customStyle="1">
    <w:name w:val="Основной текст 2 Знак"/>
    <w:basedOn w:val="794"/>
    <w:qFormat/>
    <w:rPr>
      <w:rFonts w:eastAsia="Arial"/>
      <w:b/>
      <w:color w:val="082a75"/>
      <w:sz w:val="28"/>
      <w:szCs w:val="22"/>
    </w:rPr>
  </w:style>
  <w:style w:type="character" w:styleId="844" w:customStyle="1">
    <w:name w:val="Subst"/>
    <w:qFormat/>
    <w:rPr>
      <w:b/>
      <w:bCs w:val="0"/>
      <w:i/>
      <w:iCs w:val="0"/>
    </w:rPr>
  </w:style>
  <w:style w:type="character" w:styleId="845" w:customStyle="1">
    <w:name w:val="Знак примечания1"/>
    <w:qFormat/>
    <w:rPr>
      <w:sz w:val="16"/>
      <w:szCs w:val="16"/>
    </w:rPr>
  </w:style>
  <w:style w:type="character" w:styleId="846" w:customStyle="1">
    <w:name w:val="Текст примечания Знак"/>
    <w:basedOn w:val="794"/>
    <w:qFormat/>
    <w:rPr>
      <w:rFonts w:ascii="Times New Roman" w:hAnsi="Times New Roman" w:eastAsia="Times New Roman" w:cs="Times New Roman"/>
      <w:sz w:val="20"/>
      <w:szCs w:val="20"/>
      <w:lang w:eastAsia="ru-RU"/>
    </w:rPr>
  </w:style>
  <w:style w:type="character" w:styleId="847" w:customStyle="1">
    <w:name w:val="Строгий1"/>
    <w:qFormat/>
    <w:rPr>
      <w:b/>
      <w:bCs/>
    </w:rPr>
  </w:style>
  <w:style w:type="character" w:styleId="848" w:customStyle="1">
    <w:name w:val="Абзац Знак2 Знак"/>
    <w:qFormat/>
    <w:rPr>
      <w:rFonts w:ascii="Times New Roman" w:hAnsi="Times New Roman" w:eastAsia="Times New Roman" w:cs="Times New Roman"/>
      <w:szCs w:val="20"/>
      <w:lang w:eastAsia="ru-RU"/>
    </w:rPr>
  </w:style>
  <w:style w:type="character" w:styleId="849" w:customStyle="1">
    <w:name w:val="subst"/>
    <w:basedOn w:val="794"/>
    <w:qFormat/>
  </w:style>
  <w:style w:type="character" w:styleId="850" w:customStyle="1">
    <w:name w:val="Название Знак"/>
    <w:qFormat/>
    <w:rPr>
      <w:i/>
      <w:iCs/>
      <w:sz w:val="28"/>
      <w:szCs w:val="28"/>
      <w:u w:val="single"/>
    </w:rPr>
  </w:style>
  <w:style w:type="character" w:styleId="851" w:customStyle="1">
    <w:name w:val="Номер страницы1"/>
    <w:basedOn w:val="794"/>
    <w:qFormat/>
  </w:style>
  <w:style w:type="character" w:styleId="852" w:customStyle="1">
    <w:name w:val="Выделение1"/>
    <w:qFormat/>
    <w:rPr>
      <w:i/>
      <w:iCs/>
    </w:rPr>
  </w:style>
  <w:style w:type="character" w:styleId="853" w:customStyle="1">
    <w:name w:val="Основной текст с отступом 3 Знак"/>
    <w:basedOn w:val="794"/>
    <w:qFormat/>
    <w:rPr>
      <w:rFonts w:ascii="Times New Roman" w:hAnsi="Times New Roman" w:eastAsia="Times New Roman" w:cs="Times New Roman"/>
      <w:sz w:val="16"/>
      <w:szCs w:val="16"/>
    </w:rPr>
  </w:style>
  <w:style w:type="character" w:styleId="854" w:customStyle="1">
    <w:name w:val="Схема документа Знак"/>
    <w:basedOn w:val="794"/>
    <w:qFormat/>
    <w:rPr>
      <w:rFonts w:ascii="Tahoma" w:hAnsi="Tahoma" w:eastAsia="Times New Roman" w:cs="Times New Roman"/>
      <w:sz w:val="16"/>
      <w:szCs w:val="16"/>
    </w:rPr>
  </w:style>
  <w:style w:type="character" w:styleId="855" w:customStyle="1">
    <w:name w:val="Тема примечания Знак"/>
    <w:basedOn w:val="846"/>
    <w:qFormat/>
    <w:rPr>
      <w:rFonts w:ascii="Times New Roman" w:hAnsi="Times New Roman" w:eastAsia="Times New Roman" w:cs="Times New Roman"/>
      <w:b/>
      <w:bCs/>
      <w:sz w:val="20"/>
      <w:szCs w:val="20"/>
      <w:lang w:eastAsia="ru-RU"/>
    </w:rPr>
  </w:style>
  <w:style w:type="character" w:styleId="856" w:customStyle="1">
    <w:name w:val="Прощание Знак"/>
    <w:basedOn w:val="794"/>
    <w:qFormat/>
    <w:rPr>
      <w:rFonts w:ascii="Times New Roman" w:hAnsi="Times New Roman" w:eastAsia="Times New Roman" w:cs="Times New Roman"/>
      <w:sz w:val="20"/>
      <w:szCs w:val="20"/>
      <w:lang w:val="en-AU"/>
    </w:rPr>
  </w:style>
  <w:style w:type="character" w:styleId="857" w:customStyle="1">
    <w:name w:val="Без интервала Знак"/>
    <w:qFormat/>
    <w:rPr>
      <w:rFonts w:ascii="Times New Roman" w:hAnsi="Times New Roman" w:eastAsia="Times New Roman" w:cs="Times New Roman"/>
      <w:sz w:val="20"/>
      <w:szCs w:val="20"/>
      <w:lang w:eastAsia="ru-RU"/>
    </w:rPr>
  </w:style>
  <w:style w:type="character" w:styleId="858" w:customStyle="1">
    <w:name w:val="Font Style15"/>
    <w:qFormat/>
    <w:rPr>
      <w:rFonts w:ascii="Times New Roman" w:hAnsi="Times New Roman" w:eastAsia="Times New Roman" w:cs="Times New Roman"/>
      <w:sz w:val="24"/>
      <w:szCs w:val="24"/>
    </w:rPr>
  </w:style>
  <w:style w:type="character" w:styleId="859" w:customStyle="1">
    <w:name w:val="Font Style14"/>
    <w:qFormat/>
    <w:rPr>
      <w:rFonts w:ascii="Times New Roman" w:hAnsi="Times New Roman" w:eastAsia="Times New Roman" w:cs="Times New Roman"/>
      <w:b/>
      <w:bCs/>
      <w:sz w:val="24"/>
      <w:szCs w:val="24"/>
    </w:rPr>
  </w:style>
  <w:style w:type="character" w:styleId="860" w:customStyle="1">
    <w:name w:val="Стиль4 Знак"/>
    <w:qFormat/>
    <w:rPr>
      <w:rFonts w:ascii="Times New Roman" w:hAnsi="Times New Roman" w:eastAsia="Times New Roman" w:cs="Times New Roman"/>
      <w:bCs/>
      <w:caps/>
      <w:color w:val="333399"/>
      <w:sz w:val="30"/>
      <w:szCs w:val="30"/>
      <w:lang w:eastAsia="ru-RU"/>
    </w:rPr>
  </w:style>
  <w:style w:type="character" w:styleId="861" w:customStyle="1">
    <w:name w:val="Текст примечания Знак1"/>
    <w:basedOn w:val="794"/>
    <w:qFormat/>
    <w:rPr>
      <w:rFonts w:ascii="Times New Roman" w:hAnsi="Times New Roman" w:eastAsia="Times New Roman" w:cs="Times New Roman"/>
      <w:sz w:val="20"/>
      <w:szCs w:val="20"/>
      <w:lang w:eastAsia="ru-RU"/>
    </w:rPr>
  </w:style>
  <w:style w:type="character" w:styleId="862" w:customStyle="1">
    <w:name w:val="portal-header__logo-subtitle1"/>
    <w:qFormat/>
    <w:rPr>
      <w:rFonts w:ascii="Roboto Condensed" w:hAnsi="Roboto Condensed" w:eastAsia="Roboto Condensed" w:cs="Roboto Condensed"/>
      <w:color w:val="8e8e8e"/>
      <w:sz w:val="24"/>
      <w:szCs w:val="24"/>
    </w:rPr>
  </w:style>
  <w:style w:type="character" w:styleId="863" w:customStyle="1">
    <w:name w:val="Visited Internet Link"/>
    <w:qFormat/>
    <w:rPr>
      <w:color w:val="800080"/>
      <w:u w:val="single"/>
    </w:rPr>
  </w:style>
  <w:style w:type="character" w:styleId="864" w:customStyle="1">
    <w:name w:val="Font Style18"/>
    <w:qFormat/>
    <w:rPr>
      <w:rFonts w:ascii="Times New Roman" w:hAnsi="Times New Roman" w:eastAsia="Times New Roman" w:cs="Times New Roman"/>
      <w:sz w:val="26"/>
      <w:szCs w:val="26"/>
    </w:rPr>
  </w:style>
  <w:style w:type="character" w:styleId="865" w:customStyle="1">
    <w:name w:val="Мой обычный Знак"/>
    <w:qFormat/>
    <w:rPr>
      <w:rFonts w:ascii="Century Schoolbook" w:hAnsi="Century Schoolbook" w:eastAsia="Century Schoolbook" w:cs="Century Schoolbook"/>
      <w:bCs/>
      <w:iCs/>
      <w:sz w:val="22"/>
      <w:szCs w:val="22"/>
    </w:rPr>
  </w:style>
  <w:style w:type="character" w:styleId="866" w:customStyle="1">
    <w:name w:val="Шапка Знак"/>
    <w:basedOn w:val="794"/>
    <w:qFormat/>
    <w:rPr>
      <w:rFonts w:ascii="Times New Roman" w:hAnsi="Times New Roman" w:eastAsia="Times New Roman" w:cs="Times New Roman"/>
      <w:sz w:val="20"/>
      <w:szCs w:val="20"/>
      <w:lang w:eastAsia="ru-RU"/>
    </w:rPr>
  </w:style>
  <w:style w:type="character" w:styleId="867" w:customStyle="1">
    <w:name w:val="Текст концевой сноски Знак"/>
    <w:basedOn w:val="794"/>
    <w:qFormat/>
    <w:rPr>
      <w:rFonts w:ascii="Times New Roman" w:hAnsi="Times New Roman" w:eastAsia="Times New Roman" w:cs="Times New Roman"/>
      <w:sz w:val="20"/>
      <w:szCs w:val="20"/>
      <w:lang w:eastAsia="ru-RU"/>
    </w:rPr>
  </w:style>
  <w:style w:type="character" w:styleId="868" w:customStyle="1">
    <w:name w:val="Endnote Symbol"/>
    <w:qFormat/>
    <w:rPr>
      <w:vertAlign w:val="superscript"/>
    </w:rPr>
  </w:style>
  <w:style w:type="character" w:styleId="869" w:customStyle="1">
    <w:name w:val="Заголовок сообщения (текст)"/>
    <w:qFormat/>
    <w:rPr>
      <w:rFonts w:ascii="Arial" w:hAnsi="Arial" w:eastAsia="Arial" w:cs="Arial"/>
      <w:b/>
      <w:spacing w:val="-3"/>
      <w:sz w:val="18"/>
    </w:rPr>
  </w:style>
  <w:style w:type="character" w:styleId="870" w:customStyle="1">
    <w:name w:val="Мой маркер список Знак"/>
    <w:basedOn w:val="794"/>
    <w:qFormat/>
    <w:rPr>
      <w:rFonts w:ascii="Century Schoolbook" w:hAnsi="Century Schoolbook" w:eastAsia="Century Schoolbook" w:cs="Arial"/>
      <w:sz w:val="22"/>
      <w:szCs w:val="22"/>
    </w:rPr>
  </w:style>
  <w:style w:type="character" w:styleId="871" w:customStyle="1">
    <w:name w:val="Ссылка указателя"/>
    <w:qFormat/>
  </w:style>
  <w:style w:type="character" w:styleId="872" w:customStyle="1">
    <w:name w:val="Маркеры"/>
    <w:qFormat/>
    <w:rPr>
      <w:rFonts w:ascii="OpenSymbol" w:hAnsi="OpenSymbol" w:eastAsia="OpenSymbol" w:cs="OpenSymbol"/>
    </w:rPr>
  </w:style>
  <w:style w:type="character" w:styleId="873" w:customStyle="1">
    <w:name w:val="WW_CharLFO2LVL1"/>
    <w:qFormat/>
    <w:rPr>
      <w:rFonts w:ascii="Symbol" w:hAnsi="Symbol" w:eastAsia="Symbol" w:cs="Symbol"/>
    </w:rPr>
  </w:style>
  <w:style w:type="character" w:styleId="874" w:customStyle="1">
    <w:name w:val="WW_CharLFO2LVL2"/>
    <w:qFormat/>
    <w:rPr>
      <w:rFonts w:cs="Courier New"/>
    </w:rPr>
  </w:style>
  <w:style w:type="character" w:styleId="875" w:customStyle="1">
    <w:name w:val="WW_CharLFO2LVL3"/>
    <w:qFormat/>
    <w:rPr>
      <w:rFonts w:ascii="Wingdings" w:hAnsi="Wingdings" w:eastAsia="Wingdings" w:cs="Wingdings"/>
    </w:rPr>
  </w:style>
  <w:style w:type="character" w:styleId="876" w:customStyle="1">
    <w:name w:val="WW_CharLFO2LVL4"/>
    <w:qFormat/>
    <w:rPr>
      <w:rFonts w:ascii="Symbol" w:hAnsi="Symbol" w:eastAsia="Symbol" w:cs="Symbol"/>
    </w:rPr>
  </w:style>
  <w:style w:type="character" w:styleId="877" w:customStyle="1">
    <w:name w:val="WW_CharLFO2LVL5"/>
    <w:qFormat/>
    <w:rPr>
      <w:rFonts w:cs="Courier New"/>
    </w:rPr>
  </w:style>
  <w:style w:type="character" w:styleId="878" w:customStyle="1">
    <w:name w:val="WW_CharLFO2LVL6"/>
    <w:qFormat/>
    <w:rPr>
      <w:rFonts w:ascii="Wingdings" w:hAnsi="Wingdings" w:eastAsia="Wingdings" w:cs="Wingdings"/>
    </w:rPr>
  </w:style>
  <w:style w:type="character" w:styleId="879" w:customStyle="1">
    <w:name w:val="WW_CharLFO2LVL7"/>
    <w:qFormat/>
    <w:rPr>
      <w:rFonts w:ascii="Symbol" w:hAnsi="Symbol" w:eastAsia="Symbol" w:cs="Symbol"/>
    </w:rPr>
  </w:style>
  <w:style w:type="character" w:styleId="880" w:customStyle="1">
    <w:name w:val="WW_CharLFO2LVL8"/>
    <w:qFormat/>
    <w:rPr>
      <w:rFonts w:cs="Courier New"/>
    </w:rPr>
  </w:style>
  <w:style w:type="character" w:styleId="881" w:customStyle="1">
    <w:name w:val="WW_CharLFO2LVL9"/>
    <w:qFormat/>
    <w:rPr>
      <w:rFonts w:ascii="Wingdings" w:hAnsi="Wingdings" w:eastAsia="Wingdings" w:cs="Wingdings"/>
    </w:rPr>
  </w:style>
  <w:style w:type="character" w:styleId="882" w:customStyle="1">
    <w:name w:val="WW_CharLFO3LVL2"/>
    <w:qFormat/>
    <w:rPr>
      <w:rFonts w:cs="Courier New"/>
    </w:rPr>
  </w:style>
  <w:style w:type="character" w:styleId="883" w:customStyle="1">
    <w:name w:val="WW_CharLFO3LVL3"/>
    <w:qFormat/>
    <w:rPr>
      <w:rFonts w:ascii="Wingdings" w:hAnsi="Wingdings" w:eastAsia="Wingdings" w:cs="Wingdings"/>
    </w:rPr>
  </w:style>
  <w:style w:type="character" w:styleId="884" w:customStyle="1">
    <w:name w:val="WW_CharLFO3LVL4"/>
    <w:qFormat/>
    <w:rPr>
      <w:rFonts w:ascii="Symbol" w:hAnsi="Symbol" w:eastAsia="Symbol" w:cs="Symbol"/>
    </w:rPr>
  </w:style>
  <w:style w:type="character" w:styleId="885" w:customStyle="1">
    <w:name w:val="WW_CharLFO3LVL5"/>
    <w:qFormat/>
    <w:rPr>
      <w:rFonts w:cs="Courier New"/>
    </w:rPr>
  </w:style>
  <w:style w:type="character" w:styleId="886" w:customStyle="1">
    <w:name w:val="WW_CharLFO3LVL6"/>
    <w:qFormat/>
    <w:rPr>
      <w:rFonts w:ascii="Wingdings" w:hAnsi="Wingdings" w:eastAsia="Wingdings" w:cs="Wingdings"/>
    </w:rPr>
  </w:style>
  <w:style w:type="character" w:styleId="887" w:customStyle="1">
    <w:name w:val="WW_CharLFO3LVL7"/>
    <w:qFormat/>
    <w:rPr>
      <w:rFonts w:ascii="Symbol" w:hAnsi="Symbol" w:eastAsia="Symbol" w:cs="Symbol"/>
    </w:rPr>
  </w:style>
  <w:style w:type="character" w:styleId="888" w:customStyle="1">
    <w:name w:val="WW_CharLFO3LVL8"/>
    <w:qFormat/>
    <w:rPr>
      <w:rFonts w:cs="Courier New"/>
    </w:rPr>
  </w:style>
  <w:style w:type="character" w:styleId="889" w:customStyle="1">
    <w:name w:val="WW_CharLFO3LVL9"/>
    <w:qFormat/>
    <w:rPr>
      <w:rFonts w:ascii="Wingdings" w:hAnsi="Wingdings" w:eastAsia="Wingdings" w:cs="Wingdings"/>
    </w:rPr>
  </w:style>
  <w:style w:type="character" w:styleId="890" w:customStyle="1">
    <w:name w:val="WW_CharLFO5LVL1"/>
    <w:qFormat/>
    <w:rPr>
      <w:rFonts w:ascii="Wingdings" w:hAnsi="Wingdings" w:eastAsia="Wingdings" w:cs="Wingdings"/>
      <w:sz w:val="16"/>
    </w:rPr>
  </w:style>
  <w:style w:type="character" w:styleId="891" w:customStyle="1">
    <w:name w:val="WW_CharLFO5LVL2"/>
    <w:qFormat/>
    <w:rPr>
      <w:rFonts w:cs="Courier New"/>
    </w:rPr>
  </w:style>
  <w:style w:type="character" w:styleId="892" w:customStyle="1">
    <w:name w:val="WW_CharLFO5LVL3"/>
    <w:qFormat/>
    <w:rPr>
      <w:rFonts w:ascii="Wingdings" w:hAnsi="Wingdings" w:eastAsia="Wingdings" w:cs="Wingdings"/>
    </w:rPr>
  </w:style>
  <w:style w:type="character" w:styleId="893" w:customStyle="1">
    <w:name w:val="WW_CharLFO5LVL4"/>
    <w:qFormat/>
    <w:rPr>
      <w:rFonts w:ascii="Symbol" w:hAnsi="Symbol" w:eastAsia="Symbol" w:cs="Symbol"/>
    </w:rPr>
  </w:style>
  <w:style w:type="character" w:styleId="894" w:customStyle="1">
    <w:name w:val="WW_CharLFO5LVL5"/>
    <w:qFormat/>
    <w:rPr>
      <w:rFonts w:cs="Courier New"/>
    </w:rPr>
  </w:style>
  <w:style w:type="character" w:styleId="895" w:customStyle="1">
    <w:name w:val="WW_CharLFO5LVL6"/>
    <w:qFormat/>
    <w:rPr>
      <w:rFonts w:ascii="Wingdings" w:hAnsi="Wingdings" w:eastAsia="Wingdings" w:cs="Wingdings"/>
    </w:rPr>
  </w:style>
  <w:style w:type="character" w:styleId="896" w:customStyle="1">
    <w:name w:val="WW_CharLFO5LVL7"/>
    <w:qFormat/>
    <w:rPr>
      <w:rFonts w:ascii="Symbol" w:hAnsi="Symbol" w:eastAsia="Symbol" w:cs="Symbol"/>
    </w:rPr>
  </w:style>
  <w:style w:type="character" w:styleId="897" w:customStyle="1">
    <w:name w:val="WW_CharLFO5LVL8"/>
    <w:qFormat/>
    <w:rPr>
      <w:rFonts w:cs="Courier New"/>
    </w:rPr>
  </w:style>
  <w:style w:type="character" w:styleId="898" w:customStyle="1">
    <w:name w:val="WW_CharLFO5LVL9"/>
    <w:qFormat/>
    <w:rPr>
      <w:rFonts w:ascii="Wingdings" w:hAnsi="Wingdings" w:eastAsia="Wingdings" w:cs="Wingdings"/>
    </w:rPr>
  </w:style>
  <w:style w:type="character" w:styleId="899" w:customStyle="1">
    <w:name w:val="WW_CharLFO7LVL1"/>
    <w:qFormat/>
    <w:rPr>
      <w:rFonts w:cs="Times New Roman"/>
    </w:rPr>
  </w:style>
  <w:style w:type="character" w:styleId="900" w:customStyle="1">
    <w:name w:val="WW_CharLFO7LVL2"/>
    <w:qFormat/>
    <w:rPr>
      <w:rFonts w:cs="Courier New"/>
    </w:rPr>
  </w:style>
  <w:style w:type="character" w:styleId="901" w:customStyle="1">
    <w:name w:val="WW_CharLFO7LVL3"/>
    <w:qFormat/>
    <w:rPr>
      <w:rFonts w:ascii="Wingdings" w:hAnsi="Wingdings" w:eastAsia="Wingdings" w:cs="Wingdings"/>
    </w:rPr>
  </w:style>
  <w:style w:type="character" w:styleId="902" w:customStyle="1">
    <w:name w:val="WW_CharLFO7LVL4"/>
    <w:qFormat/>
    <w:rPr>
      <w:rFonts w:ascii="Symbol" w:hAnsi="Symbol" w:eastAsia="Symbol" w:cs="Symbol"/>
    </w:rPr>
  </w:style>
  <w:style w:type="character" w:styleId="903" w:customStyle="1">
    <w:name w:val="WW_CharLFO7LVL5"/>
    <w:qFormat/>
    <w:rPr>
      <w:rFonts w:cs="Courier New"/>
    </w:rPr>
  </w:style>
  <w:style w:type="character" w:styleId="904" w:customStyle="1">
    <w:name w:val="WW_CharLFO7LVL6"/>
    <w:qFormat/>
    <w:rPr>
      <w:rFonts w:ascii="Wingdings" w:hAnsi="Wingdings" w:eastAsia="Wingdings" w:cs="Wingdings"/>
    </w:rPr>
  </w:style>
  <w:style w:type="character" w:styleId="905" w:customStyle="1">
    <w:name w:val="WW_CharLFO7LVL7"/>
    <w:qFormat/>
    <w:rPr>
      <w:rFonts w:ascii="Symbol" w:hAnsi="Symbol" w:eastAsia="Symbol" w:cs="Symbol"/>
    </w:rPr>
  </w:style>
  <w:style w:type="character" w:styleId="906" w:customStyle="1">
    <w:name w:val="WW_CharLFO7LVL8"/>
    <w:qFormat/>
    <w:rPr>
      <w:rFonts w:cs="Courier New"/>
    </w:rPr>
  </w:style>
  <w:style w:type="character" w:styleId="907" w:customStyle="1">
    <w:name w:val="WW_CharLFO7LVL9"/>
    <w:qFormat/>
    <w:rPr>
      <w:rFonts w:ascii="Wingdings" w:hAnsi="Wingdings" w:eastAsia="Wingdings" w:cs="Wingdings"/>
    </w:rPr>
  </w:style>
  <w:style w:type="character" w:styleId="908" w:customStyle="1">
    <w:name w:val="WW_CharLFO8LVL1"/>
    <w:qFormat/>
    <w:rPr>
      <w:rFonts w:ascii="Times New Roman" w:hAnsi="Times New Roman" w:eastAsia="Times New Roman" w:cs="Times New Roman"/>
    </w:rPr>
  </w:style>
  <w:style w:type="character" w:styleId="909" w:customStyle="1">
    <w:name w:val="WW_CharLFO10LVL1"/>
    <w:qFormat/>
    <w:rPr>
      <w:rFonts w:ascii="Symbol" w:hAnsi="Symbol" w:eastAsia="Symbol" w:cs="Symbol"/>
    </w:rPr>
  </w:style>
  <w:style w:type="character" w:styleId="910" w:customStyle="1">
    <w:name w:val="WW_CharLFO10LVL2"/>
    <w:qFormat/>
    <w:rPr>
      <w:rFonts w:cs="Courier New"/>
    </w:rPr>
  </w:style>
  <w:style w:type="character" w:styleId="911" w:customStyle="1">
    <w:name w:val="WW_CharLFO10LVL3"/>
    <w:qFormat/>
    <w:rPr>
      <w:rFonts w:ascii="Wingdings" w:hAnsi="Wingdings" w:eastAsia="Wingdings" w:cs="Wingdings"/>
    </w:rPr>
  </w:style>
  <w:style w:type="character" w:styleId="912" w:customStyle="1">
    <w:name w:val="WW_CharLFO10LVL4"/>
    <w:qFormat/>
    <w:rPr>
      <w:rFonts w:ascii="Symbol" w:hAnsi="Symbol" w:eastAsia="Symbol" w:cs="Symbol"/>
    </w:rPr>
  </w:style>
  <w:style w:type="character" w:styleId="913" w:customStyle="1">
    <w:name w:val="WW_CharLFO10LVL5"/>
    <w:qFormat/>
    <w:rPr>
      <w:rFonts w:cs="Courier New"/>
    </w:rPr>
  </w:style>
  <w:style w:type="character" w:styleId="914" w:customStyle="1">
    <w:name w:val="WW_CharLFO10LVL6"/>
    <w:qFormat/>
    <w:rPr>
      <w:rFonts w:ascii="Wingdings" w:hAnsi="Wingdings" w:eastAsia="Wingdings" w:cs="Wingdings"/>
    </w:rPr>
  </w:style>
  <w:style w:type="character" w:styleId="915" w:customStyle="1">
    <w:name w:val="WW_CharLFO10LVL7"/>
    <w:qFormat/>
    <w:rPr>
      <w:rFonts w:ascii="Symbol" w:hAnsi="Symbol" w:eastAsia="Symbol" w:cs="Symbol"/>
    </w:rPr>
  </w:style>
  <w:style w:type="character" w:styleId="916" w:customStyle="1">
    <w:name w:val="WW_CharLFO10LVL8"/>
    <w:qFormat/>
    <w:rPr>
      <w:rFonts w:cs="Courier New"/>
    </w:rPr>
  </w:style>
  <w:style w:type="character" w:styleId="917" w:customStyle="1">
    <w:name w:val="WW_CharLFO10LVL9"/>
    <w:qFormat/>
    <w:rPr>
      <w:rFonts w:ascii="Wingdings" w:hAnsi="Wingdings" w:eastAsia="Wingdings" w:cs="Wingdings"/>
    </w:rPr>
  </w:style>
  <w:style w:type="character" w:styleId="918" w:customStyle="1">
    <w:name w:val="WW_CharLFO11LVL1"/>
    <w:qFormat/>
    <w:rPr>
      <w:rFonts w:ascii="Symbol" w:hAnsi="Symbol" w:eastAsia="Symbol" w:cs="Symbol"/>
    </w:rPr>
  </w:style>
  <w:style w:type="character" w:styleId="919" w:customStyle="1">
    <w:name w:val="WW_CharLFO11LVL2"/>
    <w:qFormat/>
    <w:rPr>
      <w:rFonts w:cs="Courier New"/>
    </w:rPr>
  </w:style>
  <w:style w:type="character" w:styleId="920" w:customStyle="1">
    <w:name w:val="WW_CharLFO11LVL3"/>
    <w:qFormat/>
    <w:rPr>
      <w:rFonts w:ascii="Wingdings" w:hAnsi="Wingdings" w:eastAsia="Wingdings" w:cs="Wingdings"/>
    </w:rPr>
  </w:style>
  <w:style w:type="character" w:styleId="921" w:customStyle="1">
    <w:name w:val="WW_CharLFO11LVL4"/>
    <w:qFormat/>
    <w:rPr>
      <w:rFonts w:ascii="Symbol" w:hAnsi="Symbol" w:eastAsia="Symbol" w:cs="Symbol"/>
    </w:rPr>
  </w:style>
  <w:style w:type="character" w:styleId="922" w:customStyle="1">
    <w:name w:val="WW_CharLFO11LVL5"/>
    <w:qFormat/>
    <w:rPr>
      <w:rFonts w:cs="Courier New"/>
    </w:rPr>
  </w:style>
  <w:style w:type="character" w:styleId="923" w:customStyle="1">
    <w:name w:val="WW_CharLFO11LVL6"/>
    <w:qFormat/>
    <w:rPr>
      <w:rFonts w:ascii="Wingdings" w:hAnsi="Wingdings" w:eastAsia="Wingdings" w:cs="Wingdings"/>
    </w:rPr>
  </w:style>
  <w:style w:type="character" w:styleId="924" w:customStyle="1">
    <w:name w:val="WW_CharLFO11LVL7"/>
    <w:qFormat/>
    <w:rPr>
      <w:rFonts w:ascii="Symbol" w:hAnsi="Symbol" w:eastAsia="Symbol" w:cs="Symbol"/>
    </w:rPr>
  </w:style>
  <w:style w:type="character" w:styleId="925" w:customStyle="1">
    <w:name w:val="WW_CharLFO11LVL8"/>
    <w:qFormat/>
    <w:rPr>
      <w:rFonts w:cs="Courier New"/>
    </w:rPr>
  </w:style>
  <w:style w:type="character" w:styleId="926" w:customStyle="1">
    <w:name w:val="WW_CharLFO11LVL9"/>
    <w:qFormat/>
    <w:rPr>
      <w:rFonts w:ascii="Wingdings" w:hAnsi="Wingdings" w:eastAsia="Wingdings" w:cs="Wingdings"/>
    </w:rPr>
  </w:style>
  <w:style w:type="character" w:styleId="927" w:customStyle="1">
    <w:name w:val="WW_CharLFO12LVL1"/>
    <w:qFormat/>
    <w:rPr>
      <w:rFonts w:ascii="Symbol" w:hAnsi="Symbol" w:eastAsia="Symbol" w:cs="Symbol"/>
    </w:rPr>
  </w:style>
  <w:style w:type="character" w:styleId="928" w:customStyle="1">
    <w:name w:val="WW_CharLFO12LVL2"/>
    <w:qFormat/>
    <w:rPr>
      <w:rFonts w:cs="Courier New"/>
    </w:rPr>
  </w:style>
  <w:style w:type="character" w:styleId="929" w:customStyle="1">
    <w:name w:val="WW_CharLFO12LVL3"/>
    <w:qFormat/>
    <w:rPr>
      <w:rFonts w:ascii="Wingdings" w:hAnsi="Wingdings" w:eastAsia="Wingdings" w:cs="Wingdings"/>
    </w:rPr>
  </w:style>
  <w:style w:type="character" w:styleId="930" w:customStyle="1">
    <w:name w:val="WW_CharLFO12LVL4"/>
    <w:qFormat/>
    <w:rPr>
      <w:rFonts w:ascii="Symbol" w:hAnsi="Symbol" w:eastAsia="Symbol" w:cs="Symbol"/>
    </w:rPr>
  </w:style>
  <w:style w:type="character" w:styleId="931" w:customStyle="1">
    <w:name w:val="WW_CharLFO12LVL5"/>
    <w:qFormat/>
    <w:rPr>
      <w:rFonts w:cs="Courier New"/>
    </w:rPr>
  </w:style>
  <w:style w:type="character" w:styleId="932" w:customStyle="1">
    <w:name w:val="WW_CharLFO12LVL6"/>
    <w:qFormat/>
    <w:rPr>
      <w:rFonts w:ascii="Wingdings" w:hAnsi="Wingdings" w:eastAsia="Wingdings" w:cs="Wingdings"/>
    </w:rPr>
  </w:style>
  <w:style w:type="character" w:styleId="933" w:customStyle="1">
    <w:name w:val="WW_CharLFO12LVL7"/>
    <w:qFormat/>
    <w:rPr>
      <w:rFonts w:ascii="Symbol" w:hAnsi="Symbol" w:eastAsia="Symbol" w:cs="Symbol"/>
    </w:rPr>
  </w:style>
  <w:style w:type="character" w:styleId="934" w:customStyle="1">
    <w:name w:val="WW_CharLFO12LVL8"/>
    <w:qFormat/>
    <w:rPr>
      <w:rFonts w:cs="Courier New"/>
    </w:rPr>
  </w:style>
  <w:style w:type="character" w:styleId="935" w:customStyle="1">
    <w:name w:val="WW_CharLFO12LVL9"/>
    <w:qFormat/>
    <w:rPr>
      <w:rFonts w:ascii="Wingdings" w:hAnsi="Wingdings" w:eastAsia="Wingdings" w:cs="Wingdings"/>
    </w:rPr>
  </w:style>
  <w:style w:type="character" w:styleId="936" w:customStyle="1">
    <w:name w:val="WW_CharLFO13LVL1"/>
    <w:qFormat/>
    <w:rPr>
      <w:rFonts w:ascii="Symbol" w:hAnsi="Symbol" w:eastAsia="Symbol" w:cs="Symbol"/>
    </w:rPr>
  </w:style>
  <w:style w:type="character" w:styleId="937" w:customStyle="1">
    <w:name w:val="WW_CharLFO13LVL2"/>
    <w:qFormat/>
    <w:rPr>
      <w:rFonts w:cs="Courier New"/>
    </w:rPr>
  </w:style>
  <w:style w:type="character" w:styleId="938" w:customStyle="1">
    <w:name w:val="WW_CharLFO13LVL3"/>
    <w:qFormat/>
    <w:rPr>
      <w:rFonts w:ascii="Wingdings" w:hAnsi="Wingdings" w:eastAsia="Wingdings" w:cs="Wingdings"/>
    </w:rPr>
  </w:style>
  <w:style w:type="character" w:styleId="939" w:customStyle="1">
    <w:name w:val="WW_CharLFO13LVL4"/>
    <w:qFormat/>
    <w:rPr>
      <w:rFonts w:ascii="Symbol" w:hAnsi="Symbol" w:eastAsia="Symbol" w:cs="Symbol"/>
    </w:rPr>
  </w:style>
  <w:style w:type="character" w:styleId="940" w:customStyle="1">
    <w:name w:val="WW_CharLFO13LVL5"/>
    <w:qFormat/>
    <w:rPr>
      <w:rFonts w:cs="Courier New"/>
    </w:rPr>
  </w:style>
  <w:style w:type="character" w:styleId="941" w:customStyle="1">
    <w:name w:val="WW_CharLFO13LVL6"/>
    <w:qFormat/>
    <w:rPr>
      <w:rFonts w:ascii="Wingdings" w:hAnsi="Wingdings" w:eastAsia="Wingdings" w:cs="Wingdings"/>
    </w:rPr>
  </w:style>
  <w:style w:type="character" w:styleId="942" w:customStyle="1">
    <w:name w:val="WW_CharLFO13LVL7"/>
    <w:qFormat/>
    <w:rPr>
      <w:rFonts w:ascii="Symbol" w:hAnsi="Symbol" w:eastAsia="Symbol" w:cs="Symbol"/>
    </w:rPr>
  </w:style>
  <w:style w:type="character" w:styleId="943" w:customStyle="1">
    <w:name w:val="WW_CharLFO13LVL8"/>
    <w:qFormat/>
    <w:rPr>
      <w:rFonts w:cs="Courier New"/>
    </w:rPr>
  </w:style>
  <w:style w:type="character" w:styleId="944" w:customStyle="1">
    <w:name w:val="WW_CharLFO13LVL9"/>
    <w:qFormat/>
    <w:rPr>
      <w:rFonts w:ascii="Wingdings" w:hAnsi="Wingdings" w:eastAsia="Wingdings" w:cs="Wingdings"/>
    </w:rPr>
  </w:style>
  <w:style w:type="character" w:styleId="945" w:customStyle="1">
    <w:name w:val="WW_CharLFO16LVL1"/>
    <w:qFormat/>
    <w:rPr>
      <w:rFonts w:ascii="Symbol" w:hAnsi="Symbol" w:eastAsia="Symbol" w:cs="Symbol"/>
    </w:rPr>
  </w:style>
  <w:style w:type="character" w:styleId="946" w:customStyle="1">
    <w:name w:val="WW_CharLFO16LVL2"/>
    <w:qFormat/>
    <w:rPr>
      <w:rFonts w:cs="Courier New"/>
    </w:rPr>
  </w:style>
  <w:style w:type="character" w:styleId="947" w:customStyle="1">
    <w:name w:val="WW_CharLFO16LVL3"/>
    <w:qFormat/>
    <w:rPr>
      <w:rFonts w:ascii="Wingdings" w:hAnsi="Wingdings" w:eastAsia="Wingdings" w:cs="Wingdings"/>
    </w:rPr>
  </w:style>
  <w:style w:type="character" w:styleId="948" w:customStyle="1">
    <w:name w:val="WW_CharLFO16LVL4"/>
    <w:qFormat/>
    <w:rPr>
      <w:rFonts w:ascii="Symbol" w:hAnsi="Symbol" w:eastAsia="Symbol" w:cs="Symbol"/>
    </w:rPr>
  </w:style>
  <w:style w:type="character" w:styleId="949" w:customStyle="1">
    <w:name w:val="WW_CharLFO16LVL5"/>
    <w:qFormat/>
    <w:rPr>
      <w:rFonts w:cs="Courier New"/>
    </w:rPr>
  </w:style>
  <w:style w:type="character" w:styleId="950" w:customStyle="1">
    <w:name w:val="WW_CharLFO16LVL6"/>
    <w:qFormat/>
    <w:rPr>
      <w:rFonts w:ascii="Wingdings" w:hAnsi="Wingdings" w:eastAsia="Wingdings" w:cs="Wingdings"/>
    </w:rPr>
  </w:style>
  <w:style w:type="character" w:styleId="951" w:customStyle="1">
    <w:name w:val="WW_CharLFO16LVL7"/>
    <w:qFormat/>
    <w:rPr>
      <w:rFonts w:ascii="Symbol" w:hAnsi="Symbol" w:eastAsia="Symbol" w:cs="Symbol"/>
    </w:rPr>
  </w:style>
  <w:style w:type="character" w:styleId="952" w:customStyle="1">
    <w:name w:val="WW_CharLFO16LVL8"/>
    <w:qFormat/>
    <w:rPr>
      <w:rFonts w:cs="Courier New"/>
    </w:rPr>
  </w:style>
  <w:style w:type="character" w:styleId="953" w:customStyle="1">
    <w:name w:val="WW_CharLFO16LVL9"/>
    <w:qFormat/>
    <w:rPr>
      <w:rFonts w:ascii="Wingdings" w:hAnsi="Wingdings" w:eastAsia="Wingdings" w:cs="Wingdings"/>
    </w:rPr>
  </w:style>
  <w:style w:type="character" w:styleId="954" w:customStyle="1">
    <w:name w:val="WW_CharLFO17LVL1"/>
    <w:qFormat/>
    <w:rPr>
      <w:rFonts w:ascii="Symbol" w:hAnsi="Symbol" w:eastAsia="Symbol" w:cs="Symbol"/>
    </w:rPr>
  </w:style>
  <w:style w:type="character" w:styleId="955" w:customStyle="1">
    <w:name w:val="WW_CharLFO17LVL2"/>
    <w:qFormat/>
    <w:rPr>
      <w:rFonts w:cs="Courier New"/>
    </w:rPr>
  </w:style>
  <w:style w:type="character" w:styleId="956" w:customStyle="1">
    <w:name w:val="WW_CharLFO17LVL3"/>
    <w:qFormat/>
    <w:rPr>
      <w:rFonts w:ascii="Wingdings" w:hAnsi="Wingdings" w:eastAsia="Wingdings" w:cs="Wingdings"/>
    </w:rPr>
  </w:style>
  <w:style w:type="character" w:styleId="957" w:customStyle="1">
    <w:name w:val="WW_CharLFO17LVL4"/>
    <w:qFormat/>
    <w:rPr>
      <w:rFonts w:ascii="Symbol" w:hAnsi="Symbol" w:eastAsia="Symbol" w:cs="Symbol"/>
    </w:rPr>
  </w:style>
  <w:style w:type="character" w:styleId="958" w:customStyle="1">
    <w:name w:val="WW_CharLFO17LVL5"/>
    <w:qFormat/>
    <w:rPr>
      <w:rFonts w:cs="Courier New"/>
    </w:rPr>
  </w:style>
  <w:style w:type="character" w:styleId="959" w:customStyle="1">
    <w:name w:val="WW_CharLFO17LVL6"/>
    <w:qFormat/>
    <w:rPr>
      <w:rFonts w:ascii="Wingdings" w:hAnsi="Wingdings" w:eastAsia="Wingdings" w:cs="Wingdings"/>
    </w:rPr>
  </w:style>
  <w:style w:type="character" w:styleId="960" w:customStyle="1">
    <w:name w:val="WW_CharLFO17LVL7"/>
    <w:qFormat/>
    <w:rPr>
      <w:rFonts w:ascii="Symbol" w:hAnsi="Symbol" w:eastAsia="Symbol" w:cs="Symbol"/>
    </w:rPr>
  </w:style>
  <w:style w:type="character" w:styleId="961" w:customStyle="1">
    <w:name w:val="WW_CharLFO17LVL8"/>
    <w:qFormat/>
    <w:rPr>
      <w:rFonts w:cs="Courier New"/>
    </w:rPr>
  </w:style>
  <w:style w:type="character" w:styleId="962" w:customStyle="1">
    <w:name w:val="WW_CharLFO17LVL9"/>
    <w:qFormat/>
    <w:rPr>
      <w:rFonts w:ascii="Wingdings" w:hAnsi="Wingdings" w:eastAsia="Wingdings" w:cs="Wingdings"/>
    </w:rPr>
  </w:style>
  <w:style w:type="character" w:styleId="963" w:customStyle="1">
    <w:name w:val="WW_CharLFO19LVL1"/>
    <w:qFormat/>
    <w:rPr>
      <w:rFonts w:ascii="Symbol" w:hAnsi="Symbol" w:eastAsia="Symbol" w:cs="Symbol"/>
    </w:rPr>
  </w:style>
  <w:style w:type="character" w:styleId="964" w:customStyle="1">
    <w:name w:val="WW_CharLFO19LVL2"/>
    <w:qFormat/>
    <w:rPr>
      <w:rFonts w:cs="Courier New"/>
    </w:rPr>
  </w:style>
  <w:style w:type="character" w:styleId="965" w:customStyle="1">
    <w:name w:val="WW_CharLFO19LVL3"/>
    <w:qFormat/>
    <w:rPr>
      <w:rFonts w:ascii="Wingdings" w:hAnsi="Wingdings" w:eastAsia="Wingdings" w:cs="Wingdings"/>
    </w:rPr>
  </w:style>
  <w:style w:type="character" w:styleId="966" w:customStyle="1">
    <w:name w:val="WW_CharLFO19LVL4"/>
    <w:qFormat/>
    <w:rPr>
      <w:rFonts w:ascii="Symbol" w:hAnsi="Symbol" w:eastAsia="Symbol" w:cs="Symbol"/>
    </w:rPr>
  </w:style>
  <w:style w:type="character" w:styleId="967" w:customStyle="1">
    <w:name w:val="WW_CharLFO19LVL5"/>
    <w:qFormat/>
    <w:rPr>
      <w:rFonts w:cs="Courier New"/>
    </w:rPr>
  </w:style>
  <w:style w:type="character" w:styleId="968" w:customStyle="1">
    <w:name w:val="WW_CharLFO19LVL6"/>
    <w:qFormat/>
    <w:rPr>
      <w:rFonts w:ascii="Wingdings" w:hAnsi="Wingdings" w:eastAsia="Wingdings" w:cs="Wingdings"/>
    </w:rPr>
  </w:style>
  <w:style w:type="character" w:styleId="969" w:customStyle="1">
    <w:name w:val="WW_CharLFO19LVL7"/>
    <w:qFormat/>
    <w:rPr>
      <w:rFonts w:ascii="Symbol" w:hAnsi="Symbol" w:eastAsia="Symbol" w:cs="Symbol"/>
    </w:rPr>
  </w:style>
  <w:style w:type="character" w:styleId="970" w:customStyle="1">
    <w:name w:val="WW_CharLFO19LVL8"/>
    <w:qFormat/>
    <w:rPr>
      <w:rFonts w:cs="Courier New"/>
    </w:rPr>
  </w:style>
  <w:style w:type="character" w:styleId="971" w:customStyle="1">
    <w:name w:val="WW_CharLFO19LVL9"/>
    <w:qFormat/>
    <w:rPr>
      <w:rFonts w:ascii="Wingdings" w:hAnsi="Wingdings" w:eastAsia="Wingdings" w:cs="Wingdings"/>
    </w:rPr>
  </w:style>
  <w:style w:type="character" w:styleId="972" w:customStyle="1">
    <w:name w:val="WW_CharLFO20LVL1"/>
    <w:qFormat/>
    <w:rPr>
      <w:rFonts w:ascii="Wingdings" w:hAnsi="Wingdings" w:eastAsia="Wingdings" w:cs="Wingdings"/>
    </w:rPr>
  </w:style>
  <w:style w:type="character" w:styleId="973" w:customStyle="1">
    <w:name w:val="WW_CharLFO20LVL2"/>
    <w:qFormat/>
    <w:rPr>
      <w:rFonts w:cs="Courier New"/>
    </w:rPr>
  </w:style>
  <w:style w:type="character" w:styleId="974" w:customStyle="1">
    <w:name w:val="WW_CharLFO20LVL3"/>
    <w:qFormat/>
    <w:rPr>
      <w:rFonts w:ascii="Wingdings" w:hAnsi="Wingdings" w:eastAsia="Wingdings" w:cs="Wingdings"/>
    </w:rPr>
  </w:style>
  <w:style w:type="character" w:styleId="975" w:customStyle="1">
    <w:name w:val="WW_CharLFO20LVL4"/>
    <w:qFormat/>
    <w:rPr>
      <w:rFonts w:ascii="Symbol" w:hAnsi="Symbol" w:eastAsia="Symbol" w:cs="Symbol"/>
    </w:rPr>
  </w:style>
  <w:style w:type="character" w:styleId="976" w:customStyle="1">
    <w:name w:val="WW_CharLFO20LVL5"/>
    <w:qFormat/>
    <w:rPr>
      <w:rFonts w:cs="Courier New"/>
    </w:rPr>
  </w:style>
  <w:style w:type="character" w:styleId="977" w:customStyle="1">
    <w:name w:val="WW_CharLFO20LVL6"/>
    <w:qFormat/>
    <w:rPr>
      <w:rFonts w:ascii="Wingdings" w:hAnsi="Wingdings" w:eastAsia="Wingdings" w:cs="Wingdings"/>
    </w:rPr>
  </w:style>
  <w:style w:type="character" w:styleId="978" w:customStyle="1">
    <w:name w:val="WW_CharLFO20LVL7"/>
    <w:qFormat/>
    <w:rPr>
      <w:rFonts w:ascii="Symbol" w:hAnsi="Symbol" w:eastAsia="Symbol" w:cs="Symbol"/>
    </w:rPr>
  </w:style>
  <w:style w:type="character" w:styleId="979" w:customStyle="1">
    <w:name w:val="WW_CharLFO20LVL8"/>
    <w:qFormat/>
    <w:rPr>
      <w:rFonts w:cs="Courier New"/>
    </w:rPr>
  </w:style>
  <w:style w:type="character" w:styleId="980" w:customStyle="1">
    <w:name w:val="WW_CharLFO20LVL9"/>
    <w:qFormat/>
    <w:rPr>
      <w:rFonts w:ascii="Wingdings" w:hAnsi="Wingdings" w:eastAsia="Wingdings" w:cs="Wingdings"/>
    </w:rPr>
  </w:style>
  <w:style w:type="character" w:styleId="981" w:customStyle="1">
    <w:name w:val="WW_CharLFO21LVL1"/>
    <w:qFormat/>
    <w:rPr>
      <w:rFonts w:ascii="Symbol" w:hAnsi="Symbol" w:eastAsia="Symbol" w:cs="Symbol"/>
    </w:rPr>
  </w:style>
  <w:style w:type="character" w:styleId="982" w:customStyle="1">
    <w:name w:val="WW_CharLFO21LVL2"/>
    <w:qFormat/>
    <w:rPr>
      <w:rFonts w:eastAsia="Courier New" w:cs="Courier New"/>
    </w:rPr>
  </w:style>
  <w:style w:type="character" w:styleId="983" w:customStyle="1">
    <w:name w:val="WW_CharLFO21LVL3"/>
    <w:qFormat/>
    <w:rPr>
      <w:rFonts w:ascii="Wingdings" w:hAnsi="Wingdings" w:eastAsia="Wingdings" w:cs="Wingdings"/>
    </w:rPr>
  </w:style>
  <w:style w:type="character" w:styleId="984" w:customStyle="1">
    <w:name w:val="WW_CharLFO21LVL4"/>
    <w:qFormat/>
    <w:rPr>
      <w:rFonts w:ascii="Symbol" w:hAnsi="Symbol" w:eastAsia="Symbol" w:cs="Symbol"/>
    </w:rPr>
  </w:style>
  <w:style w:type="character" w:styleId="985" w:customStyle="1">
    <w:name w:val="WW_CharLFO21LVL5"/>
    <w:qFormat/>
    <w:rPr>
      <w:rFonts w:eastAsia="Courier New" w:cs="Courier New"/>
    </w:rPr>
  </w:style>
  <w:style w:type="character" w:styleId="986" w:customStyle="1">
    <w:name w:val="WW_CharLFO21LVL6"/>
    <w:qFormat/>
    <w:rPr>
      <w:rFonts w:ascii="Wingdings" w:hAnsi="Wingdings" w:eastAsia="Wingdings" w:cs="Wingdings"/>
    </w:rPr>
  </w:style>
  <w:style w:type="character" w:styleId="987" w:customStyle="1">
    <w:name w:val="WW_CharLFO21LVL7"/>
    <w:qFormat/>
    <w:rPr>
      <w:rFonts w:ascii="Symbol" w:hAnsi="Symbol" w:eastAsia="Symbol" w:cs="Symbol"/>
    </w:rPr>
  </w:style>
  <w:style w:type="character" w:styleId="988" w:customStyle="1">
    <w:name w:val="WW_CharLFO21LVL8"/>
    <w:qFormat/>
    <w:rPr>
      <w:rFonts w:eastAsia="Courier New" w:cs="Courier New"/>
    </w:rPr>
  </w:style>
  <w:style w:type="character" w:styleId="989" w:customStyle="1">
    <w:name w:val="WW_CharLFO21LVL9"/>
    <w:qFormat/>
    <w:rPr>
      <w:rFonts w:ascii="Wingdings" w:hAnsi="Wingdings" w:eastAsia="Wingdings" w:cs="Wingdings"/>
    </w:rPr>
  </w:style>
  <w:style w:type="character" w:styleId="990" w:customStyle="1">
    <w:name w:val="WW_CharLFO22LVL1"/>
    <w:qFormat/>
    <w:rPr>
      <w:rFonts w:ascii="Wingdings" w:hAnsi="Wingdings" w:eastAsia="Wingdings" w:cs="Wingdings"/>
    </w:rPr>
  </w:style>
  <w:style w:type="character" w:styleId="991" w:customStyle="1">
    <w:name w:val="WW_CharLFO22LVL2"/>
    <w:qFormat/>
    <w:rPr>
      <w:rFonts w:eastAsia="Courier New" w:cs="Courier New"/>
    </w:rPr>
  </w:style>
  <w:style w:type="character" w:styleId="992" w:customStyle="1">
    <w:name w:val="WW_CharLFO22LVL3"/>
    <w:qFormat/>
    <w:rPr>
      <w:rFonts w:ascii="Wingdings" w:hAnsi="Wingdings" w:eastAsia="Wingdings" w:cs="Wingdings"/>
    </w:rPr>
  </w:style>
  <w:style w:type="character" w:styleId="993" w:customStyle="1">
    <w:name w:val="WW_CharLFO22LVL4"/>
    <w:qFormat/>
    <w:rPr>
      <w:rFonts w:ascii="Symbol" w:hAnsi="Symbol" w:eastAsia="Symbol" w:cs="Symbol"/>
    </w:rPr>
  </w:style>
  <w:style w:type="character" w:styleId="994" w:customStyle="1">
    <w:name w:val="WW_CharLFO22LVL5"/>
    <w:qFormat/>
    <w:rPr>
      <w:rFonts w:eastAsia="Courier New" w:cs="Courier New"/>
    </w:rPr>
  </w:style>
  <w:style w:type="character" w:styleId="995" w:customStyle="1">
    <w:name w:val="WW_CharLFO22LVL6"/>
    <w:qFormat/>
    <w:rPr>
      <w:rFonts w:ascii="Wingdings" w:hAnsi="Wingdings" w:eastAsia="Wingdings" w:cs="Wingdings"/>
    </w:rPr>
  </w:style>
  <w:style w:type="character" w:styleId="996" w:customStyle="1">
    <w:name w:val="WW_CharLFO22LVL7"/>
    <w:qFormat/>
    <w:rPr>
      <w:rFonts w:ascii="Symbol" w:hAnsi="Symbol" w:eastAsia="Symbol" w:cs="Symbol"/>
    </w:rPr>
  </w:style>
  <w:style w:type="character" w:styleId="997" w:customStyle="1">
    <w:name w:val="WW_CharLFO22LVL8"/>
    <w:qFormat/>
    <w:rPr>
      <w:rFonts w:eastAsia="Courier New" w:cs="Courier New"/>
    </w:rPr>
  </w:style>
  <w:style w:type="character" w:styleId="998" w:customStyle="1">
    <w:name w:val="WW_CharLFO22LVL9"/>
    <w:qFormat/>
    <w:rPr>
      <w:rFonts w:ascii="Wingdings" w:hAnsi="Wingdings" w:eastAsia="Wingdings" w:cs="Wingdings"/>
    </w:rPr>
  </w:style>
  <w:style w:type="character" w:styleId="999" w:customStyle="1">
    <w:name w:val="WW_CharLFO23LVL1"/>
    <w:qFormat/>
    <w:rPr>
      <w:rFonts w:eastAsia="Arial" w:cs="Arial"/>
    </w:rPr>
  </w:style>
  <w:style w:type="character" w:styleId="1000" w:customStyle="1">
    <w:name w:val="WW_CharLFO23LVL2"/>
    <w:qFormat/>
    <w:rPr>
      <w:rFonts w:eastAsia="Courier New" w:cs="Courier New"/>
    </w:rPr>
  </w:style>
  <w:style w:type="character" w:styleId="1001" w:customStyle="1">
    <w:name w:val="WW_CharLFO23LVL3"/>
    <w:qFormat/>
    <w:rPr>
      <w:rFonts w:ascii="Wingdings" w:hAnsi="Wingdings" w:eastAsia="Wingdings" w:cs="Wingdings"/>
    </w:rPr>
  </w:style>
  <w:style w:type="character" w:styleId="1002" w:customStyle="1">
    <w:name w:val="WW_CharLFO23LVL4"/>
    <w:qFormat/>
    <w:rPr>
      <w:rFonts w:ascii="Symbol" w:hAnsi="Symbol" w:eastAsia="Symbol" w:cs="Symbol"/>
    </w:rPr>
  </w:style>
  <w:style w:type="character" w:styleId="1003" w:customStyle="1">
    <w:name w:val="WW_CharLFO23LVL5"/>
    <w:qFormat/>
    <w:rPr>
      <w:rFonts w:eastAsia="Courier New" w:cs="Courier New"/>
    </w:rPr>
  </w:style>
  <w:style w:type="character" w:styleId="1004" w:customStyle="1">
    <w:name w:val="WW_CharLFO23LVL6"/>
    <w:qFormat/>
    <w:rPr>
      <w:rFonts w:ascii="Wingdings" w:hAnsi="Wingdings" w:eastAsia="Wingdings" w:cs="Wingdings"/>
    </w:rPr>
  </w:style>
  <w:style w:type="character" w:styleId="1005" w:customStyle="1">
    <w:name w:val="WW_CharLFO23LVL7"/>
    <w:qFormat/>
    <w:rPr>
      <w:rFonts w:ascii="Symbol" w:hAnsi="Symbol" w:eastAsia="Symbol" w:cs="Symbol"/>
    </w:rPr>
  </w:style>
  <w:style w:type="character" w:styleId="1006" w:customStyle="1">
    <w:name w:val="WW_CharLFO23LVL8"/>
    <w:qFormat/>
    <w:rPr>
      <w:rFonts w:eastAsia="Courier New" w:cs="Courier New"/>
    </w:rPr>
  </w:style>
  <w:style w:type="character" w:styleId="1007" w:customStyle="1">
    <w:name w:val="WW_CharLFO23LVL9"/>
    <w:qFormat/>
    <w:rPr>
      <w:rFonts w:ascii="Wingdings" w:hAnsi="Wingdings" w:eastAsia="Wingdings" w:cs="Wingdings"/>
    </w:rPr>
  </w:style>
  <w:style w:type="character" w:styleId="1008" w:customStyle="1">
    <w:name w:val="WW_CharLFO24LVL1"/>
    <w:qFormat/>
    <w:rPr>
      <w:rFonts w:ascii="Symbol" w:hAnsi="Symbol" w:eastAsia="Symbol" w:cs="Symbol"/>
    </w:rPr>
  </w:style>
  <w:style w:type="character" w:styleId="1009" w:customStyle="1">
    <w:name w:val="WW_CharLFO24LVL2"/>
    <w:qFormat/>
    <w:rPr>
      <w:rFonts w:cs="Courier New"/>
    </w:rPr>
  </w:style>
  <w:style w:type="character" w:styleId="1010" w:customStyle="1">
    <w:name w:val="WW_CharLFO24LVL3"/>
    <w:qFormat/>
    <w:rPr>
      <w:rFonts w:ascii="Wingdings" w:hAnsi="Wingdings" w:eastAsia="Wingdings" w:cs="Wingdings"/>
    </w:rPr>
  </w:style>
  <w:style w:type="character" w:styleId="1011" w:customStyle="1">
    <w:name w:val="WW_CharLFO24LVL4"/>
    <w:qFormat/>
    <w:rPr>
      <w:rFonts w:ascii="Symbol" w:hAnsi="Symbol" w:eastAsia="Symbol" w:cs="Symbol"/>
    </w:rPr>
  </w:style>
  <w:style w:type="character" w:styleId="1012" w:customStyle="1">
    <w:name w:val="WW_CharLFO24LVL5"/>
    <w:qFormat/>
    <w:rPr>
      <w:rFonts w:cs="Courier New"/>
    </w:rPr>
  </w:style>
  <w:style w:type="character" w:styleId="1013" w:customStyle="1">
    <w:name w:val="WW_CharLFO24LVL6"/>
    <w:qFormat/>
    <w:rPr>
      <w:rFonts w:ascii="Wingdings" w:hAnsi="Wingdings" w:eastAsia="Wingdings" w:cs="Wingdings"/>
    </w:rPr>
  </w:style>
  <w:style w:type="character" w:styleId="1014" w:customStyle="1">
    <w:name w:val="WW_CharLFO24LVL7"/>
    <w:qFormat/>
    <w:rPr>
      <w:rFonts w:ascii="Symbol" w:hAnsi="Symbol" w:eastAsia="Symbol" w:cs="Symbol"/>
    </w:rPr>
  </w:style>
  <w:style w:type="character" w:styleId="1015" w:customStyle="1">
    <w:name w:val="WW_CharLFO24LVL8"/>
    <w:qFormat/>
    <w:rPr>
      <w:rFonts w:cs="Courier New"/>
    </w:rPr>
  </w:style>
  <w:style w:type="character" w:styleId="1016" w:customStyle="1">
    <w:name w:val="WW_CharLFO24LVL9"/>
    <w:qFormat/>
    <w:rPr>
      <w:rFonts w:ascii="Wingdings" w:hAnsi="Wingdings" w:eastAsia="Wingdings" w:cs="Wingdings"/>
    </w:rPr>
  </w:style>
  <w:style w:type="character" w:styleId="1017" w:customStyle="1">
    <w:name w:val="WW_CharLFO26LVL1"/>
    <w:qFormat/>
    <w:rPr>
      <w:rFonts w:ascii="Symbol" w:hAnsi="Symbol" w:eastAsia="Symbol" w:cs="Symbol"/>
    </w:rPr>
  </w:style>
  <w:style w:type="character" w:styleId="1018" w:customStyle="1">
    <w:name w:val="WW_CharLFO26LVL2"/>
    <w:qFormat/>
    <w:rPr>
      <w:rFonts w:cs="Courier New"/>
    </w:rPr>
  </w:style>
  <w:style w:type="character" w:styleId="1019" w:customStyle="1">
    <w:name w:val="WW_CharLFO26LVL3"/>
    <w:qFormat/>
    <w:rPr>
      <w:rFonts w:ascii="Wingdings" w:hAnsi="Wingdings" w:eastAsia="Wingdings" w:cs="Wingdings"/>
    </w:rPr>
  </w:style>
  <w:style w:type="character" w:styleId="1020" w:customStyle="1">
    <w:name w:val="WW_CharLFO26LVL4"/>
    <w:qFormat/>
    <w:rPr>
      <w:rFonts w:ascii="Symbol" w:hAnsi="Symbol" w:eastAsia="Symbol" w:cs="Symbol"/>
    </w:rPr>
  </w:style>
  <w:style w:type="character" w:styleId="1021" w:customStyle="1">
    <w:name w:val="WW_CharLFO26LVL5"/>
    <w:qFormat/>
    <w:rPr>
      <w:rFonts w:cs="Courier New"/>
    </w:rPr>
  </w:style>
  <w:style w:type="character" w:styleId="1022" w:customStyle="1">
    <w:name w:val="WW_CharLFO26LVL6"/>
    <w:qFormat/>
    <w:rPr>
      <w:rFonts w:ascii="Wingdings" w:hAnsi="Wingdings" w:eastAsia="Wingdings" w:cs="Wingdings"/>
    </w:rPr>
  </w:style>
  <w:style w:type="character" w:styleId="1023" w:customStyle="1">
    <w:name w:val="WW_CharLFO26LVL7"/>
    <w:qFormat/>
    <w:rPr>
      <w:rFonts w:ascii="Symbol" w:hAnsi="Symbol" w:eastAsia="Symbol" w:cs="Symbol"/>
    </w:rPr>
  </w:style>
  <w:style w:type="character" w:styleId="1024" w:customStyle="1">
    <w:name w:val="WW_CharLFO26LVL8"/>
    <w:qFormat/>
    <w:rPr>
      <w:rFonts w:cs="Courier New"/>
    </w:rPr>
  </w:style>
  <w:style w:type="character" w:styleId="1025" w:customStyle="1">
    <w:name w:val="WW_CharLFO26LVL9"/>
    <w:qFormat/>
    <w:rPr>
      <w:rFonts w:ascii="Wingdings" w:hAnsi="Wingdings" w:eastAsia="Wingdings" w:cs="Wingdings"/>
    </w:rPr>
  </w:style>
  <w:style w:type="character" w:styleId="1026" w:customStyle="1">
    <w:name w:val="WW_CharLFO29LVL1"/>
    <w:qFormat/>
    <w:rPr>
      <w:rFonts w:eastAsia="Arial" w:cs="Arial"/>
    </w:rPr>
  </w:style>
  <w:style w:type="character" w:styleId="1027" w:customStyle="1">
    <w:name w:val="WW_CharLFO29LVL2"/>
    <w:qFormat/>
    <w:rPr>
      <w:rFonts w:cs="Courier New"/>
    </w:rPr>
  </w:style>
  <w:style w:type="character" w:styleId="1028" w:customStyle="1">
    <w:name w:val="WW_CharLFO29LVL3"/>
    <w:qFormat/>
    <w:rPr>
      <w:rFonts w:ascii="Wingdings" w:hAnsi="Wingdings" w:eastAsia="Wingdings" w:cs="Wingdings"/>
    </w:rPr>
  </w:style>
  <w:style w:type="character" w:styleId="1029" w:customStyle="1">
    <w:name w:val="WW_CharLFO29LVL4"/>
    <w:qFormat/>
    <w:rPr>
      <w:rFonts w:ascii="Symbol" w:hAnsi="Symbol" w:eastAsia="Symbol" w:cs="Symbol"/>
    </w:rPr>
  </w:style>
  <w:style w:type="character" w:styleId="1030" w:customStyle="1">
    <w:name w:val="WW_CharLFO29LVL5"/>
    <w:qFormat/>
    <w:rPr>
      <w:rFonts w:cs="Courier New"/>
    </w:rPr>
  </w:style>
  <w:style w:type="character" w:styleId="1031" w:customStyle="1">
    <w:name w:val="WW_CharLFO29LVL6"/>
    <w:qFormat/>
    <w:rPr>
      <w:rFonts w:ascii="Wingdings" w:hAnsi="Wingdings" w:eastAsia="Wingdings" w:cs="Wingdings"/>
    </w:rPr>
  </w:style>
  <w:style w:type="character" w:styleId="1032" w:customStyle="1">
    <w:name w:val="WW_CharLFO29LVL7"/>
    <w:qFormat/>
    <w:rPr>
      <w:rFonts w:ascii="Symbol" w:hAnsi="Symbol" w:eastAsia="Symbol" w:cs="Symbol"/>
    </w:rPr>
  </w:style>
  <w:style w:type="character" w:styleId="1033" w:customStyle="1">
    <w:name w:val="WW_CharLFO29LVL8"/>
    <w:qFormat/>
    <w:rPr>
      <w:rFonts w:cs="Courier New"/>
    </w:rPr>
  </w:style>
  <w:style w:type="character" w:styleId="1034" w:customStyle="1">
    <w:name w:val="WW_CharLFO29LVL9"/>
    <w:qFormat/>
    <w:rPr>
      <w:rFonts w:ascii="Wingdings" w:hAnsi="Wingdings" w:eastAsia="Wingdings" w:cs="Wingdings"/>
    </w:rPr>
  </w:style>
  <w:style w:type="character" w:styleId="1035" w:customStyle="1">
    <w:name w:val="Верхний колонтитул Знак1"/>
    <w:basedOn w:val="771"/>
    <w:link w:val="1189"/>
    <w:uiPriority w:val="99"/>
    <w:qFormat/>
  </w:style>
  <w:style w:type="character" w:styleId="1036" w:customStyle="1">
    <w:name w:val="Нижний колонтитул Знак1"/>
    <w:basedOn w:val="771"/>
    <w:link w:val="1190"/>
    <w:uiPriority w:val="99"/>
    <w:qFormat/>
  </w:style>
  <w:style w:type="character" w:styleId="1037" w:customStyle="1">
    <w:name w:val="Заголовок 2 Знак1"/>
    <w:basedOn w:val="771"/>
    <w:uiPriority w:val="9"/>
    <w:semiHidden/>
    <w:qFormat/>
    <w:rPr>
      <w:rFonts w:asciiTheme="majorHAnsi" w:hAnsiTheme="majorHAnsi" w:eastAsiaTheme="majorEastAsia" w:cstheme="majorBidi"/>
      <w:color w:val="365f91" w:themeColor="accent1" w:themeShade="BF"/>
      <w:sz w:val="26"/>
      <w:szCs w:val="26"/>
    </w:rPr>
  </w:style>
  <w:style w:type="character" w:styleId="1038">
    <w:name w:val="Hyperlink"/>
    <w:basedOn w:val="771"/>
    <w:uiPriority w:val="99"/>
    <w:unhideWhenUsed/>
    <w:rPr>
      <w:color w:val="0000ff" w:themeColor="hyperlink"/>
      <w:u w:val="single"/>
    </w:rPr>
  </w:style>
  <w:style w:type="paragraph" w:styleId="1039">
    <w:name w:val="Title"/>
    <w:basedOn w:val="761"/>
    <w:next w:val="1040"/>
    <w:link w:val="806"/>
    <w:uiPriority w:val="10"/>
    <w:qFormat/>
    <w:pPr>
      <w:contextualSpacing/>
      <w:spacing w:before="300" w:after="200"/>
    </w:pPr>
    <w:rPr>
      <w:sz w:val="48"/>
      <w:szCs w:val="48"/>
    </w:rPr>
  </w:style>
  <w:style w:type="paragraph" w:styleId="1040">
    <w:name w:val="Body Text"/>
    <w:basedOn w:val="761"/>
    <w:pPr>
      <w:spacing w:after="140" w:line="276" w:lineRule="auto"/>
    </w:pPr>
  </w:style>
  <w:style w:type="paragraph" w:styleId="1041">
    <w:name w:val="List"/>
    <w:basedOn w:val="1040"/>
    <w:rPr>
      <w:rFonts w:ascii="PT Astra Serif" w:hAnsi="PT Astra Serif"/>
    </w:rPr>
  </w:style>
  <w:style w:type="paragraph" w:styleId="1042">
    <w:name w:val="Caption"/>
    <w:basedOn w:val="761"/>
    <w:next w:val="761"/>
    <w:uiPriority w:val="35"/>
    <w:semiHidden/>
    <w:unhideWhenUsed/>
    <w:qFormat/>
    <w:pPr>
      <w:spacing w:line="276" w:lineRule="auto"/>
    </w:pPr>
    <w:rPr>
      <w:b/>
      <w:bCs/>
      <w:color w:val="4f81bd" w:themeColor="accent1"/>
      <w:sz w:val="18"/>
      <w:szCs w:val="18"/>
    </w:rPr>
  </w:style>
  <w:style w:type="paragraph" w:styleId="1043">
    <w:name w:val="index heading"/>
    <w:basedOn w:val="1039"/>
  </w:style>
  <w:style w:type="paragraph" w:styleId="1044" w:customStyle="1">
    <w:name w:val="Заголовок1"/>
    <w:basedOn w:val="1063"/>
    <w:next w:val="1064"/>
    <w:qFormat/>
    <w:pPr>
      <w:spacing w:after="200"/>
    </w:pPr>
    <w:rPr>
      <w:rFonts w:ascii="Arial" w:hAnsi="Arial"/>
      <w:bCs/>
      <w:sz w:val="72"/>
      <w:szCs w:val="52"/>
    </w:rPr>
  </w:style>
  <w:style w:type="paragraph" w:styleId="1045" w:customStyle="1">
    <w:name w:val="Указатель1"/>
    <w:basedOn w:val="1044"/>
    <w:qFormat/>
    <w:rPr>
      <w:sz w:val="32"/>
      <w:szCs w:val="32"/>
    </w:rPr>
  </w:style>
  <w:style w:type="paragraph" w:styleId="1046">
    <w:name w:val="List Paragraph"/>
    <w:basedOn w:val="761"/>
    <w:uiPriority w:val="34"/>
    <w:qFormat/>
    <w:pPr>
      <w:contextualSpacing/>
      <w:ind w:left="720"/>
    </w:pPr>
  </w:style>
  <w:style w:type="paragraph" w:styleId="1047">
    <w:name w:val="No Spacing"/>
    <w:uiPriority w:val="1"/>
    <w:qFormat/>
  </w:style>
  <w:style w:type="paragraph" w:styleId="1048">
    <w:name w:val="Subtitle"/>
    <w:basedOn w:val="761"/>
    <w:next w:val="761"/>
    <w:link w:val="807"/>
    <w:uiPriority w:val="11"/>
    <w:qFormat/>
    <w:pPr>
      <w:spacing w:before="200" w:after="200"/>
    </w:pPr>
    <w:rPr>
      <w:sz w:val="24"/>
      <w:szCs w:val="24"/>
    </w:rPr>
  </w:style>
  <w:style w:type="paragraph" w:styleId="1049">
    <w:name w:val="Quote"/>
    <w:basedOn w:val="761"/>
    <w:next w:val="761"/>
    <w:link w:val="795"/>
    <w:uiPriority w:val="29"/>
    <w:qFormat/>
    <w:pPr>
      <w:ind w:left="720" w:right="720"/>
    </w:pPr>
    <w:rPr>
      <w:i/>
    </w:rPr>
  </w:style>
  <w:style w:type="paragraph" w:styleId="1050">
    <w:name w:val="Intense Quote"/>
    <w:basedOn w:val="761"/>
    <w:next w:val="761"/>
    <w:link w:val="796"/>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paragraph" w:styleId="1051">
    <w:name w:val="footnote text"/>
    <w:basedOn w:val="761"/>
    <w:uiPriority w:val="99"/>
    <w:semiHidden/>
    <w:unhideWhenUsed/>
    <w:pPr>
      <w:spacing w:after="40"/>
    </w:pPr>
    <w:rPr>
      <w:sz w:val="18"/>
    </w:rPr>
  </w:style>
  <w:style w:type="paragraph" w:styleId="1052">
    <w:name w:val="endnote text"/>
    <w:basedOn w:val="761"/>
    <w:uiPriority w:val="99"/>
    <w:semiHidden/>
    <w:unhideWhenUsed/>
  </w:style>
  <w:style w:type="paragraph" w:styleId="1053">
    <w:name w:val="toc 1"/>
    <w:basedOn w:val="761"/>
    <w:next w:val="761"/>
    <w:uiPriority w:val="39"/>
    <w:unhideWhenUsed/>
    <w:pPr>
      <w:spacing w:after="57"/>
    </w:pPr>
  </w:style>
  <w:style w:type="paragraph" w:styleId="1054">
    <w:name w:val="toc 4"/>
    <w:basedOn w:val="761"/>
    <w:next w:val="761"/>
    <w:uiPriority w:val="39"/>
    <w:unhideWhenUsed/>
    <w:pPr>
      <w:ind w:left="850"/>
      <w:spacing w:after="57"/>
    </w:pPr>
  </w:style>
  <w:style w:type="paragraph" w:styleId="1055">
    <w:name w:val="toc 5"/>
    <w:basedOn w:val="761"/>
    <w:next w:val="761"/>
    <w:uiPriority w:val="39"/>
    <w:unhideWhenUsed/>
    <w:pPr>
      <w:ind w:left="1134"/>
      <w:spacing w:after="57"/>
    </w:pPr>
  </w:style>
  <w:style w:type="paragraph" w:styleId="1056">
    <w:name w:val="toc 6"/>
    <w:basedOn w:val="761"/>
    <w:next w:val="761"/>
    <w:uiPriority w:val="39"/>
    <w:unhideWhenUsed/>
    <w:pPr>
      <w:ind w:left="1417"/>
      <w:spacing w:after="57"/>
    </w:pPr>
  </w:style>
  <w:style w:type="paragraph" w:styleId="1057">
    <w:name w:val="toc 7"/>
    <w:basedOn w:val="761"/>
    <w:next w:val="761"/>
    <w:uiPriority w:val="39"/>
    <w:unhideWhenUsed/>
    <w:pPr>
      <w:ind w:left="1701"/>
      <w:spacing w:after="57"/>
    </w:pPr>
  </w:style>
  <w:style w:type="paragraph" w:styleId="1058">
    <w:name w:val="toc 8"/>
    <w:basedOn w:val="761"/>
    <w:next w:val="761"/>
    <w:uiPriority w:val="39"/>
    <w:unhideWhenUsed/>
    <w:pPr>
      <w:ind w:left="1984"/>
      <w:spacing w:after="57"/>
    </w:pPr>
  </w:style>
  <w:style w:type="paragraph" w:styleId="1059">
    <w:name w:val="toc 9"/>
    <w:basedOn w:val="761"/>
    <w:next w:val="761"/>
    <w:uiPriority w:val="39"/>
    <w:unhideWhenUsed/>
    <w:pPr>
      <w:ind w:left="2268"/>
      <w:spacing w:after="57"/>
    </w:pPr>
  </w:style>
  <w:style w:type="paragraph" w:styleId="1060">
    <w:name w:val="TOC Heading"/>
    <w:uiPriority w:val="39"/>
    <w:unhideWhenUsed/>
  </w:style>
  <w:style w:type="paragraph" w:styleId="1061">
    <w:name w:val="table of figures"/>
    <w:basedOn w:val="761"/>
    <w:next w:val="761"/>
    <w:uiPriority w:val="99"/>
    <w:unhideWhenUsed/>
    <w:qFormat/>
  </w:style>
  <w:style w:type="paragraph" w:styleId="1062" w:customStyle="1">
    <w:name w:val="DStyle_paragraph"/>
    <w:qFormat/>
    <w:pPr>
      <w:widowControl w:val="off"/>
    </w:pPr>
    <w:rPr>
      <w:rFonts w:ascii="Calibri" w:hAnsi="Calibri" w:eastAsia="Calibri" w:cs="Arial"/>
      <w:sz w:val="24"/>
      <w:szCs w:val="24"/>
      <w:lang w:eastAsia="en-US"/>
    </w:rPr>
  </w:style>
  <w:style w:type="paragraph" w:styleId="1063" w:customStyle="1">
    <w:name w:val="Standard"/>
    <w:basedOn w:val="1062"/>
    <w:qFormat/>
    <w:pPr>
      <w:widowControl/>
    </w:pPr>
    <w:rPr>
      <w:rFonts w:ascii="Times New Roman" w:hAnsi="Times New Roman" w:eastAsia="Times New Roman" w:cs="Times New Roman"/>
      <w:lang w:eastAsia="zh-CN"/>
    </w:rPr>
  </w:style>
  <w:style w:type="paragraph" w:styleId="1064" w:customStyle="1">
    <w:name w:val="Text body"/>
    <w:basedOn w:val="1063"/>
    <w:qFormat/>
    <w:pPr>
      <w:spacing w:after="120"/>
    </w:pPr>
  </w:style>
  <w:style w:type="paragraph" w:styleId="1065" w:customStyle="1">
    <w:name w:val="Заголовок 11"/>
    <w:basedOn w:val="1062"/>
    <w:qFormat/>
    <w:pPr>
      <w:jc w:val="center"/>
      <w:spacing w:before="240" w:after="120"/>
    </w:pPr>
    <w:rPr>
      <w:rFonts w:ascii="Times New Roman" w:hAnsi="Times New Roman" w:eastAsia="Times New Roman" w:cs="Times New Roman"/>
      <w:b/>
      <w:bCs/>
      <w:sz w:val="28"/>
      <w:szCs w:val="28"/>
      <w:lang w:eastAsia="ru-RU"/>
    </w:rPr>
  </w:style>
  <w:style w:type="paragraph" w:styleId="1066" w:customStyle="1">
    <w:name w:val="Заголовок 21"/>
    <w:basedOn w:val="1062"/>
    <w:next w:val="1063"/>
    <w:qFormat/>
    <w:pPr>
      <w:spacing w:before="240" w:after="40"/>
    </w:pPr>
    <w:rPr>
      <w:rFonts w:ascii="Times New Roman" w:hAnsi="Times New Roman" w:eastAsia="Times New Roman" w:cs="Times New Roman"/>
      <w:b/>
      <w:bCs/>
      <w:lang w:eastAsia="ru-RU"/>
    </w:rPr>
  </w:style>
  <w:style w:type="paragraph" w:styleId="1067" w:customStyle="1">
    <w:name w:val="Заголовок 31"/>
    <w:basedOn w:val="1062"/>
    <w:next w:val="1063"/>
    <w:qFormat/>
    <w:pPr>
      <w:spacing w:before="240" w:after="40"/>
    </w:pPr>
    <w:rPr>
      <w:rFonts w:ascii="Times New Roman" w:hAnsi="Times New Roman" w:eastAsia="Times New Roman" w:cs="Times New Roman"/>
      <w:b/>
      <w:bCs/>
      <w:lang w:eastAsia="ru-RU"/>
    </w:rPr>
  </w:style>
  <w:style w:type="paragraph" w:styleId="1068" w:customStyle="1">
    <w:name w:val="Заголовок 41"/>
    <w:basedOn w:val="1063"/>
    <w:next w:val="1063"/>
    <w:qFormat/>
    <w:pPr>
      <w:keepNext/>
      <w:spacing w:before="240" w:after="60"/>
      <w:outlineLvl w:val="4"/>
    </w:pPr>
    <w:rPr>
      <w:bCs/>
      <w:szCs w:val="28"/>
    </w:rPr>
  </w:style>
  <w:style w:type="paragraph" w:styleId="1069" w:customStyle="1">
    <w:name w:val="Заголовок 51"/>
    <w:basedOn w:val="1063"/>
    <w:next w:val="1063"/>
    <w:qFormat/>
    <w:pPr>
      <w:spacing w:before="240" w:after="60"/>
      <w:outlineLvl w:val="5"/>
    </w:pPr>
    <w:rPr>
      <w:bCs/>
      <w:i/>
      <w:iCs/>
      <w:sz w:val="26"/>
      <w:szCs w:val="26"/>
    </w:rPr>
  </w:style>
  <w:style w:type="paragraph" w:styleId="1070" w:customStyle="1">
    <w:name w:val="Заголовок 61"/>
    <w:basedOn w:val="1063"/>
    <w:next w:val="1063"/>
    <w:qFormat/>
    <w:pPr>
      <w:spacing w:before="240" w:after="60"/>
      <w:outlineLvl w:val="6"/>
    </w:pPr>
    <w:rPr>
      <w:bCs/>
      <w:sz w:val="22"/>
    </w:rPr>
  </w:style>
  <w:style w:type="paragraph" w:styleId="1071" w:customStyle="1">
    <w:name w:val="Заголовок 71"/>
    <w:basedOn w:val="1063"/>
    <w:next w:val="1063"/>
    <w:qFormat/>
    <w:pPr>
      <w:ind w:left="1296" w:hanging="1295"/>
      <w:jc w:val="both"/>
      <w:spacing w:before="240" w:after="60"/>
      <w:tabs>
        <w:tab w:val="left" w:pos="2591" w:leader="none"/>
      </w:tabs>
      <w:outlineLvl w:val="7"/>
    </w:pPr>
    <w:rPr>
      <w:rFonts w:ascii="Arial" w:hAnsi="Arial"/>
      <w:sz w:val="20"/>
      <w:szCs w:val="20"/>
    </w:rPr>
  </w:style>
  <w:style w:type="paragraph" w:styleId="1072" w:customStyle="1">
    <w:name w:val="Заголовок 81"/>
    <w:basedOn w:val="1063"/>
    <w:next w:val="1063"/>
    <w:qFormat/>
    <w:pPr>
      <w:numPr>
        <w:ilvl w:val="7"/>
        <w:numId w:val="17"/>
      </w:numPr>
      <w:jc w:val="both"/>
      <w:spacing w:before="240" w:after="60"/>
      <w:outlineLvl w:val="8"/>
    </w:pPr>
    <w:rPr>
      <w:rFonts w:ascii="Arial" w:hAnsi="Arial"/>
      <w:i/>
      <w:iCs/>
      <w:sz w:val="20"/>
      <w:szCs w:val="20"/>
    </w:rPr>
  </w:style>
  <w:style w:type="paragraph" w:styleId="1073" w:customStyle="1">
    <w:name w:val="Заголовок 91"/>
    <w:basedOn w:val="1063"/>
    <w:next w:val="1063"/>
    <w:qFormat/>
    <w:pPr>
      <w:jc w:val="both"/>
      <w:spacing w:before="240" w:after="60"/>
      <w:tabs>
        <w:tab w:val="left" w:pos="2747" w:leader="none"/>
      </w:tabs>
    </w:pPr>
    <w:rPr>
      <w:rFonts w:ascii="Arial" w:hAnsi="Arial"/>
      <w:bCs/>
      <w:i/>
      <w:iCs/>
      <w:sz w:val="18"/>
      <w:szCs w:val="18"/>
    </w:rPr>
  </w:style>
  <w:style w:type="paragraph" w:styleId="1074" w:customStyle="1">
    <w:name w:val="Обычный1"/>
    <w:basedOn w:val="1062"/>
    <w:qFormat/>
    <w:pPr>
      <w:widowControl/>
    </w:pPr>
    <w:rPr>
      <w:rFonts w:ascii="AGOpus" w:hAnsi="AGOpus" w:eastAsia="Times New Roman" w:cs="Times New Roman"/>
      <w:color w:val="000000"/>
      <w:sz w:val="22"/>
      <w:szCs w:val="20"/>
      <w:lang w:eastAsia="ru-RU"/>
    </w:rPr>
  </w:style>
  <w:style w:type="paragraph" w:styleId="1075" w:customStyle="1">
    <w:name w:val="Список1"/>
    <w:basedOn w:val="1064"/>
    <w:qFormat/>
    <w:rPr>
      <w:rFonts w:ascii="PT Astra Serif" w:hAnsi="PT Astra Serif" w:eastAsia="PT Astra Serif" w:cs="Noto Sans Devanagari"/>
    </w:rPr>
  </w:style>
  <w:style w:type="paragraph" w:styleId="1076" w:customStyle="1">
    <w:name w:val="Название объекта1"/>
    <w:basedOn w:val="1063"/>
    <w:next w:val="1063"/>
    <w:qFormat/>
    <w:rPr>
      <w:bCs/>
      <w:color w:val="024f75"/>
      <w:sz w:val="18"/>
      <w:szCs w:val="18"/>
    </w:rPr>
  </w:style>
  <w:style w:type="paragraph" w:styleId="1077" w:customStyle="1">
    <w:name w:val="Цитата 21"/>
    <w:basedOn w:val="1063"/>
    <w:next w:val="1063"/>
    <w:qFormat/>
    <w:pPr>
      <w:ind w:left="720" w:right="720"/>
    </w:pPr>
    <w:rPr>
      <w:i/>
    </w:rPr>
  </w:style>
  <w:style w:type="paragraph" w:styleId="1078" w:customStyle="1">
    <w:name w:val="Выделенная цитата1"/>
    <w:basedOn w:val="1063"/>
    <w:next w:val="1063"/>
    <w:qFormat/>
    <w:pPr>
      <w:ind w:left="720" w:right="720"/>
      <w:shd w:val="clear" w:color="auto" w:fill="f2f2f2"/>
      <w:pBdr>
        <w:top w:val="single" w:color="FFFFFF" w:sz="4" w:space="0"/>
        <w:left w:val="single" w:color="FFFFFF" w:sz="4" w:space="0"/>
        <w:bottom w:val="single" w:color="FFFFFF" w:sz="4" w:space="0"/>
        <w:right w:val="single" w:color="FFFFFF" w:sz="4" w:space="0"/>
      </w:pBdr>
    </w:pPr>
    <w:rPr>
      <w:i/>
    </w:rPr>
  </w:style>
  <w:style w:type="paragraph" w:styleId="1079" w:customStyle="1">
    <w:name w:val="Перечень рисунков1"/>
    <w:basedOn w:val="1063"/>
    <w:next w:val="1063"/>
    <w:qFormat/>
  </w:style>
  <w:style w:type="paragraph" w:styleId="1080" w:customStyle="1">
    <w:name w:val="Текст выноски1"/>
    <w:basedOn w:val="1063"/>
    <w:qFormat/>
    <w:rPr>
      <w:rFonts w:ascii="Tahoma" w:hAnsi="Tahoma" w:eastAsia="Tahoma" w:cs="Tahoma"/>
      <w:sz w:val="16"/>
      <w:szCs w:val="16"/>
    </w:rPr>
  </w:style>
  <w:style w:type="paragraph" w:styleId="1081" w:customStyle="1">
    <w:name w:val="Подзаголовок1"/>
    <w:basedOn w:val="1063"/>
    <w:qFormat/>
    <w:rPr>
      <w:caps/>
      <w:spacing w:val="19"/>
      <w:sz w:val="32"/>
    </w:rPr>
  </w:style>
  <w:style w:type="paragraph" w:styleId="1082" w:customStyle="1">
    <w:name w:val="Колонтитул"/>
    <w:basedOn w:val="1063"/>
    <w:qFormat/>
  </w:style>
  <w:style w:type="paragraph" w:styleId="1083" w:customStyle="1">
    <w:name w:val="Верхний колонтитул1"/>
    <w:basedOn w:val="1063"/>
    <w:qFormat/>
  </w:style>
  <w:style w:type="paragraph" w:styleId="1084" w:customStyle="1">
    <w:name w:val="Нижний колонтитул1"/>
    <w:basedOn w:val="1063"/>
    <w:qFormat/>
  </w:style>
  <w:style w:type="paragraph" w:styleId="1085" w:customStyle="1">
    <w:name w:val="Имя"/>
    <w:basedOn w:val="1063"/>
    <w:qFormat/>
    <w:pPr>
      <w:jc w:val="right"/>
    </w:pPr>
  </w:style>
  <w:style w:type="paragraph" w:styleId="1086" w:customStyle="1">
    <w:name w:val="Содержимое"/>
    <w:basedOn w:val="1063"/>
    <w:qFormat/>
  </w:style>
  <w:style w:type="paragraph" w:styleId="1087" w:customStyle="1">
    <w:name w:val="Выделенный текст"/>
    <w:basedOn w:val="1063"/>
    <w:qFormat/>
  </w:style>
  <w:style w:type="paragraph" w:styleId="1088" w:customStyle="1">
    <w:name w:val="Contents Heading"/>
    <w:basedOn w:val="1065"/>
    <w:next w:val="1063"/>
    <w:qFormat/>
    <w:pPr>
      <w:keepLines/>
      <w:spacing w:before="0" w:after="0" w:line="254" w:lineRule="auto"/>
    </w:pPr>
    <w:rPr>
      <w:b w:val="0"/>
      <w:color w:val="013a57"/>
      <w:sz w:val="32"/>
    </w:rPr>
  </w:style>
  <w:style w:type="paragraph" w:styleId="1089" w:customStyle="1">
    <w:name w:val="Contents 1"/>
    <w:basedOn w:val="1063"/>
    <w:next w:val="1063"/>
    <w:qFormat/>
    <w:pPr>
      <w:spacing w:after="100"/>
      <w:tabs>
        <w:tab w:val="right" w:pos="10252" w:leader="dot"/>
      </w:tabs>
    </w:pPr>
    <w:rPr>
      <w:rFonts w:cs="Calibri"/>
      <w:bCs/>
      <w:lang w:eastAsia="ru-RU"/>
    </w:rPr>
  </w:style>
  <w:style w:type="paragraph" w:styleId="1090" w:customStyle="1">
    <w:name w:val="Contents 2"/>
    <w:basedOn w:val="1063"/>
    <w:next w:val="1063"/>
    <w:qFormat/>
    <w:pPr>
      <w:ind w:left="278"/>
      <w:spacing w:line="380" w:lineRule="exact"/>
      <w:tabs>
        <w:tab w:val="left" w:pos="1377" w:leader="none"/>
        <w:tab w:val="right" w:pos="10530" w:leader="dot"/>
      </w:tabs>
    </w:pPr>
  </w:style>
  <w:style w:type="paragraph" w:styleId="1091" w:customStyle="1">
    <w:name w:val="Абзац списка1"/>
    <w:basedOn w:val="1063"/>
    <w:qFormat/>
    <w:pPr>
      <w:ind w:left="720"/>
    </w:pPr>
    <w:rPr>
      <w:sz w:val="20"/>
      <w:szCs w:val="20"/>
      <w:lang w:val="en-AU"/>
    </w:rPr>
  </w:style>
  <w:style w:type="paragraph" w:styleId="1092" w:customStyle="1">
    <w:name w:val="Основной текст 31"/>
    <w:basedOn w:val="1063"/>
    <w:qFormat/>
    <w:pPr>
      <w:tabs>
        <w:tab w:val="left" w:pos="2976" w:leader="none"/>
      </w:tabs>
    </w:pPr>
    <w:rPr>
      <w:szCs w:val="20"/>
      <w:lang w:eastAsia="ru-RU"/>
    </w:rPr>
  </w:style>
  <w:style w:type="paragraph" w:styleId="1093" w:customStyle="1">
    <w:name w:val="Обычный (веб)1"/>
    <w:basedOn w:val="1062"/>
    <w:qFormat/>
    <w:pPr>
      <w:spacing w:before="280" w:after="280"/>
      <w:widowControl/>
    </w:pPr>
    <w:rPr>
      <w:rFonts w:ascii="Verdana" w:hAnsi="Verdana" w:eastAsia="Times New Roman" w:cs="Times New Roman"/>
      <w:sz w:val="16"/>
      <w:szCs w:val="16"/>
      <w:lang w:eastAsia="ru-RU"/>
    </w:rPr>
  </w:style>
  <w:style w:type="paragraph" w:styleId="1094" w:customStyle="1">
    <w:name w:val="Footnote"/>
    <w:basedOn w:val="1063"/>
    <w:link w:val="813"/>
    <w:qFormat/>
    <w:rPr>
      <w:sz w:val="20"/>
      <w:szCs w:val="20"/>
      <w:lang w:eastAsia="ru-RU"/>
    </w:rPr>
  </w:style>
  <w:style w:type="paragraph" w:styleId="1095" w:customStyle="1">
    <w:name w:val="Нумерованный список1"/>
    <w:basedOn w:val="1063"/>
    <w:qFormat/>
    <w:rPr>
      <w:lang w:eastAsia="ru-RU"/>
    </w:rPr>
  </w:style>
  <w:style w:type="paragraph" w:styleId="1096" w:customStyle="1">
    <w:name w:val="Основной текст с отступом 21"/>
    <w:basedOn w:val="1063"/>
    <w:qFormat/>
    <w:pPr>
      <w:ind w:left="283"/>
      <w:spacing w:after="120" w:line="480" w:lineRule="auto"/>
    </w:pPr>
    <w:rPr>
      <w:rFonts w:eastAsia="Calibri"/>
      <w:color w:val="0f0d29"/>
      <w:sz w:val="22"/>
      <w:szCs w:val="20"/>
      <w:lang w:eastAsia="ja-JP"/>
    </w:rPr>
  </w:style>
  <w:style w:type="paragraph" w:styleId="1097" w:customStyle="1">
    <w:name w:val="Название объекта2"/>
    <w:basedOn w:val="1063"/>
    <w:qFormat/>
    <w:pPr>
      <w:spacing w:before="120" w:after="120"/>
    </w:pPr>
    <w:rPr>
      <w:i/>
      <w:iCs/>
      <w:sz w:val="20"/>
      <w:szCs w:val="20"/>
    </w:rPr>
  </w:style>
  <w:style w:type="paragraph" w:styleId="1098" w:customStyle="1">
    <w:name w:val="Текст1"/>
    <w:basedOn w:val="1063"/>
    <w:qFormat/>
    <w:rPr>
      <w:rFonts w:ascii="Courier New" w:hAnsi="Courier New"/>
      <w:sz w:val="20"/>
      <w:szCs w:val="20"/>
      <w:lang w:eastAsia="ru-RU"/>
    </w:rPr>
  </w:style>
  <w:style w:type="paragraph" w:styleId="1099" w:customStyle="1">
    <w:name w:val="Основной текст1"/>
    <w:basedOn w:val="1063"/>
    <w:qFormat/>
    <w:pPr>
      <w:ind w:hanging="559"/>
      <w:jc w:val="both"/>
      <w:spacing w:before="360" w:after="180" w:line="274" w:lineRule="exact"/>
      <w:shd w:val="clear" w:color="auto" w:fill="ffffff"/>
      <w:widowControl w:val="off"/>
    </w:pPr>
    <w:rPr>
      <w:spacing w:val="3"/>
      <w:sz w:val="19"/>
      <w:szCs w:val="19"/>
    </w:rPr>
  </w:style>
  <w:style w:type="paragraph" w:styleId="1100" w:customStyle="1">
    <w:name w:val="Text body indent"/>
    <w:basedOn w:val="1063"/>
    <w:qFormat/>
    <w:pPr>
      <w:ind w:left="283"/>
      <w:spacing w:after="120"/>
    </w:pPr>
  </w:style>
  <w:style w:type="paragraph" w:styleId="1101" w:customStyle="1">
    <w:name w:val="Основной текст 21"/>
    <w:basedOn w:val="1063"/>
    <w:qFormat/>
    <w:pPr>
      <w:jc w:val="both"/>
      <w:spacing w:after="120"/>
      <w:tabs>
        <w:tab w:val="left" w:pos="566" w:leader="none"/>
      </w:tabs>
    </w:pPr>
    <w:rPr>
      <w:lang w:eastAsia="ru-RU"/>
    </w:rPr>
  </w:style>
  <w:style w:type="paragraph" w:styleId="1102" w:customStyle="1">
    <w:name w:val="ConsNormal"/>
    <w:basedOn w:val="1062"/>
    <w:qFormat/>
    <w:pPr>
      <w:ind w:firstLine="720"/>
      <w:widowControl/>
    </w:pPr>
    <w:rPr>
      <w:rFonts w:ascii="Consultant" w:hAnsi="Consultant" w:eastAsia="Times New Roman" w:cs="Consultant"/>
      <w:sz w:val="20"/>
      <w:szCs w:val="20"/>
      <w:lang w:eastAsia="ru-RU"/>
    </w:rPr>
  </w:style>
  <w:style w:type="paragraph" w:styleId="1103" w:customStyle="1">
    <w:name w:val="Текст примечания1"/>
    <w:basedOn w:val="1063"/>
    <w:qFormat/>
    <w:rPr>
      <w:sz w:val="20"/>
      <w:szCs w:val="20"/>
      <w:lang w:eastAsia="ru-RU"/>
    </w:rPr>
  </w:style>
  <w:style w:type="paragraph" w:styleId="1104" w:customStyle="1">
    <w:name w:val="Body Text Indent1"/>
    <w:basedOn w:val="1063"/>
    <w:qFormat/>
    <w:pPr>
      <w:ind w:left="283"/>
      <w:jc w:val="both"/>
      <w:spacing w:after="120"/>
    </w:pPr>
    <w:rPr>
      <w:lang w:eastAsia="ru-RU"/>
    </w:rPr>
  </w:style>
  <w:style w:type="paragraph" w:styleId="1105" w:customStyle="1">
    <w:name w:val="Основной текст с отступом1"/>
    <w:basedOn w:val="1063"/>
    <w:qFormat/>
    <w:pPr>
      <w:ind w:left="283"/>
      <w:jc w:val="both"/>
      <w:spacing w:after="120"/>
    </w:pPr>
    <w:rPr>
      <w:lang w:eastAsia="ru-RU"/>
    </w:rPr>
  </w:style>
  <w:style w:type="paragraph" w:styleId="1106" w:customStyle="1">
    <w:name w:val="Абзац Знак2"/>
    <w:basedOn w:val="1063"/>
    <w:qFormat/>
    <w:pPr>
      <w:jc w:val="both"/>
      <w:spacing w:after="120"/>
    </w:pPr>
    <w:rPr>
      <w:szCs w:val="20"/>
      <w:lang w:eastAsia="ru-RU"/>
    </w:rPr>
  </w:style>
  <w:style w:type="paragraph" w:styleId="1107" w:customStyle="1">
    <w:name w:val="Маркированный список1"/>
    <w:basedOn w:val="1063"/>
    <w:qFormat/>
    <w:pPr>
      <w:jc w:val="both"/>
      <w:spacing w:before="240"/>
    </w:pPr>
    <w:rPr>
      <w:szCs w:val="20"/>
      <w:lang w:eastAsia="ru-RU"/>
    </w:rPr>
  </w:style>
  <w:style w:type="paragraph" w:styleId="1108" w:customStyle="1">
    <w:name w:val="lev2"/>
    <w:basedOn w:val="1064"/>
    <w:qFormat/>
    <w:pPr>
      <w:jc w:val="both"/>
      <w:spacing w:after="0"/>
    </w:pPr>
    <w:rPr>
      <w:color w:val="000000"/>
      <w:szCs w:val="20"/>
    </w:rPr>
  </w:style>
  <w:style w:type="paragraph" w:styleId="1109" w:customStyle="1">
    <w:name w:val="StGen0"/>
    <w:basedOn w:val="1063"/>
    <w:next w:val="1044"/>
    <w:qFormat/>
    <w:pPr>
      <w:jc w:val="center"/>
      <w:spacing w:line="360" w:lineRule="auto"/>
    </w:pPr>
    <w:rPr>
      <w:rFonts w:eastAsia="Calibri"/>
      <w:i/>
      <w:iCs/>
      <w:szCs w:val="28"/>
      <w:u w:val="single"/>
    </w:rPr>
  </w:style>
  <w:style w:type="paragraph" w:styleId="1110" w:customStyle="1">
    <w:name w:val="заголовок 1"/>
    <w:basedOn w:val="1063"/>
    <w:next w:val="1063"/>
    <w:qFormat/>
    <w:pPr>
      <w:jc w:val="center"/>
    </w:pPr>
    <w:rPr>
      <w:szCs w:val="20"/>
      <w:lang w:eastAsia="ru-RU"/>
    </w:rPr>
  </w:style>
  <w:style w:type="paragraph" w:styleId="1111" w:customStyle="1">
    <w:name w:val="xl24"/>
    <w:basedOn w:val="1063"/>
    <w:qFormat/>
    <w:pPr>
      <w:jc w:val="center"/>
      <w:spacing w:before="280" w:after="280"/>
    </w:pPr>
    <w:rPr>
      <w:rFonts w:ascii="Times New Roman CYR" w:hAnsi="Times New Roman CYR" w:eastAsia="Arial Unicode MS" w:cs="Times New Roman CYR"/>
      <w:bCs/>
      <w:lang w:eastAsia="ru-RU"/>
    </w:rPr>
  </w:style>
  <w:style w:type="paragraph" w:styleId="1112" w:customStyle="1">
    <w:name w:val="Знак"/>
    <w:basedOn w:val="1063"/>
    <w:qFormat/>
    <w:pPr>
      <w:spacing w:after="160" w:line="240" w:lineRule="exact"/>
    </w:pPr>
    <w:rPr>
      <w:rFonts w:ascii="Verdana" w:hAnsi="Verdana" w:cs="Verdana"/>
      <w:sz w:val="20"/>
      <w:szCs w:val="20"/>
      <w:lang w:val="en-US"/>
    </w:rPr>
  </w:style>
  <w:style w:type="paragraph" w:styleId="1113" w:customStyle="1">
    <w:name w:val="Знак1 Знак Знак Знак"/>
    <w:basedOn w:val="1063"/>
    <w:qFormat/>
    <w:pPr>
      <w:spacing w:after="160" w:line="240" w:lineRule="exact"/>
    </w:pPr>
    <w:rPr>
      <w:rFonts w:ascii="Verdana" w:hAnsi="Verdana" w:cs="Verdana"/>
      <w:sz w:val="20"/>
      <w:szCs w:val="20"/>
      <w:lang w:val="en-US"/>
    </w:rPr>
  </w:style>
  <w:style w:type="paragraph" w:styleId="1114" w:customStyle="1">
    <w:name w:val="Default Paragraph Font Para Char Char Знак"/>
    <w:basedOn w:val="1063"/>
    <w:qFormat/>
    <w:pPr>
      <w:spacing w:after="160" w:line="240" w:lineRule="exact"/>
    </w:pPr>
    <w:rPr>
      <w:rFonts w:ascii="Verdana" w:hAnsi="Verdana" w:cs="Verdana"/>
      <w:sz w:val="20"/>
      <w:szCs w:val="20"/>
      <w:lang w:val="en-US"/>
    </w:rPr>
  </w:style>
  <w:style w:type="paragraph" w:styleId="1115" w:customStyle="1">
    <w:name w:val="Знак2"/>
    <w:basedOn w:val="1063"/>
    <w:qFormat/>
    <w:pPr>
      <w:spacing w:after="160" w:line="240" w:lineRule="exact"/>
    </w:pPr>
    <w:rPr>
      <w:rFonts w:ascii="Verdana" w:hAnsi="Verdana" w:cs="Verdana"/>
      <w:sz w:val="20"/>
      <w:szCs w:val="20"/>
      <w:lang w:val="en-US"/>
    </w:rPr>
  </w:style>
  <w:style w:type="paragraph" w:styleId="1116" w:customStyle="1">
    <w:name w:val="Style4"/>
    <w:basedOn w:val="1063"/>
    <w:qFormat/>
    <w:pPr>
      <w:ind w:firstLine="709"/>
      <w:jc w:val="both"/>
      <w:tabs>
        <w:tab w:val="left" w:pos="2159" w:leader="none"/>
      </w:tabs>
    </w:pPr>
    <w:rPr>
      <w:rFonts w:ascii="Courier New" w:hAnsi="Courier New" w:cs="Courier New"/>
      <w:bCs/>
      <w:lang w:eastAsia="ru-RU"/>
    </w:rPr>
  </w:style>
  <w:style w:type="paragraph" w:styleId="1117" w:customStyle="1">
    <w:name w:val="Основной текст с отступом 31"/>
    <w:basedOn w:val="1063"/>
    <w:qFormat/>
    <w:pPr>
      <w:ind w:left="283"/>
      <w:spacing w:after="120"/>
    </w:pPr>
    <w:rPr>
      <w:sz w:val="16"/>
      <w:szCs w:val="16"/>
    </w:rPr>
  </w:style>
  <w:style w:type="paragraph" w:styleId="1118" w:customStyle="1">
    <w:name w:val="Îáû÷íûé (âåá)"/>
    <w:basedOn w:val="1063"/>
    <w:qFormat/>
    <w:pPr>
      <w:spacing w:before="100" w:after="100"/>
    </w:pPr>
    <w:rPr>
      <w:szCs w:val="20"/>
      <w:lang w:eastAsia="ru-RU"/>
    </w:rPr>
  </w:style>
  <w:style w:type="paragraph" w:styleId="1119" w:customStyle="1">
    <w:name w:val="Основной текст 22"/>
    <w:basedOn w:val="1063"/>
    <w:qFormat/>
    <w:pPr>
      <w:ind w:firstLine="425"/>
      <w:jc w:val="both"/>
      <w:widowControl w:val="off"/>
    </w:pPr>
    <w:rPr>
      <w:szCs w:val="20"/>
      <w:lang w:eastAsia="ru-RU"/>
    </w:rPr>
  </w:style>
  <w:style w:type="paragraph" w:styleId="1120" w:customStyle="1">
    <w:name w:val="Знак1"/>
    <w:basedOn w:val="1063"/>
    <w:qFormat/>
    <w:pPr>
      <w:spacing w:after="160" w:line="240" w:lineRule="exact"/>
    </w:pPr>
    <w:rPr>
      <w:rFonts w:ascii="Verdana" w:hAnsi="Verdana" w:cs="Verdana"/>
      <w:sz w:val="20"/>
      <w:szCs w:val="20"/>
      <w:lang w:val="en-US"/>
    </w:rPr>
  </w:style>
  <w:style w:type="paragraph" w:styleId="1121" w:customStyle="1">
    <w:name w:val="Схема документа1"/>
    <w:basedOn w:val="1063"/>
    <w:qFormat/>
    <w:rPr>
      <w:rFonts w:ascii="Tahoma" w:hAnsi="Tahoma"/>
      <w:sz w:val="16"/>
      <w:szCs w:val="16"/>
    </w:rPr>
  </w:style>
  <w:style w:type="paragraph" w:styleId="1122" w:customStyle="1">
    <w:name w:val="Тема примечания1"/>
    <w:basedOn w:val="1103"/>
    <w:next w:val="1103"/>
    <w:qFormat/>
    <w:rPr>
      <w:b/>
      <w:bCs/>
    </w:rPr>
  </w:style>
  <w:style w:type="paragraph" w:styleId="1123" w:customStyle="1">
    <w:name w:val="Prikaz"/>
    <w:basedOn w:val="1063"/>
    <w:qFormat/>
    <w:pPr>
      <w:ind w:firstLine="709"/>
      <w:jc w:val="both"/>
    </w:pPr>
    <w:rPr>
      <w:szCs w:val="28"/>
    </w:rPr>
  </w:style>
  <w:style w:type="paragraph" w:styleId="1124" w:customStyle="1">
    <w:name w:val="Знак1 Знак Знак Знак Знак Знак Знак Знак"/>
    <w:basedOn w:val="1063"/>
    <w:qFormat/>
    <w:pPr>
      <w:ind w:left="360" w:hanging="359"/>
      <w:jc w:val="both"/>
      <w:spacing w:after="160" w:line="240" w:lineRule="exact"/>
      <w:tabs>
        <w:tab w:val="left" w:pos="719" w:leader="none"/>
      </w:tabs>
    </w:pPr>
    <w:rPr>
      <w:rFonts w:ascii="Verdana" w:hAnsi="Verdana" w:cs="Verdana"/>
      <w:sz w:val="20"/>
      <w:szCs w:val="20"/>
      <w:lang w:val="en-US"/>
    </w:rPr>
  </w:style>
  <w:style w:type="paragraph" w:styleId="1125" w:customStyle="1">
    <w:name w:val="Pa7"/>
    <w:basedOn w:val="1063"/>
    <w:next w:val="1063"/>
    <w:qFormat/>
    <w:pPr>
      <w:spacing w:line="201" w:lineRule="atLeast"/>
    </w:pPr>
    <w:rPr>
      <w:rFonts w:ascii="DINCyr-Light" w:hAnsi="DINCyr-Light"/>
      <w:lang w:eastAsia="ru-RU"/>
    </w:rPr>
  </w:style>
  <w:style w:type="paragraph" w:styleId="1126" w:customStyle="1">
    <w:name w:val="ConsPlusNormal"/>
    <w:basedOn w:val="1062"/>
    <w:qFormat/>
    <w:pPr>
      <w:ind w:firstLine="720"/>
      <w:widowControl/>
    </w:pPr>
    <w:rPr>
      <w:rFonts w:ascii="Arial" w:hAnsi="Arial" w:eastAsia="Times New Roman"/>
      <w:sz w:val="20"/>
      <w:szCs w:val="20"/>
      <w:lang w:eastAsia="ru-RU"/>
    </w:rPr>
  </w:style>
  <w:style w:type="paragraph" w:styleId="1127" w:customStyle="1">
    <w:name w:val="Subject"/>
    <w:basedOn w:val="1063"/>
    <w:qFormat/>
    <w:pPr>
      <w:keepLines/>
      <w:keepNext/>
      <w:spacing w:after="290" w:line="290" w:lineRule="atLeast"/>
    </w:pPr>
    <w:rPr>
      <w:szCs w:val="20"/>
      <w:lang w:val="en-GB"/>
    </w:rPr>
  </w:style>
  <w:style w:type="paragraph" w:styleId="1128" w:customStyle="1">
    <w:name w:val="Ii?iaeuiue"/>
    <w:basedOn w:val="1062"/>
    <w:qFormat/>
    <w:pPr>
      <w:widowControl/>
    </w:pPr>
    <w:rPr>
      <w:rFonts w:ascii="Swiss Light 10pt" w:hAnsi="Swiss Light 10pt" w:eastAsia="Times New Roman" w:cs="Times New Roman"/>
      <w:sz w:val="20"/>
      <w:szCs w:val="20"/>
      <w:lang w:val="en-GB"/>
    </w:rPr>
  </w:style>
  <w:style w:type="paragraph" w:styleId="1129" w:customStyle="1">
    <w:name w:val="Прощание1"/>
    <w:basedOn w:val="1063"/>
    <w:qFormat/>
    <w:pPr>
      <w:spacing w:line="290" w:lineRule="atLeast"/>
    </w:pPr>
    <w:rPr>
      <w:sz w:val="20"/>
      <w:szCs w:val="20"/>
      <w:lang w:val="en-AU"/>
    </w:rPr>
  </w:style>
  <w:style w:type="paragraph" w:styleId="1130" w:customStyle="1">
    <w:name w:val="Primer"/>
    <w:basedOn w:val="1063"/>
    <w:qFormat/>
    <w:pPr>
      <w:ind w:firstLine="720"/>
      <w:spacing w:line="360" w:lineRule="auto"/>
    </w:pPr>
    <w:rPr>
      <w:sz w:val="20"/>
      <w:szCs w:val="20"/>
    </w:rPr>
  </w:style>
  <w:style w:type="paragraph" w:styleId="1131" w:customStyle="1">
    <w:name w:val="Text-in-table"/>
    <w:basedOn w:val="1063"/>
    <w:qFormat/>
    <w:rPr>
      <w:szCs w:val="20"/>
    </w:rPr>
  </w:style>
  <w:style w:type="paragraph" w:styleId="1132" w:customStyle="1">
    <w:name w:val="lenaII1"/>
    <w:basedOn w:val="1071"/>
    <w:qFormat/>
    <w:pPr>
      <w:ind w:left="0" w:firstLine="0"/>
      <w:keepNext/>
      <w:spacing w:before="0" w:after="0"/>
    </w:pPr>
    <w:rPr>
      <w:rFonts w:ascii="Calibri" w:hAnsi="Calibri" w:eastAsia="Calibri" w:cs="Calibri"/>
      <w:b/>
      <w:sz w:val="24"/>
      <w:szCs w:val="24"/>
      <w:u w:val="single"/>
      <w:lang w:val="en-AU" w:eastAsia="ar-SA"/>
    </w:rPr>
  </w:style>
  <w:style w:type="paragraph" w:styleId="1133" w:customStyle="1">
    <w:name w:val="Contents 3"/>
    <w:basedOn w:val="1063"/>
    <w:next w:val="1063"/>
    <w:qFormat/>
    <w:pPr>
      <w:ind w:left="440"/>
      <w:spacing w:after="100"/>
    </w:pPr>
    <w:rPr>
      <w:sz w:val="22"/>
    </w:rPr>
  </w:style>
  <w:style w:type="paragraph" w:styleId="1134" w:customStyle="1">
    <w:name w:val="Заголовок 111"/>
    <w:basedOn w:val="1062"/>
    <w:qFormat/>
    <w:pPr>
      <w:jc w:val="center"/>
      <w:spacing w:before="240" w:after="120"/>
    </w:pPr>
    <w:rPr>
      <w:rFonts w:ascii="Times New Roman" w:hAnsi="Times New Roman" w:eastAsia="Times New Roman" w:cs="Times New Roman"/>
      <w:b/>
      <w:bCs/>
      <w:sz w:val="28"/>
      <w:szCs w:val="28"/>
      <w:lang w:eastAsia="ru-RU"/>
    </w:rPr>
  </w:style>
  <w:style w:type="paragraph" w:styleId="1135" w:customStyle="1">
    <w:name w:val="Основной текст с отступом11"/>
    <w:basedOn w:val="1063"/>
    <w:qFormat/>
    <w:pPr>
      <w:ind w:left="283"/>
      <w:jc w:val="both"/>
      <w:spacing w:after="120"/>
    </w:pPr>
    <w:rPr>
      <w:lang w:eastAsia="ru-RU"/>
    </w:rPr>
  </w:style>
  <w:style w:type="paragraph" w:styleId="1136" w:customStyle="1">
    <w:name w:val="Основной текст 311"/>
    <w:basedOn w:val="1063"/>
    <w:qFormat/>
    <w:pPr>
      <w:tabs>
        <w:tab w:val="left" w:pos="2976" w:leader="none"/>
      </w:tabs>
    </w:pPr>
    <w:rPr>
      <w:szCs w:val="20"/>
      <w:lang w:eastAsia="ru-RU"/>
    </w:rPr>
  </w:style>
  <w:style w:type="paragraph" w:styleId="1137" w:customStyle="1">
    <w:name w:val="Заголовок 311"/>
    <w:basedOn w:val="1062"/>
    <w:qFormat/>
    <w:pPr>
      <w:spacing w:before="240" w:after="40"/>
    </w:pPr>
    <w:rPr>
      <w:rFonts w:ascii="Times New Roman" w:hAnsi="Times New Roman" w:eastAsia="Times New Roman" w:cs="Times New Roman"/>
      <w:b/>
      <w:bCs/>
      <w:lang w:eastAsia="ru-RU"/>
    </w:rPr>
  </w:style>
  <w:style w:type="paragraph" w:styleId="1138" w:customStyle="1">
    <w:name w:val="Обычный11"/>
    <w:basedOn w:val="1062"/>
    <w:qFormat/>
    <w:pPr>
      <w:widowControl/>
    </w:pPr>
    <w:rPr>
      <w:rFonts w:ascii="AGOpus" w:hAnsi="AGOpus" w:eastAsia="Times New Roman" w:cs="Times New Roman"/>
      <w:color w:val="000000"/>
      <w:sz w:val="22"/>
      <w:szCs w:val="20"/>
      <w:lang w:eastAsia="ru-RU"/>
    </w:rPr>
  </w:style>
  <w:style w:type="paragraph" w:styleId="1139" w:customStyle="1">
    <w:name w:val="Знак1 Знак Знак Знак1"/>
    <w:basedOn w:val="1063"/>
    <w:qFormat/>
    <w:pPr>
      <w:spacing w:after="160" w:line="240" w:lineRule="exact"/>
    </w:pPr>
    <w:rPr>
      <w:rFonts w:ascii="Verdana" w:hAnsi="Verdana" w:cs="Verdana"/>
      <w:sz w:val="20"/>
      <w:szCs w:val="20"/>
      <w:lang w:val="en-US"/>
    </w:rPr>
  </w:style>
  <w:style w:type="paragraph" w:styleId="1140" w:customStyle="1">
    <w:name w:val="Основной текст 221"/>
    <w:basedOn w:val="1063"/>
    <w:qFormat/>
    <w:pPr>
      <w:ind w:firstLine="425"/>
      <w:jc w:val="both"/>
      <w:widowControl w:val="off"/>
    </w:pPr>
    <w:rPr>
      <w:szCs w:val="20"/>
      <w:lang w:eastAsia="ru-RU"/>
    </w:rPr>
  </w:style>
  <w:style w:type="paragraph" w:styleId="1141" w:customStyle="1">
    <w:name w:val="Текст11"/>
    <w:basedOn w:val="1063"/>
    <w:qFormat/>
    <w:rPr>
      <w:rFonts w:ascii="Courier New" w:hAnsi="Courier New"/>
      <w:sz w:val="20"/>
      <w:szCs w:val="20"/>
      <w:lang w:eastAsia="ru-RU"/>
    </w:rPr>
  </w:style>
  <w:style w:type="paragraph" w:styleId="1142" w:customStyle="1">
    <w:name w:val="Знак11"/>
    <w:basedOn w:val="1063"/>
    <w:qFormat/>
    <w:pPr>
      <w:spacing w:after="160" w:line="240" w:lineRule="exact"/>
    </w:pPr>
    <w:rPr>
      <w:rFonts w:ascii="Verdana" w:hAnsi="Verdana" w:cs="Verdana"/>
      <w:sz w:val="20"/>
      <w:szCs w:val="20"/>
      <w:lang w:val="en-US"/>
    </w:rPr>
  </w:style>
  <w:style w:type="paragraph" w:styleId="1143" w:customStyle="1">
    <w:name w:val="Основной текст 23"/>
    <w:basedOn w:val="1063"/>
    <w:qFormat/>
    <w:pPr>
      <w:ind w:firstLine="425"/>
      <w:jc w:val="both"/>
      <w:widowControl w:val="off"/>
    </w:pPr>
    <w:rPr>
      <w:szCs w:val="20"/>
      <w:lang w:eastAsia="ru-RU"/>
    </w:rPr>
  </w:style>
  <w:style w:type="paragraph" w:styleId="1144" w:customStyle="1">
    <w:name w:val="Без интервала1"/>
    <w:basedOn w:val="1062"/>
    <w:qFormat/>
    <w:pPr>
      <w:widowControl/>
    </w:pPr>
    <w:rPr>
      <w:rFonts w:ascii="Times New Roman" w:hAnsi="Times New Roman" w:eastAsia="Times New Roman" w:cs="Times New Roman"/>
      <w:sz w:val="20"/>
      <w:szCs w:val="20"/>
      <w:lang w:eastAsia="ru-RU"/>
    </w:rPr>
  </w:style>
  <w:style w:type="paragraph" w:styleId="1145" w:customStyle="1">
    <w:name w:val="Style6"/>
    <w:basedOn w:val="1063"/>
    <w:qFormat/>
    <w:pPr>
      <w:ind w:firstLine="264"/>
      <w:jc w:val="both"/>
      <w:spacing w:line="288" w:lineRule="exact"/>
      <w:widowControl w:val="off"/>
    </w:pPr>
    <w:rPr>
      <w:lang w:eastAsia="ru-RU"/>
    </w:rPr>
  </w:style>
  <w:style w:type="paragraph" w:styleId="1146" w:customStyle="1">
    <w:name w:val="Основной текст отчета ЧЭ 2011"/>
    <w:basedOn w:val="1063"/>
    <w:qFormat/>
    <w:pPr>
      <w:ind w:firstLine="709"/>
      <w:jc w:val="both"/>
    </w:pPr>
    <w:rPr>
      <w:szCs w:val="20"/>
      <w:lang w:eastAsia="ru-RU"/>
    </w:rPr>
  </w:style>
  <w:style w:type="paragraph" w:styleId="1147" w:customStyle="1">
    <w:name w:val="Стиль3"/>
    <w:basedOn w:val="1091"/>
    <w:qFormat/>
    <w:pPr>
      <w:ind w:left="2160" w:hanging="359"/>
      <w:jc w:val="both"/>
      <w:spacing w:before="240" w:after="280"/>
      <w:outlineLvl w:val="3"/>
    </w:pPr>
    <w:rPr>
      <w:bCs/>
      <w:i/>
      <w:iCs/>
      <w:color w:val="333399"/>
      <w:sz w:val="26"/>
      <w:szCs w:val="28"/>
      <w:lang w:eastAsia="ru-RU"/>
    </w:rPr>
  </w:style>
  <w:style w:type="paragraph" w:styleId="1148" w:customStyle="1">
    <w:name w:val="Стиль4"/>
    <w:basedOn w:val="1065"/>
    <w:qFormat/>
    <w:pPr>
      <w:spacing w:before="80" w:after="280"/>
    </w:pPr>
    <w:rPr>
      <w:b w:val="0"/>
      <w:caps/>
      <w:color w:val="333399"/>
      <w:sz w:val="30"/>
      <w:szCs w:val="30"/>
    </w:rPr>
  </w:style>
  <w:style w:type="paragraph" w:styleId="1149" w:customStyle="1">
    <w:name w:val="Текст + Times New Roman"/>
    <w:basedOn w:val="1063"/>
    <w:qFormat/>
    <w:pPr>
      <w:ind w:firstLine="720"/>
      <w:jc w:val="both"/>
      <w:spacing w:after="100" w:line="360" w:lineRule="auto"/>
    </w:pPr>
    <w:rPr>
      <w:rFonts w:ascii="Arial" w:hAnsi="Arial"/>
      <w:szCs w:val="20"/>
      <w:lang w:eastAsia="ru-RU"/>
    </w:rPr>
  </w:style>
  <w:style w:type="paragraph" w:styleId="1150" w:customStyle="1">
    <w:name w:val="xl31"/>
    <w:basedOn w:val="1063"/>
    <w:qFormat/>
    <w:pPr>
      <w:jc w:val="center"/>
      <w:spacing w:before="280" w:after="280"/>
    </w:pPr>
    <w:rPr>
      <w:rFonts w:eastAsia="Arial Unicode MS"/>
      <w:lang w:eastAsia="ru-RU"/>
    </w:rPr>
  </w:style>
  <w:style w:type="paragraph" w:styleId="1151" w:customStyle="1">
    <w:name w:val="Краткий обратный адрес"/>
    <w:basedOn w:val="1063"/>
    <w:qFormat/>
    <w:pPr>
      <w:ind w:firstLine="720"/>
    </w:pPr>
    <w:rPr>
      <w:szCs w:val="20"/>
      <w:lang w:eastAsia="ru-RU"/>
    </w:rPr>
  </w:style>
  <w:style w:type="paragraph" w:styleId="1152" w:customStyle="1">
    <w:name w:val="Стиль1"/>
    <w:basedOn w:val="1063"/>
    <w:qFormat/>
    <w:pPr>
      <w:ind w:firstLine="709"/>
    </w:pPr>
    <w:rPr>
      <w:szCs w:val="20"/>
      <w:lang w:eastAsia="ru-RU"/>
    </w:rPr>
  </w:style>
  <w:style w:type="paragraph" w:styleId="1153" w:customStyle="1">
    <w:name w:val="Îñíîâíîé òåêñò"/>
    <w:basedOn w:val="1063"/>
    <w:qFormat/>
    <w:pPr>
      <w:jc w:val="center"/>
      <w:tabs>
        <w:tab w:val="left" w:pos="1133" w:leader="none"/>
      </w:tabs>
    </w:pPr>
    <w:rPr>
      <w:rFonts w:ascii="Arial" w:hAnsi="Arial"/>
      <w:szCs w:val="20"/>
      <w:lang w:eastAsia="ru-RU"/>
    </w:rPr>
  </w:style>
  <w:style w:type="paragraph" w:styleId="1154" w:customStyle="1">
    <w:name w:val="A0E349F008B644AAB6A282E0D042D17E"/>
    <w:basedOn w:val="1062"/>
    <w:qFormat/>
    <w:pPr>
      <w:spacing w:after="200" w:line="276" w:lineRule="auto"/>
      <w:widowControl/>
    </w:pPr>
    <w:rPr>
      <w:rFonts w:eastAsia="Times New Roman" w:cs="Times New Roman"/>
      <w:sz w:val="22"/>
      <w:szCs w:val="22"/>
      <w:lang w:eastAsia="ru-RU"/>
    </w:rPr>
  </w:style>
  <w:style w:type="paragraph" w:styleId="1155" w:customStyle="1">
    <w:name w:val="Îáû÷íûé"/>
    <w:basedOn w:val="1062"/>
    <w:qFormat/>
    <w:rPr>
      <w:rFonts w:ascii="Times New Roman" w:hAnsi="Times New Roman" w:eastAsia="Times New Roman" w:cs="Times New Roman"/>
      <w:sz w:val="20"/>
      <w:szCs w:val="20"/>
      <w:lang w:eastAsia="ru-RU"/>
    </w:rPr>
  </w:style>
  <w:style w:type="paragraph" w:styleId="1156" w:customStyle="1">
    <w:name w:val="Default"/>
    <w:basedOn w:val="1062"/>
    <w:qFormat/>
    <w:pPr>
      <w:widowControl/>
    </w:pPr>
    <w:rPr>
      <w:rFonts w:ascii="Times New Roman" w:hAnsi="Times New Roman" w:eastAsia="Times New Roman" w:cs="Times New Roman"/>
      <w:color w:val="000000"/>
      <w:lang w:eastAsia="ru-RU"/>
    </w:rPr>
  </w:style>
  <w:style w:type="paragraph" w:styleId="1157" w:customStyle="1">
    <w:name w:val="Стиль Подзаголовка 1"/>
    <w:basedOn w:val="1063"/>
    <w:qFormat/>
    <w:pPr>
      <w:jc w:val="both"/>
      <w:spacing w:before="240"/>
    </w:pPr>
    <w:rPr>
      <w:bCs/>
      <w:i/>
      <w:iCs/>
      <w:sz w:val="22"/>
      <w:lang w:eastAsia="ru-RU"/>
    </w:rPr>
  </w:style>
  <w:style w:type="paragraph" w:styleId="1158" w:customStyle="1">
    <w:name w:val="xl145"/>
    <w:basedOn w:val="1063"/>
    <w:qFormat/>
    <w:pPr>
      <w:jc w:val="center"/>
      <w:spacing w:before="100" w:after="100"/>
    </w:pPr>
    <w:rPr>
      <w:lang w:eastAsia="ru-RU"/>
    </w:rPr>
  </w:style>
  <w:style w:type="paragraph" w:styleId="1159" w:customStyle="1">
    <w:name w:val="ABC - Bullets in Notes"/>
    <w:basedOn w:val="1063"/>
    <w:qFormat/>
    <w:pPr>
      <w:jc w:val="both"/>
      <w:spacing w:after="240"/>
    </w:pPr>
    <w:rPr>
      <w:sz w:val="20"/>
      <w:szCs w:val="20"/>
      <w:lang w:val="en-GB" w:eastAsia="ru-RU"/>
    </w:rPr>
  </w:style>
  <w:style w:type="paragraph" w:styleId="1160" w:customStyle="1">
    <w:name w:val="Обычный2"/>
    <w:basedOn w:val="1063"/>
    <w:qFormat/>
    <w:pPr>
      <w:spacing w:before="20" w:after="40"/>
    </w:pPr>
    <w:rPr>
      <w:rFonts w:eastAsia="Arial Unicode MS"/>
      <w:sz w:val="22"/>
      <w:lang w:eastAsia="ru-RU"/>
    </w:rPr>
  </w:style>
  <w:style w:type="paragraph" w:styleId="1161" w:customStyle="1">
    <w:name w:val="Достижение"/>
    <w:basedOn w:val="1064"/>
    <w:qFormat/>
    <w:pPr>
      <w:ind w:right="245"/>
      <w:jc w:val="both"/>
      <w:spacing w:after="60" w:line="220" w:lineRule="atLeast"/>
    </w:pPr>
    <w:rPr>
      <w:bCs/>
      <w:sz w:val="20"/>
      <w:szCs w:val="20"/>
    </w:rPr>
  </w:style>
  <w:style w:type="paragraph" w:styleId="1162" w:customStyle="1">
    <w:name w:val="Sub Heading"/>
    <w:basedOn w:val="1062"/>
    <w:qFormat/>
    <w:pPr>
      <w:spacing w:before="80" w:after="20"/>
    </w:pPr>
    <w:rPr>
      <w:rFonts w:ascii="Times New Roman" w:hAnsi="Times New Roman" w:eastAsia="Times New Roman" w:cs="Times New Roman"/>
      <w:sz w:val="20"/>
      <w:szCs w:val="20"/>
      <w:lang w:eastAsia="ru-RU"/>
    </w:rPr>
  </w:style>
  <w:style w:type="paragraph" w:styleId="1163" w:customStyle="1">
    <w:name w:val="Заголовок 22"/>
    <w:basedOn w:val="1062"/>
    <w:qFormat/>
    <w:pPr>
      <w:spacing w:before="240" w:after="40"/>
    </w:pPr>
    <w:rPr>
      <w:rFonts w:ascii="Times New Roman" w:hAnsi="Times New Roman" w:eastAsia="Times New Roman" w:cs="Times New Roman"/>
      <w:b/>
      <w:bCs/>
      <w:lang w:eastAsia="ru-RU"/>
    </w:rPr>
  </w:style>
  <w:style w:type="paragraph" w:styleId="1164" w:customStyle="1">
    <w:name w:val="Char Знак Знак Char"/>
    <w:basedOn w:val="1063"/>
    <w:qFormat/>
    <w:pPr>
      <w:ind w:left="432" w:hanging="431"/>
      <w:spacing w:before="120" w:after="160"/>
      <w:tabs>
        <w:tab w:val="left" w:pos="863" w:leader="none"/>
      </w:tabs>
    </w:pPr>
    <w:rPr>
      <w:caps/>
      <w:sz w:val="32"/>
      <w:szCs w:val="32"/>
      <w:lang w:val="en-US" w:eastAsia="ru-RU"/>
    </w:rPr>
  </w:style>
  <w:style w:type="paragraph" w:styleId="1165" w:customStyle="1">
    <w:name w:val="prilozhenie glava"/>
    <w:basedOn w:val="1063"/>
    <w:qFormat/>
    <w:pPr>
      <w:jc w:val="center"/>
      <w:spacing w:before="240" w:after="240"/>
    </w:pPr>
    <w:rPr>
      <w:bCs/>
      <w:caps/>
      <w:lang w:eastAsia="ru-RU"/>
    </w:rPr>
  </w:style>
  <w:style w:type="paragraph" w:styleId="1166" w:customStyle="1">
    <w:name w:val="Мой обычный"/>
    <w:basedOn w:val="1100"/>
    <w:qFormat/>
    <w:pPr>
      <w:ind w:left="0" w:firstLine="284"/>
      <w:jc w:val="both"/>
      <w:spacing w:after="0"/>
    </w:pPr>
    <w:rPr>
      <w:rFonts w:ascii="Century Schoolbook" w:hAnsi="Century Schoolbook" w:eastAsia="Century Schoolbook" w:cs="Century Schoolbook"/>
      <w:bCs/>
      <w:iCs/>
      <w:sz w:val="22"/>
    </w:rPr>
  </w:style>
  <w:style w:type="paragraph" w:styleId="1167" w:customStyle="1">
    <w:name w:val="Шапка1"/>
    <w:basedOn w:val="1064"/>
    <w:qFormat/>
    <w:pPr>
      <w:ind w:left="1985" w:right="-359" w:hanging="1144"/>
      <w:keepLines/>
      <w:spacing w:after="0" w:line="415" w:lineRule="atLeast"/>
    </w:pPr>
    <w:rPr>
      <w:sz w:val="20"/>
      <w:szCs w:val="20"/>
      <w:lang w:eastAsia="ru-RU"/>
    </w:rPr>
  </w:style>
  <w:style w:type="paragraph" w:styleId="1168" w:customStyle="1">
    <w:name w:val="font9"/>
    <w:basedOn w:val="1063"/>
    <w:qFormat/>
    <w:pPr>
      <w:spacing w:before="280" w:after="280"/>
    </w:pPr>
    <w:rPr>
      <w:rFonts w:ascii="Tahoma" w:hAnsi="Tahoma" w:eastAsia="Arial Unicode MS" w:cs="Tahoma"/>
      <w:color w:val="ff0000"/>
      <w:lang w:eastAsia="ru-RU"/>
    </w:rPr>
  </w:style>
  <w:style w:type="paragraph" w:styleId="1169" w:customStyle="1">
    <w:name w:val="Endnote"/>
    <w:basedOn w:val="1063"/>
    <w:link w:val="814"/>
    <w:qFormat/>
    <w:rPr>
      <w:sz w:val="20"/>
      <w:szCs w:val="20"/>
      <w:lang w:eastAsia="ru-RU"/>
    </w:rPr>
  </w:style>
  <w:style w:type="paragraph" w:styleId="1170" w:customStyle="1">
    <w:name w:val="consplusnormal"/>
    <w:basedOn w:val="1063"/>
    <w:qFormat/>
    <w:pPr>
      <w:spacing w:before="280" w:after="280"/>
    </w:pPr>
    <w:rPr>
      <w:lang w:eastAsia="ru-RU"/>
    </w:rPr>
  </w:style>
  <w:style w:type="paragraph" w:styleId="1171" w:customStyle="1">
    <w:name w:val="Заголовок 23"/>
    <w:basedOn w:val="1062"/>
    <w:qFormat/>
    <w:pPr>
      <w:spacing w:before="240" w:after="40"/>
    </w:pPr>
    <w:rPr>
      <w:rFonts w:ascii="Times New Roman" w:hAnsi="Times New Roman" w:eastAsia="Times New Roman" w:cs="Times New Roman"/>
      <w:b/>
      <w:bCs/>
      <w:lang w:eastAsia="ru-RU"/>
    </w:rPr>
  </w:style>
  <w:style w:type="paragraph" w:styleId="1172" w:customStyle="1">
    <w:name w:val="Contents 4"/>
    <w:basedOn w:val="1063"/>
    <w:next w:val="1063"/>
    <w:qFormat/>
    <w:pPr>
      <w:ind w:left="660"/>
      <w:spacing w:after="100" w:line="254" w:lineRule="auto"/>
    </w:pPr>
    <w:rPr>
      <w:sz w:val="22"/>
      <w:lang w:eastAsia="ru-RU"/>
    </w:rPr>
  </w:style>
  <w:style w:type="paragraph" w:styleId="1173" w:customStyle="1">
    <w:name w:val="Contents 5"/>
    <w:basedOn w:val="1063"/>
    <w:next w:val="1063"/>
    <w:qFormat/>
    <w:pPr>
      <w:ind w:left="880"/>
      <w:spacing w:after="100" w:line="254" w:lineRule="auto"/>
    </w:pPr>
    <w:rPr>
      <w:sz w:val="22"/>
      <w:lang w:eastAsia="ru-RU"/>
    </w:rPr>
  </w:style>
  <w:style w:type="paragraph" w:styleId="1174" w:customStyle="1">
    <w:name w:val="Contents 6"/>
    <w:basedOn w:val="1063"/>
    <w:next w:val="1063"/>
    <w:qFormat/>
    <w:pPr>
      <w:ind w:left="1100"/>
      <w:spacing w:after="100" w:line="254" w:lineRule="auto"/>
    </w:pPr>
    <w:rPr>
      <w:sz w:val="22"/>
      <w:lang w:eastAsia="ru-RU"/>
    </w:rPr>
  </w:style>
  <w:style w:type="paragraph" w:styleId="1175" w:customStyle="1">
    <w:name w:val="Contents 7"/>
    <w:basedOn w:val="1063"/>
    <w:next w:val="1063"/>
    <w:qFormat/>
    <w:pPr>
      <w:ind w:left="1320"/>
      <w:spacing w:after="100" w:line="254" w:lineRule="auto"/>
    </w:pPr>
    <w:rPr>
      <w:sz w:val="22"/>
      <w:lang w:eastAsia="ru-RU"/>
    </w:rPr>
  </w:style>
  <w:style w:type="paragraph" w:styleId="1176" w:customStyle="1">
    <w:name w:val="Contents 8"/>
    <w:basedOn w:val="1063"/>
    <w:next w:val="1063"/>
    <w:qFormat/>
    <w:pPr>
      <w:ind w:left="1540"/>
      <w:spacing w:after="100" w:line="254" w:lineRule="auto"/>
    </w:pPr>
    <w:rPr>
      <w:sz w:val="22"/>
      <w:lang w:eastAsia="ru-RU"/>
    </w:rPr>
  </w:style>
  <w:style w:type="paragraph" w:styleId="1177" w:customStyle="1">
    <w:name w:val="Contents 9"/>
    <w:basedOn w:val="1063"/>
    <w:next w:val="1063"/>
    <w:qFormat/>
    <w:pPr>
      <w:ind w:left="1760"/>
      <w:spacing w:after="100" w:line="254" w:lineRule="auto"/>
    </w:pPr>
    <w:rPr>
      <w:sz w:val="22"/>
      <w:lang w:eastAsia="ru-RU"/>
    </w:rPr>
  </w:style>
  <w:style w:type="paragraph" w:styleId="1178" w:customStyle="1">
    <w:name w:val="StGen1"/>
    <w:basedOn w:val="1063"/>
    <w:next w:val="1044"/>
    <w:qFormat/>
    <w:pPr>
      <w:jc w:val="center"/>
      <w:spacing w:line="360" w:lineRule="auto"/>
    </w:pPr>
    <w:rPr>
      <w:i/>
      <w:iCs/>
      <w:szCs w:val="28"/>
      <w:u w:val="single"/>
    </w:rPr>
  </w:style>
  <w:style w:type="paragraph" w:styleId="1179" w:customStyle="1">
    <w:name w:val="Style9"/>
    <w:basedOn w:val="1063"/>
    <w:qFormat/>
    <w:pPr>
      <w:ind w:firstLine="720"/>
      <w:jc w:val="both"/>
      <w:spacing w:line="317" w:lineRule="exact"/>
      <w:widowControl w:val="off"/>
    </w:pPr>
    <w:rPr>
      <w:lang w:eastAsia="ru-RU"/>
    </w:rPr>
  </w:style>
  <w:style w:type="paragraph" w:styleId="1180" w:customStyle="1">
    <w:name w:val="Рецензия1"/>
    <w:basedOn w:val="1062"/>
    <w:qFormat/>
    <w:pPr>
      <w:widowControl/>
    </w:pPr>
    <w:rPr>
      <w:rFonts w:eastAsia="Arial"/>
      <w:b/>
      <w:color w:val="082a75"/>
      <w:sz w:val="28"/>
      <w:szCs w:val="22"/>
    </w:rPr>
  </w:style>
  <w:style w:type="paragraph" w:styleId="1181" w:customStyle="1">
    <w:name w:val="Мой маркер список"/>
    <w:basedOn w:val="1063"/>
    <w:qFormat/>
    <w:pPr>
      <w:jc w:val="both"/>
    </w:pPr>
    <w:rPr>
      <w:rFonts w:ascii="Century Schoolbook" w:hAnsi="Century Schoolbook" w:eastAsia="Century Schoolbook" w:cs="Century Schoolbook"/>
      <w:sz w:val="22"/>
    </w:rPr>
  </w:style>
  <w:style w:type="paragraph" w:styleId="1182" w:customStyle="1">
    <w:name w:val="Абзац списка;ПАРАГРАФ;Абзац списка2"/>
    <w:basedOn w:val="1062"/>
    <w:qFormat/>
    <w:pPr>
      <w:ind w:left="720"/>
      <w:widowControl/>
    </w:pPr>
    <w:rPr>
      <w:rFonts w:cs="Times New Roman"/>
      <w:sz w:val="22"/>
      <w:szCs w:val="22"/>
    </w:rPr>
  </w:style>
  <w:style w:type="paragraph" w:styleId="1183" w:customStyle="1">
    <w:name w:val="Содержимое таблицы"/>
    <w:basedOn w:val="1063"/>
    <w:qFormat/>
    <w:pPr>
      <w:widowControl w:val="off"/>
    </w:pPr>
  </w:style>
  <w:style w:type="paragraph" w:styleId="1184" w:customStyle="1">
    <w:name w:val="Заголовок таблицы"/>
    <w:basedOn w:val="1183"/>
    <w:qFormat/>
    <w:pPr>
      <w:jc w:val="center"/>
    </w:pPr>
    <w:rPr>
      <w:bCs/>
    </w:rPr>
  </w:style>
  <w:style w:type="paragraph" w:styleId="1185" w:customStyle="1">
    <w:name w:val="Абзац списка2"/>
    <w:basedOn w:val="1062"/>
    <w:next w:val="1065"/>
    <w:qFormat/>
    <w:pPr>
      <w:ind w:left="720"/>
      <w:widowControl/>
    </w:pPr>
    <w:rPr>
      <w:rFonts w:cs="Calibri"/>
      <w:sz w:val="22"/>
      <w:szCs w:val="22"/>
      <w:lang w:eastAsia="zh-CN"/>
    </w:rPr>
  </w:style>
  <w:style w:type="paragraph" w:styleId="1186" w:customStyle="1">
    <w:name w:val="Обычный (веб)2"/>
    <w:basedOn w:val="1062"/>
    <w:qFormat/>
    <w:pPr>
      <w:spacing w:before="280" w:after="280"/>
      <w:widowControl/>
    </w:pPr>
    <w:rPr>
      <w:rFonts w:ascii="Verdana" w:hAnsi="Verdana" w:eastAsia="Times New Roman" w:cs="Verdana"/>
      <w:sz w:val="16"/>
      <w:szCs w:val="16"/>
      <w:lang w:eastAsia="zh-CN"/>
    </w:rPr>
  </w:style>
  <w:style w:type="paragraph" w:styleId="1187" w:customStyle="1">
    <w:name w:val="Текст в заданном формате"/>
    <w:basedOn w:val="1063"/>
    <w:qFormat/>
    <w:pPr>
      <w:spacing w:line="276" w:lineRule="auto"/>
    </w:pPr>
    <w:rPr>
      <w:rFonts w:ascii="Liberation Mono" w:hAnsi="Liberation Mono" w:eastAsia="Liberation Mono" w:cs="Liberation Mono"/>
      <w:sz w:val="20"/>
      <w:szCs w:val="20"/>
      <w:lang w:eastAsia="en-US"/>
    </w:rPr>
  </w:style>
  <w:style w:type="paragraph" w:styleId="1188" w:customStyle="1">
    <w:name w:val="Содержимое врезки"/>
    <w:basedOn w:val="1063"/>
    <w:qFormat/>
  </w:style>
  <w:style w:type="paragraph" w:styleId="1189">
    <w:name w:val="Header"/>
    <w:basedOn w:val="761"/>
    <w:link w:val="1035"/>
    <w:uiPriority w:val="99"/>
    <w:unhideWhenUsed/>
    <w:pPr>
      <w:tabs>
        <w:tab w:val="center" w:pos="4677" w:leader="none"/>
        <w:tab w:val="right" w:pos="9355" w:leader="none"/>
      </w:tabs>
    </w:pPr>
  </w:style>
  <w:style w:type="paragraph" w:styleId="1190">
    <w:name w:val="Footer"/>
    <w:basedOn w:val="761"/>
    <w:link w:val="1036"/>
    <w:uiPriority w:val="99"/>
    <w:unhideWhenUsed/>
    <w:pPr>
      <w:tabs>
        <w:tab w:val="center" w:pos="4677" w:leader="none"/>
        <w:tab w:val="right" w:pos="9355" w:leader="none"/>
      </w:tabs>
    </w:pPr>
  </w:style>
  <w:style w:type="paragraph" w:styleId="1191">
    <w:name w:val="toc 2"/>
    <w:basedOn w:val="761"/>
    <w:next w:val="761"/>
    <w:uiPriority w:val="39"/>
    <w:unhideWhenUsed/>
    <w:pPr>
      <w:ind w:left="200"/>
      <w:spacing w:after="100"/>
    </w:pPr>
  </w:style>
  <w:style w:type="paragraph" w:styleId="1192">
    <w:name w:val="toc 3"/>
    <w:basedOn w:val="761"/>
    <w:next w:val="761"/>
    <w:uiPriority w:val="39"/>
    <w:unhideWhenUsed/>
    <w:pPr>
      <w:ind w:left="400" w:hanging="116"/>
      <w:spacing w:after="100"/>
      <w:tabs>
        <w:tab w:val="right" w:pos="10052" w:leader="dot"/>
      </w:tabs>
    </w:pPr>
  </w:style>
  <w:style w:type="table" w:styleId="1193">
    <w:name w:val="Table Grid"/>
    <w:basedOn w:val="772"/>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1194" w:customStyle="1">
    <w:name w:val="Table Grid Light"/>
    <w:basedOn w:val="772"/>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1195">
    <w:name w:val="Plain Table 1"/>
    <w:basedOn w:val="772"/>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fill="f2f2f2" w:themeFill="text1" w:themeFillTint="0D"/>
      </w:tcPr>
    </w:tblStylePr>
    <w:tblStylePr w:type="band1Vert">
      <w:tcPr>
        <w:shd w:val="clear" w:color="f2f2f2" w:fill="f2f2f2" w:themeFill="text1" w:themeFillTint="0D"/>
      </w:tcPr>
    </w:tblStylePr>
    <w:tblStylePr w:type="firstCol">
      <w:rPr>
        <w:b/>
        <w:color w:val="404040"/>
        <w:sz w:val="22"/>
      </w:rPr>
    </w:tblStylePr>
    <w:tblStylePr w:type="firstRow">
      <w:rPr>
        <w:b/>
        <w:color w:val="404040"/>
        <w:sz w:val="22"/>
      </w:rPr>
    </w:tblStylePr>
    <w:tblStylePr w:type="lastCol">
      <w:rPr>
        <w:b/>
        <w:color w:val="404040"/>
        <w:sz w:val="22"/>
      </w:rPr>
    </w:tblStylePr>
    <w:tblStylePr w:type="lastRow">
      <w:rPr>
        <w:b/>
        <w:color w:val="404040"/>
        <w:sz w:val="22"/>
      </w:rPr>
    </w:tblStylePr>
  </w:style>
  <w:style w:type="table" w:styleId="1196">
    <w:name w:val="Plain Table 2"/>
    <w:basedOn w:val="772"/>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b/>
        <w:color w:val="404040"/>
        <w:sz w:val="22"/>
      </w:rPr>
    </w:tblStylePr>
    <w:tblStylePr w:type="firstRow">
      <w:rPr>
        <w:b/>
        <w:color w:val="404040"/>
        <w:sz w:val="22"/>
      </w:rPr>
      <w:tcPr>
        <w:tcBorders>
          <w:top w:val="single" w:color="000000" w:themeColor="text1" w:sz="4" w:space="0"/>
          <w:bottom w:val="single" w:color="000000" w:themeColor="text1" w:sz="4" w:space="0"/>
        </w:tcBorders>
      </w:tcPr>
    </w:tblStylePr>
    <w:tblStylePr w:type="lastCol">
      <w:rPr>
        <w:b/>
        <w:color w:val="404040"/>
        <w:sz w:val="22"/>
      </w:rPr>
    </w:tblStylePr>
    <w:tblStylePr w:type="lastRow">
      <w:rPr>
        <w:b/>
        <w:color w:val="404040"/>
        <w:sz w:val="22"/>
      </w:rPr>
    </w:tblStylePr>
  </w:style>
  <w:style w:type="table" w:styleId="1197">
    <w:name w:val="Plain Table 3"/>
    <w:basedOn w:val="772"/>
    <w:uiPriority w:val="99"/>
    <w:tblPr>
      <w:tblStyleRowBandSize w:val="1"/>
      <w:tblStyleColBandSize w:val="1"/>
    </w:tblPr>
    <w:tblStylePr w:type="band1Horz">
      <w:rPr>
        <w:color w:val="404040"/>
        <w:sz w:val="22"/>
      </w:rPr>
      <w:tcPr>
        <w:shd w:val="clear" w:color="f2f2f2" w:fill="f2f2f2" w:themeFill="text1" w:themeFillTint="0D"/>
      </w:tcPr>
    </w:tblStylePr>
    <w:tblStylePr w:type="band1Vert">
      <w:rPr>
        <w:color w:val="404040"/>
        <w:sz w:val="22"/>
      </w:rPr>
      <w:tcPr>
        <w:shd w:val="clear" w:color="f2f2f2"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198">
    <w:name w:val="Plain Table 4"/>
    <w:basedOn w:val="772"/>
    <w:uiPriority w:val="99"/>
    <w:tblPr>
      <w:tblStyleRowBandSize w:val="1"/>
      <w:tblStyleColBandSize w:val="1"/>
    </w:tblPr>
    <w:tblStylePr w:type="band1Horz">
      <w:rPr>
        <w:color w:val="404040"/>
        <w:sz w:val="22"/>
      </w:rPr>
      <w:tcPr>
        <w:shd w:val="clear" w:color="f2f2f2" w:fill="f2f2f2" w:themeFill="text1" w:themeFillTint="0D"/>
      </w:tcPr>
    </w:tblStylePr>
    <w:tblStylePr w:type="band1Vert">
      <w:rPr>
        <w:color w:val="404040"/>
        <w:sz w:val="22"/>
      </w:rPr>
      <w:tcPr>
        <w:shd w:val="clear" w:color="f2f2f2"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199">
    <w:name w:val="Plain Table 5"/>
    <w:basedOn w:val="772"/>
    <w:uiPriority w:val="99"/>
    <w:tblPr>
      <w:tblStyleRowBandSize w:val="1"/>
      <w:tblStyleColBandSize w:val="1"/>
    </w:tblPr>
    <w:tblStylePr w:type="band1Horz">
      <w:rPr>
        <w:color w:val="404040"/>
        <w:sz w:val="22"/>
      </w:rPr>
      <w:tcPr>
        <w:shd w:val="clear" w:color="f2f2f2" w:fill="f2f2f2" w:themeFill="text1" w:themeFillTint="0D"/>
      </w:tcPr>
    </w:tblStylePr>
    <w:tblStylePr w:type="band1Vert">
      <w:rPr>
        <w:color w:val="404040"/>
        <w:sz w:val="22"/>
      </w:rPr>
      <w:tcPr>
        <w:shd w:val="clear" w:color="f2f2f2"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1200">
    <w:name w:val="Grid Table 1 Light"/>
    <w:basedOn w:val="772"/>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color w:val="404040"/>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b/>
        <w:color w:val="404040"/>
      </w:rPr>
    </w:tblStylePr>
    <w:tblStylePr w:type="firstRow">
      <w:rPr>
        <w:b/>
        <w:color w:val="404040"/>
      </w:rPr>
      <w:tcPr>
        <w:tcBorders>
          <w:bottom w:val="single" w:color="000000" w:themeColor="text1" w:sz="12" w:space="0"/>
        </w:tcBorders>
      </w:tcPr>
    </w:tblStylePr>
    <w:tblStylePr w:type="lastCol">
      <w:rPr>
        <w:b/>
        <w:color w:val="404040"/>
      </w:rPr>
    </w:tblStylePr>
    <w:tblStylePr w:type="lastRow">
      <w:rPr>
        <w:b/>
        <w:color w:val="404040"/>
      </w:rPr>
    </w:tblStylePr>
  </w:style>
  <w:style w:type="table" w:styleId="1201" w:customStyle="1">
    <w:name w:val="Grid Table 1 Light - Accent 1"/>
    <w:basedOn w:val="772"/>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color w:val="404040"/>
        <w:sz w:val="22"/>
      </w:rPr>
      <w:tcPr>
        <w:tcBorders>
          <w:top w:val="single" w:color="4F81BD" w:themeColor="accent1" w:sz="4" w:space="0"/>
          <w:left w:val="single" w:color="4F81BD" w:themeColor="accent1" w:sz="4" w:space="0"/>
          <w:bottom w:val="single" w:color="4F81BD" w:themeColor="accent1" w:sz="4" w:space="0"/>
          <w:right w:val="single" w:color="4F81BD" w:themeColor="accent1" w:sz="4" w:space="0"/>
        </w:tcBorders>
      </w:tcPr>
    </w:tblStylePr>
    <w:tblStylePr w:type="firstCol">
      <w:rPr>
        <w:b/>
        <w:color w:val="404040"/>
      </w:rPr>
    </w:tblStylePr>
    <w:tblStylePr w:type="firstRow">
      <w:rPr>
        <w:b/>
        <w:color w:val="404040"/>
      </w:rPr>
      <w:tcPr>
        <w:tcBorders>
          <w:bottom w:val="single" w:color="4F81BD" w:themeColor="accent1" w:sz="12" w:space="0"/>
        </w:tcBorders>
      </w:tcPr>
    </w:tblStylePr>
    <w:tblStylePr w:type="lastCol">
      <w:rPr>
        <w:b/>
        <w:color w:val="404040"/>
      </w:rPr>
    </w:tblStylePr>
    <w:tblStylePr w:type="lastRow">
      <w:rPr>
        <w:b/>
        <w:color w:val="404040"/>
      </w:rPr>
    </w:tblStylePr>
  </w:style>
  <w:style w:type="table" w:styleId="1202" w:customStyle="1">
    <w:name w:val="Grid Table 1 Light - Accent 2"/>
    <w:basedOn w:val="772"/>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color w:val="404040"/>
        <w:sz w:val="22"/>
      </w:rPr>
      <w:tcPr>
        <w:tcBorders>
          <w:top w:val="single" w:color="C0504D" w:themeColor="accent2" w:sz="4" w:space="0"/>
          <w:left w:val="single" w:color="C0504D" w:themeColor="accent2" w:sz="4" w:space="0"/>
          <w:bottom w:val="single" w:color="C0504D" w:themeColor="accent2" w:sz="4" w:space="0"/>
          <w:right w:val="single" w:color="C0504D" w:themeColor="accent2" w:sz="4" w:space="0"/>
        </w:tcBorders>
      </w:tcPr>
    </w:tblStylePr>
    <w:tblStylePr w:type="firstCol">
      <w:rPr>
        <w:b/>
        <w:color w:val="404040"/>
      </w:rPr>
    </w:tblStylePr>
    <w:tblStylePr w:type="firstRow">
      <w:rPr>
        <w:b/>
        <w:color w:val="404040"/>
      </w:rPr>
      <w:tcPr>
        <w:tcBorders>
          <w:bottom w:val="single" w:color="C0504D" w:themeColor="accent2" w:sz="12" w:space="0"/>
        </w:tcBorders>
      </w:tcPr>
    </w:tblStylePr>
    <w:tblStylePr w:type="lastCol">
      <w:rPr>
        <w:b/>
        <w:color w:val="404040"/>
      </w:rPr>
    </w:tblStylePr>
    <w:tblStylePr w:type="lastRow">
      <w:rPr>
        <w:b/>
        <w:color w:val="404040"/>
      </w:rPr>
    </w:tblStylePr>
  </w:style>
  <w:style w:type="table" w:styleId="1203" w:customStyle="1">
    <w:name w:val="Grid Table 1 Light - Accent 3"/>
    <w:basedOn w:val="772"/>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color w:val="404040"/>
        <w:sz w:val="22"/>
      </w:rPr>
      <w:tcPr>
        <w:tcBorders>
          <w:top w:val="single" w:color="9BBB59" w:themeColor="accent3" w:sz="4" w:space="0"/>
          <w:left w:val="single" w:color="9BBB59" w:themeColor="accent3" w:sz="4" w:space="0"/>
          <w:bottom w:val="single" w:color="9BBB59" w:themeColor="accent3" w:sz="4" w:space="0"/>
          <w:right w:val="single" w:color="9BBB59" w:themeColor="accent3" w:sz="4" w:space="0"/>
        </w:tcBorders>
      </w:tcPr>
    </w:tblStylePr>
    <w:tblStylePr w:type="firstCol">
      <w:rPr>
        <w:b/>
        <w:color w:val="404040"/>
      </w:rPr>
    </w:tblStylePr>
    <w:tblStylePr w:type="firstRow">
      <w:rPr>
        <w:b/>
        <w:color w:val="404040"/>
      </w:rPr>
      <w:tcPr>
        <w:tcBorders>
          <w:bottom w:val="single" w:color="9BBB59" w:themeColor="accent3" w:sz="12" w:space="0"/>
        </w:tcBorders>
      </w:tcPr>
    </w:tblStylePr>
    <w:tblStylePr w:type="lastCol">
      <w:rPr>
        <w:b/>
        <w:color w:val="404040"/>
      </w:rPr>
    </w:tblStylePr>
    <w:tblStylePr w:type="lastRow">
      <w:rPr>
        <w:b/>
        <w:color w:val="404040"/>
      </w:rPr>
    </w:tblStylePr>
  </w:style>
  <w:style w:type="table" w:styleId="1204" w:customStyle="1">
    <w:name w:val="Grid Table 1 Light - Accent 4"/>
    <w:basedOn w:val="772"/>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color w:val="404040"/>
        <w:sz w:val="22"/>
      </w:rPr>
      <w:tcPr>
        <w:tcBorders>
          <w:top w:val="single" w:color="8064A2" w:themeColor="accent4" w:sz="4" w:space="0"/>
          <w:left w:val="single" w:color="8064A2" w:themeColor="accent4" w:sz="4" w:space="0"/>
          <w:bottom w:val="single" w:color="8064A2" w:themeColor="accent4" w:sz="4" w:space="0"/>
          <w:right w:val="single" w:color="8064A2" w:themeColor="accent4" w:sz="4" w:space="0"/>
        </w:tcBorders>
      </w:tcPr>
    </w:tblStylePr>
    <w:tblStylePr w:type="firstCol">
      <w:rPr>
        <w:b/>
        <w:color w:val="404040"/>
      </w:rPr>
    </w:tblStylePr>
    <w:tblStylePr w:type="firstRow">
      <w:rPr>
        <w:b/>
        <w:color w:val="404040"/>
      </w:rPr>
      <w:tcPr>
        <w:tcBorders>
          <w:bottom w:val="single" w:color="8064A2" w:themeColor="accent4" w:sz="12" w:space="0"/>
        </w:tcBorders>
      </w:tcPr>
    </w:tblStylePr>
    <w:tblStylePr w:type="lastCol">
      <w:rPr>
        <w:b/>
        <w:color w:val="404040"/>
      </w:rPr>
    </w:tblStylePr>
    <w:tblStylePr w:type="lastRow">
      <w:rPr>
        <w:b/>
        <w:color w:val="404040"/>
      </w:rPr>
    </w:tblStylePr>
  </w:style>
  <w:style w:type="table" w:styleId="1205" w:customStyle="1">
    <w:name w:val="Grid Table 1 Light - Accent 5"/>
    <w:basedOn w:val="772"/>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color w:val="404040"/>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firstCol">
      <w:rPr>
        <w:b/>
        <w:color w:val="404040"/>
      </w:rPr>
    </w:tblStylePr>
    <w:tblStylePr w:type="firstRow">
      <w:rPr>
        <w:b/>
        <w:color w:val="404040"/>
      </w:rPr>
      <w:tcPr>
        <w:tcBorders>
          <w:bottom w:val="single" w:color="4BACC6" w:themeColor="accent5" w:sz="12" w:space="0"/>
        </w:tcBorders>
      </w:tcPr>
    </w:tblStylePr>
    <w:tblStylePr w:type="lastCol">
      <w:rPr>
        <w:b/>
        <w:color w:val="404040"/>
      </w:rPr>
    </w:tblStylePr>
    <w:tblStylePr w:type="lastRow">
      <w:rPr>
        <w:b/>
        <w:color w:val="404040"/>
      </w:rPr>
    </w:tblStylePr>
  </w:style>
  <w:style w:type="table" w:styleId="1206" w:customStyle="1">
    <w:name w:val="Grid Table 1 Light - Accent 6"/>
    <w:basedOn w:val="772"/>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color w:val="404040"/>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firstCol">
      <w:rPr>
        <w:b/>
        <w:color w:val="404040"/>
      </w:rPr>
    </w:tblStylePr>
    <w:tblStylePr w:type="firstRow">
      <w:rPr>
        <w:b/>
        <w:color w:val="404040"/>
      </w:rPr>
      <w:tcPr>
        <w:tcBorders>
          <w:bottom w:val="single" w:color="F79646" w:themeColor="accent6" w:sz="12" w:space="0"/>
        </w:tcBorders>
      </w:tcPr>
    </w:tblStylePr>
    <w:tblStylePr w:type="lastCol">
      <w:rPr>
        <w:b/>
        <w:color w:val="404040"/>
      </w:rPr>
    </w:tblStylePr>
    <w:tblStylePr w:type="lastRow">
      <w:rPr>
        <w:b/>
        <w:color w:val="404040"/>
      </w:rPr>
    </w:tblStylePr>
  </w:style>
  <w:style w:type="table" w:styleId="1207">
    <w:name w:val="Grid Table 2"/>
    <w:basedOn w:val="772"/>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color w:val="404040"/>
        <w:sz w:val="22"/>
      </w:rPr>
      <w:tcPr>
        <w:shd w:val="clear" w:color="cbcbcb" w:fill="cbcbcb" w:themeFill="text1" w:themeFillTint="34"/>
      </w:tcPr>
    </w:tblStylePr>
    <w:tblStylePr w:type="band1Vert">
      <w:rPr>
        <w:color w:val="404040"/>
        <w:sz w:val="22"/>
      </w:rPr>
      <w:tcPr>
        <w:shd w:val="clear" w:color="cbcbcb"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000000" w:themeColor="text1"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000000" w:themeColor="text1" w:sz="4" w:space="0"/>
          <w:left w:val="none" w:color="000000" w:sz="4" w:space="0"/>
          <w:bottom w:val="none" w:color="000000" w:sz="4" w:space="0"/>
          <w:right w:val="none" w:color="000000" w:sz="4" w:space="0"/>
        </w:tcBorders>
      </w:tcPr>
    </w:tblStylePr>
  </w:style>
  <w:style w:type="table" w:styleId="1208" w:customStyle="1">
    <w:name w:val="Grid Table 2 - Accent 1"/>
    <w:basedOn w:val="772"/>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color w:val="404040"/>
        <w:sz w:val="22"/>
      </w:rPr>
      <w:tcPr>
        <w:shd w:val="clear" w:color="dae5f1" w:fill="dae5f1" w:themeFill="accent1" w:themeFillTint="34"/>
      </w:tcPr>
    </w:tblStylePr>
    <w:tblStylePr w:type="band1Vert">
      <w:rPr>
        <w:color w:val="404040"/>
        <w:sz w:val="22"/>
      </w:rPr>
      <w:tcPr>
        <w:shd w:val="clear" w:color="dae5f1" w:fill="dae5f1"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F81BD" w:themeColor="accent1"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F81BD" w:themeColor="accent1" w:sz="4" w:space="0"/>
          <w:left w:val="none" w:color="000000" w:sz="4" w:space="0"/>
          <w:bottom w:val="none" w:color="000000" w:sz="4" w:space="0"/>
          <w:right w:val="none" w:color="000000" w:sz="4" w:space="0"/>
        </w:tcBorders>
      </w:tcPr>
    </w:tblStylePr>
  </w:style>
  <w:style w:type="table" w:styleId="1209" w:customStyle="1">
    <w:name w:val="Grid Table 2 - Accent 2"/>
    <w:basedOn w:val="772"/>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color w:val="404040"/>
        <w:sz w:val="22"/>
      </w:rPr>
      <w:tcPr>
        <w:shd w:val="clear" w:color="f2dcdc" w:fill="f2dcdc" w:themeFill="accent2" w:themeFillTint="32"/>
      </w:tcPr>
    </w:tblStylePr>
    <w:tblStylePr w:type="band1Vert">
      <w:rPr>
        <w:color w:val="404040"/>
        <w:sz w:val="22"/>
      </w:rPr>
      <w:tcPr>
        <w:shd w:val="clear" w:color="f2dcdc" w:fill="f2dcdc"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C0504D" w:themeColor="accent2"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C0504D" w:themeColor="accent2" w:sz="4" w:space="0"/>
          <w:left w:val="none" w:color="000000" w:sz="4" w:space="0"/>
          <w:bottom w:val="none" w:color="000000" w:sz="4" w:space="0"/>
          <w:right w:val="none" w:color="000000" w:sz="4" w:space="0"/>
        </w:tcBorders>
      </w:tcPr>
    </w:tblStylePr>
  </w:style>
  <w:style w:type="table" w:styleId="1210" w:customStyle="1">
    <w:name w:val="Grid Table 2 - Accent 3"/>
    <w:basedOn w:val="772"/>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color w:val="404040"/>
        <w:sz w:val="22"/>
      </w:rPr>
      <w:tcPr>
        <w:shd w:val="clear" w:color="eaf1dc" w:fill="eaf1dc" w:themeFill="accent3" w:themeFillTint="34"/>
      </w:tcPr>
    </w:tblStylePr>
    <w:tblStylePr w:type="band1Vert">
      <w:rPr>
        <w:color w:val="404040"/>
        <w:sz w:val="22"/>
      </w:rPr>
      <w:tcPr>
        <w:shd w:val="clear" w:color="eaf1dc" w:fill="eaf1d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9BBB59" w:themeColor="accent3"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9BBB59" w:themeColor="accent3" w:sz="4" w:space="0"/>
          <w:left w:val="none" w:color="000000" w:sz="4" w:space="0"/>
          <w:bottom w:val="none" w:color="000000" w:sz="4" w:space="0"/>
          <w:right w:val="none" w:color="000000" w:sz="4" w:space="0"/>
        </w:tcBorders>
      </w:tcPr>
    </w:tblStylePr>
  </w:style>
  <w:style w:type="table" w:styleId="1211" w:customStyle="1">
    <w:name w:val="Grid Table 2 - Accent 4"/>
    <w:basedOn w:val="772"/>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color w:val="404040"/>
        <w:sz w:val="22"/>
      </w:rPr>
      <w:tcPr>
        <w:shd w:val="clear" w:color="e5dfec" w:fill="e5dfec" w:themeFill="accent4" w:themeFillTint="34"/>
      </w:tcPr>
    </w:tblStylePr>
    <w:tblStylePr w:type="band1Vert">
      <w:rPr>
        <w:color w:val="404040"/>
        <w:sz w:val="22"/>
      </w:rPr>
      <w:tcPr>
        <w:shd w:val="clear" w:color="e5dfec" w:fill="e5dfec"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8064A2" w:themeColor="accent4"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8064A2" w:themeColor="accent4" w:sz="4" w:space="0"/>
          <w:left w:val="none" w:color="000000" w:sz="4" w:space="0"/>
          <w:bottom w:val="none" w:color="000000" w:sz="4" w:space="0"/>
          <w:right w:val="none" w:color="000000" w:sz="4" w:space="0"/>
        </w:tcBorders>
      </w:tcPr>
    </w:tblStylePr>
  </w:style>
  <w:style w:type="table" w:styleId="1212" w:customStyle="1">
    <w:name w:val="Grid Table 2 - Accent 5"/>
    <w:basedOn w:val="772"/>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color w:val="404040"/>
        <w:sz w:val="22"/>
      </w:rPr>
      <w:tcPr>
        <w:shd w:val="clear" w:color="daeef3" w:fill="daeef3" w:themeFill="accent5" w:themeFillTint="34"/>
      </w:tcPr>
    </w:tblStylePr>
    <w:tblStylePr w:type="band1Vert">
      <w:rPr>
        <w:color w:val="404040"/>
        <w:sz w:val="22"/>
      </w:rPr>
      <w:tcPr>
        <w:shd w:val="clear" w:color="daeef3" w:fill="daee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BACC6" w:themeColor="accent5" w:sz="4" w:space="0"/>
          <w:left w:val="none" w:color="000000" w:sz="4" w:space="0"/>
          <w:bottom w:val="none" w:color="000000" w:sz="4" w:space="0"/>
          <w:right w:val="none" w:color="000000" w:sz="4" w:space="0"/>
        </w:tcBorders>
      </w:tcPr>
    </w:tblStylePr>
  </w:style>
  <w:style w:type="table" w:styleId="1213" w:customStyle="1">
    <w:name w:val="Grid Table 2 - Accent 6"/>
    <w:basedOn w:val="772"/>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color w:val="404040"/>
        <w:sz w:val="22"/>
      </w:rPr>
      <w:tcPr>
        <w:shd w:val="clear" w:color="fde9d8" w:fill="fde9d8" w:themeFill="accent6" w:themeFillTint="34"/>
      </w:tcPr>
    </w:tblStylePr>
    <w:tblStylePr w:type="band1Vert">
      <w:rPr>
        <w:color w:val="404040"/>
        <w:sz w:val="22"/>
      </w:rPr>
      <w:tcPr>
        <w:shd w:val="clear" w:color="fde9d8" w:fill="fde9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79646" w:themeColor="accent6" w:sz="4" w:space="0"/>
          <w:left w:val="none" w:color="000000" w:sz="4" w:space="0"/>
          <w:bottom w:val="none" w:color="000000" w:sz="4" w:space="0"/>
          <w:right w:val="none" w:color="000000" w:sz="4" w:space="0"/>
        </w:tcBorders>
      </w:tcPr>
    </w:tblStylePr>
  </w:style>
  <w:style w:type="table" w:styleId="1214">
    <w:name w:val="Grid Table 3"/>
    <w:basedOn w:val="772"/>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color w:val="404040"/>
        <w:sz w:val="22"/>
      </w:rPr>
      <w:tcPr>
        <w:shd w:val="clear" w:color="cbcbcb" w:fill="cbcbcb" w:themeFill="text1" w:themeFillTint="34"/>
      </w:tcPr>
    </w:tblStylePr>
    <w:tblStylePr w:type="band1Vert">
      <w:rPr>
        <w:color w:val="404040"/>
        <w:sz w:val="22"/>
      </w:rPr>
      <w:tcPr>
        <w:shd w:val="clear" w:color="cbcbcb"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215" w:customStyle="1">
    <w:name w:val="Grid Table 3 - Accent 1"/>
    <w:basedOn w:val="772"/>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color w:val="404040"/>
        <w:sz w:val="22"/>
      </w:rPr>
      <w:tcPr>
        <w:shd w:val="clear" w:color="dae5f1" w:fill="dae5f1" w:themeFill="accent1" w:themeFillTint="34"/>
      </w:tcPr>
    </w:tblStylePr>
    <w:tblStylePr w:type="band1Vert">
      <w:rPr>
        <w:color w:val="404040"/>
        <w:sz w:val="22"/>
      </w:rPr>
      <w:tcPr>
        <w:shd w:val="clear" w:color="dae5f1" w:fill="dae5f1"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216" w:customStyle="1">
    <w:name w:val="Grid Table 3 - Accent 2"/>
    <w:basedOn w:val="772"/>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color w:val="404040"/>
        <w:sz w:val="22"/>
      </w:rPr>
      <w:tcPr>
        <w:shd w:val="clear" w:color="f2dcdc" w:fill="f2dcdc" w:themeFill="accent2" w:themeFillTint="32"/>
      </w:tcPr>
    </w:tblStylePr>
    <w:tblStylePr w:type="band1Vert">
      <w:rPr>
        <w:color w:val="404040"/>
        <w:sz w:val="22"/>
      </w:rPr>
      <w:tcPr>
        <w:shd w:val="clear" w:color="f2dcdc" w:fill="f2dcdc"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217" w:customStyle="1">
    <w:name w:val="Grid Table 3 - Accent 3"/>
    <w:basedOn w:val="772"/>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color w:val="404040"/>
        <w:sz w:val="22"/>
      </w:rPr>
      <w:tcPr>
        <w:shd w:val="clear" w:color="eaf1dc" w:fill="eaf1dc" w:themeFill="accent3" w:themeFillTint="34"/>
      </w:tcPr>
    </w:tblStylePr>
    <w:tblStylePr w:type="band1Vert">
      <w:rPr>
        <w:color w:val="404040"/>
        <w:sz w:val="22"/>
      </w:rPr>
      <w:tcPr>
        <w:shd w:val="clear" w:color="eaf1dc" w:fill="eaf1d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218" w:customStyle="1">
    <w:name w:val="Grid Table 3 - Accent 4"/>
    <w:basedOn w:val="772"/>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color w:val="404040"/>
        <w:sz w:val="22"/>
      </w:rPr>
      <w:tcPr>
        <w:shd w:val="clear" w:color="e5dfec" w:fill="e5dfec" w:themeFill="accent4" w:themeFillTint="34"/>
      </w:tcPr>
    </w:tblStylePr>
    <w:tblStylePr w:type="band1Vert">
      <w:rPr>
        <w:color w:val="404040"/>
        <w:sz w:val="22"/>
      </w:rPr>
      <w:tcPr>
        <w:shd w:val="clear" w:color="e5dfec" w:fill="e5dfec"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219" w:customStyle="1">
    <w:name w:val="Grid Table 3 - Accent 5"/>
    <w:basedOn w:val="772"/>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color w:val="404040"/>
        <w:sz w:val="22"/>
      </w:rPr>
      <w:tcPr>
        <w:shd w:val="clear" w:color="daeef3" w:fill="daeef3" w:themeFill="accent5" w:themeFillTint="34"/>
      </w:tcPr>
    </w:tblStylePr>
    <w:tblStylePr w:type="band1Vert">
      <w:rPr>
        <w:color w:val="404040"/>
        <w:sz w:val="22"/>
      </w:rPr>
      <w:tcPr>
        <w:shd w:val="clear" w:color="daeef3" w:fill="daee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220" w:customStyle="1">
    <w:name w:val="Grid Table 3 - Accent 6"/>
    <w:basedOn w:val="772"/>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color w:val="404040"/>
        <w:sz w:val="22"/>
      </w:rPr>
      <w:tcPr>
        <w:shd w:val="clear" w:color="fde9d8" w:fill="fde9d8" w:themeFill="accent6" w:themeFillTint="34"/>
      </w:tcPr>
    </w:tblStylePr>
    <w:tblStylePr w:type="band1Vert">
      <w:rPr>
        <w:color w:val="404040"/>
        <w:sz w:val="22"/>
      </w:rPr>
      <w:tcPr>
        <w:shd w:val="clear" w:color="fde9d8" w:fill="fde9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221">
    <w:name w:val="Grid Table 4"/>
    <w:basedOn w:val="772"/>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color w:val="404040"/>
        <w:sz w:val="22"/>
      </w:rPr>
      <w:tcPr>
        <w:shd w:val="clear" w:color="cbcbcb" w:fill="cbcbcb" w:themeFill="text1" w:themeFillTint="34"/>
      </w:tcPr>
    </w:tblStylePr>
    <w:tblStylePr w:type="band1Vert">
      <w:rPr>
        <w:color w:val="404040"/>
        <w:sz w:val="22"/>
      </w:rPr>
      <w:tcPr>
        <w:shd w:val="clear" w:color="cbcbcb" w:fill="cbcbcb" w:themeFill="text1" w:themeFillTint="34"/>
      </w:tcPr>
    </w:tblStylePr>
    <w:tblStylePr w:type="firstCol">
      <w:rPr>
        <w:b/>
        <w:color w:val="404040"/>
      </w:rPr>
    </w:tblStylePr>
    <w:tblStylePr w:type="firstRow">
      <w:rPr>
        <w:b/>
        <w:color w:val="ffffff"/>
        <w:sz w:val="22"/>
      </w:rPr>
      <w:tcPr>
        <w:shd w:val="clear" w:color="000000"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222" w:customStyle="1">
    <w:name w:val="Grid Table 4 - Accent 1"/>
    <w:basedOn w:val="772"/>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band1Horz">
      <w:rPr>
        <w:color w:val="404040"/>
        <w:sz w:val="22"/>
      </w:rPr>
      <w:tcPr>
        <w:shd w:val="clear" w:color="dce6f2" w:fill="dce6f2" w:themeFill="accent1" w:themeFillTint="32"/>
      </w:tcPr>
    </w:tblStylePr>
    <w:tblStylePr w:type="band1Vert">
      <w:rPr>
        <w:color w:val="404040"/>
        <w:sz w:val="22"/>
      </w:rPr>
      <w:tcPr>
        <w:shd w:val="clear" w:color="dce6f2" w:fill="dce6f2" w:themeFill="accent1" w:themeFillTint="32"/>
      </w:tcPr>
    </w:tblStylePr>
    <w:tblStylePr w:type="firstCol">
      <w:rPr>
        <w:b/>
        <w:color w:val="404040"/>
      </w:rPr>
    </w:tblStylePr>
    <w:tblStylePr w:type="firstRow">
      <w:rPr>
        <w:b/>
        <w:color w:val="ffffff"/>
        <w:sz w:val="22"/>
      </w:rPr>
      <w:tcPr>
        <w:shd w:val="clear" w:color="5d8ac2" w:fill="5d8ac2" w:themeFill="accent1" w:themeFillTint="EA"/>
        <w:tcBorders>
          <w:top w:val="single" w:color="4F81BD" w:themeColor="accent1" w:sz="4" w:space="0"/>
          <w:left w:val="single" w:color="4F81BD" w:themeColor="accent1" w:sz="4" w:space="0"/>
          <w:bottom w:val="single" w:color="4F81BD" w:themeColor="accent1" w:sz="4" w:space="0"/>
          <w:right w:val="single" w:color="4F81BD" w:themeColor="accent1" w:sz="4" w:space="0"/>
        </w:tcBorders>
      </w:tcPr>
    </w:tblStylePr>
    <w:tblStylePr w:type="lastCol">
      <w:rPr>
        <w:b/>
        <w:color w:val="404040"/>
      </w:rPr>
    </w:tblStylePr>
    <w:tblStylePr w:type="lastRow">
      <w:rPr>
        <w:b/>
        <w:color w:val="404040"/>
      </w:rPr>
      <w:tcPr>
        <w:tcBorders>
          <w:top w:val="single" w:color="4F81BD" w:themeColor="accent1" w:sz="4" w:space="0"/>
        </w:tcBorders>
      </w:tcPr>
    </w:tblStylePr>
  </w:style>
  <w:style w:type="table" w:styleId="1223" w:customStyle="1">
    <w:name w:val="Grid Table 4 - Accent 2"/>
    <w:basedOn w:val="772"/>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band1Horz">
      <w:rPr>
        <w:color w:val="404040"/>
        <w:sz w:val="22"/>
      </w:rPr>
      <w:tcPr>
        <w:shd w:val="clear" w:color="f2dcdc" w:fill="f2dcdc" w:themeFill="accent2" w:themeFillTint="32"/>
      </w:tcPr>
    </w:tblStylePr>
    <w:tblStylePr w:type="band1Vert">
      <w:rPr>
        <w:color w:val="404040"/>
        <w:sz w:val="22"/>
      </w:rPr>
      <w:tcPr>
        <w:shd w:val="clear" w:color="f2dcdc" w:fill="f2dcdc" w:themeFill="accent2" w:themeFillTint="32"/>
      </w:tcPr>
    </w:tblStylePr>
    <w:tblStylePr w:type="firstCol">
      <w:rPr>
        <w:b/>
        <w:color w:val="404040"/>
      </w:rPr>
    </w:tblStylePr>
    <w:tblStylePr w:type="firstRow">
      <w:rPr>
        <w:b/>
        <w:color w:val="ffffff"/>
        <w:sz w:val="22"/>
      </w:rPr>
      <w:tcPr>
        <w:shd w:val="clear" w:color="d99695" w:fill="d99695" w:themeFill="accent2" w:themeFillTint="97"/>
        <w:tcBorders>
          <w:top w:val="single" w:color="C0504D" w:themeColor="accent2" w:sz="4" w:space="0"/>
          <w:left w:val="single" w:color="C0504D" w:themeColor="accent2" w:sz="4" w:space="0"/>
          <w:bottom w:val="single" w:color="C0504D" w:themeColor="accent2" w:sz="4" w:space="0"/>
          <w:right w:val="single" w:color="C0504D" w:themeColor="accent2" w:sz="4" w:space="0"/>
        </w:tcBorders>
      </w:tcPr>
    </w:tblStylePr>
    <w:tblStylePr w:type="lastCol">
      <w:rPr>
        <w:b/>
        <w:color w:val="404040"/>
      </w:rPr>
    </w:tblStylePr>
    <w:tblStylePr w:type="lastRow">
      <w:rPr>
        <w:b/>
        <w:color w:val="404040"/>
      </w:rPr>
      <w:tcPr>
        <w:tcBorders>
          <w:top w:val="single" w:color="C0504D" w:themeColor="accent2" w:sz="4" w:space="0"/>
        </w:tcBorders>
      </w:tcPr>
    </w:tblStylePr>
  </w:style>
  <w:style w:type="table" w:styleId="1224" w:customStyle="1">
    <w:name w:val="Grid Table 4 - Accent 3"/>
    <w:basedOn w:val="772"/>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band1Horz">
      <w:rPr>
        <w:color w:val="404040"/>
        <w:sz w:val="22"/>
      </w:rPr>
      <w:tcPr>
        <w:shd w:val="clear" w:color="eaf1dc" w:fill="eaf1dc" w:themeFill="accent3" w:themeFillTint="34"/>
      </w:tcPr>
    </w:tblStylePr>
    <w:tblStylePr w:type="band1Vert">
      <w:rPr>
        <w:color w:val="404040"/>
        <w:sz w:val="22"/>
      </w:rPr>
      <w:tcPr>
        <w:shd w:val="clear" w:color="eaf1dc" w:fill="eaf1dc" w:themeFill="accent3" w:themeFillTint="34"/>
      </w:tcPr>
    </w:tblStylePr>
    <w:tblStylePr w:type="firstCol">
      <w:rPr>
        <w:b/>
        <w:color w:val="404040"/>
      </w:rPr>
    </w:tblStylePr>
    <w:tblStylePr w:type="firstRow">
      <w:rPr>
        <w:b/>
        <w:color w:val="ffffff"/>
        <w:sz w:val="22"/>
      </w:rPr>
      <w:tcPr>
        <w:shd w:val="clear" w:color="9abb59" w:fill="9abb59" w:themeFill="accent3" w:themeFillTint="FE"/>
        <w:tcBorders>
          <w:top w:val="single" w:color="9BBB59" w:themeColor="accent3" w:sz="4" w:space="0"/>
          <w:left w:val="single" w:color="9BBB59" w:themeColor="accent3" w:sz="4" w:space="0"/>
          <w:bottom w:val="single" w:color="9BBB59" w:themeColor="accent3" w:sz="4" w:space="0"/>
          <w:right w:val="single" w:color="9BBB59" w:themeColor="accent3" w:sz="4" w:space="0"/>
        </w:tcBorders>
      </w:tcPr>
    </w:tblStylePr>
    <w:tblStylePr w:type="lastCol">
      <w:rPr>
        <w:b/>
        <w:color w:val="404040"/>
      </w:rPr>
    </w:tblStylePr>
    <w:tblStylePr w:type="lastRow">
      <w:rPr>
        <w:b/>
        <w:color w:val="404040"/>
      </w:rPr>
      <w:tcPr>
        <w:tcBorders>
          <w:top w:val="single" w:color="9BBB59" w:themeColor="accent3" w:sz="4" w:space="0"/>
        </w:tcBorders>
      </w:tcPr>
    </w:tblStylePr>
  </w:style>
  <w:style w:type="table" w:styleId="1225" w:customStyle="1">
    <w:name w:val="Grid Table 4 - Accent 4"/>
    <w:basedOn w:val="772"/>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band1Horz">
      <w:rPr>
        <w:color w:val="404040"/>
        <w:sz w:val="22"/>
      </w:rPr>
      <w:tcPr>
        <w:shd w:val="clear" w:color="e5dfec" w:fill="e5dfec" w:themeFill="accent4" w:themeFillTint="34"/>
      </w:tcPr>
    </w:tblStylePr>
    <w:tblStylePr w:type="band1Vert">
      <w:rPr>
        <w:color w:val="404040"/>
        <w:sz w:val="22"/>
      </w:rPr>
      <w:tcPr>
        <w:shd w:val="clear" w:color="e5dfec" w:fill="e5dfec" w:themeFill="accent4" w:themeFillTint="34"/>
      </w:tcPr>
    </w:tblStylePr>
    <w:tblStylePr w:type="firstCol">
      <w:rPr>
        <w:b/>
        <w:color w:val="404040"/>
      </w:rPr>
    </w:tblStylePr>
    <w:tblStylePr w:type="firstRow">
      <w:rPr>
        <w:b/>
        <w:color w:val="ffffff"/>
        <w:sz w:val="22"/>
      </w:rPr>
      <w:tcPr>
        <w:shd w:val="clear" w:color="b2a1c6" w:fill="b2a1c6" w:themeFill="accent4" w:themeFillTint="9A"/>
        <w:tcBorders>
          <w:top w:val="single" w:color="8064A2" w:themeColor="accent4" w:sz="4" w:space="0"/>
          <w:left w:val="single" w:color="8064A2" w:themeColor="accent4" w:sz="4" w:space="0"/>
          <w:bottom w:val="single" w:color="8064A2" w:themeColor="accent4" w:sz="4" w:space="0"/>
          <w:right w:val="single" w:color="8064A2" w:themeColor="accent4" w:sz="4" w:space="0"/>
        </w:tcBorders>
      </w:tcPr>
    </w:tblStylePr>
    <w:tblStylePr w:type="lastCol">
      <w:rPr>
        <w:b/>
        <w:color w:val="404040"/>
      </w:rPr>
    </w:tblStylePr>
    <w:tblStylePr w:type="lastRow">
      <w:rPr>
        <w:b/>
        <w:color w:val="404040"/>
      </w:rPr>
      <w:tcPr>
        <w:tcBorders>
          <w:top w:val="single" w:color="8064A2" w:themeColor="accent4" w:sz="4" w:space="0"/>
        </w:tcBorders>
      </w:tcPr>
    </w:tblStylePr>
  </w:style>
  <w:style w:type="table" w:styleId="1226" w:customStyle="1">
    <w:name w:val="Grid Table 4 - Accent 5"/>
    <w:basedOn w:val="772"/>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color w:val="404040"/>
        <w:sz w:val="22"/>
      </w:rPr>
      <w:tcPr>
        <w:shd w:val="clear" w:color="daeef3" w:fill="daeef3" w:themeFill="accent5" w:themeFillTint="34"/>
      </w:tcPr>
    </w:tblStylePr>
    <w:tblStylePr w:type="band1Vert">
      <w:rPr>
        <w:color w:val="404040"/>
        <w:sz w:val="22"/>
      </w:rPr>
      <w:tcPr>
        <w:shd w:val="clear" w:color="daeef3" w:fill="daeef3" w:themeFill="accent5" w:themeFillTint="34"/>
      </w:tcPr>
    </w:tblStylePr>
    <w:tblStylePr w:type="firstCol">
      <w:rPr>
        <w:b/>
        <w:color w:val="404040"/>
      </w:rPr>
    </w:tblStylePr>
    <w:tblStylePr w:type="firstRow">
      <w:rPr>
        <w:b/>
        <w:color w:val="ffffff"/>
        <w:sz w:val="22"/>
      </w:rPr>
      <w:tcPr>
        <w:shd w:val="clear" w:color="4bacc6"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tblStylePr>
    <w:tblStylePr w:type="lastRow">
      <w:rPr>
        <w:b/>
        <w:color w:val="404040"/>
      </w:rPr>
      <w:tcPr>
        <w:tcBorders>
          <w:top w:val="single" w:color="4BACC6" w:themeColor="accent5" w:sz="4" w:space="0"/>
        </w:tcBorders>
      </w:tcPr>
    </w:tblStylePr>
  </w:style>
  <w:style w:type="table" w:styleId="1227" w:customStyle="1">
    <w:name w:val="Grid Table 4 - Accent 6"/>
    <w:basedOn w:val="772"/>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color w:val="404040"/>
        <w:sz w:val="22"/>
      </w:rPr>
      <w:tcPr>
        <w:shd w:val="clear" w:color="fde9d8" w:fill="fde9d8" w:themeFill="accent6" w:themeFillTint="34"/>
      </w:tcPr>
    </w:tblStylePr>
    <w:tblStylePr w:type="band1Vert">
      <w:rPr>
        <w:color w:val="404040"/>
        <w:sz w:val="22"/>
      </w:rPr>
      <w:tcPr>
        <w:shd w:val="clear" w:color="fde9d8" w:fill="fde9d8" w:themeFill="accent6" w:themeFillTint="34"/>
      </w:tcPr>
    </w:tblStylePr>
    <w:tblStylePr w:type="firstCol">
      <w:rPr>
        <w:b/>
        <w:color w:val="404040"/>
      </w:rPr>
    </w:tblStylePr>
    <w:tblStylePr w:type="firstRow">
      <w:rPr>
        <w:b/>
        <w:color w:val="ffffff"/>
        <w:sz w:val="22"/>
      </w:rPr>
      <w:tcPr>
        <w:shd w:val="clear" w:color="f7964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tblStylePr>
    <w:tblStylePr w:type="lastRow">
      <w:rPr>
        <w:b/>
        <w:color w:val="404040"/>
      </w:rPr>
      <w:tcPr>
        <w:tcBorders>
          <w:top w:val="single" w:color="F79646" w:themeColor="accent6" w:sz="4" w:space="0"/>
        </w:tcBorders>
      </w:tcPr>
    </w:tblStylePr>
  </w:style>
  <w:style w:type="table" w:styleId="1228">
    <w:name w:val="Grid Table 5 Dark"/>
    <w:basedOn w:val="772"/>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cPr>
        <w:shd w:val="clear" w:color="8a8a8a" w:fill="8a8a8a" w:themeFill="text1" w:themeFillTint="75"/>
      </w:tcPr>
    </w:tblStylePr>
    <w:tblStylePr w:type="band1Vert">
      <w:tcPr>
        <w:shd w:val="clear" w:color="8a8a8a" w:fill="8a8a8a" w:themeFill="text1" w:themeFillTint="75"/>
      </w:tcPr>
    </w:tblStylePr>
    <w:tblStylePr w:type="firstCol">
      <w:rPr>
        <w:b/>
        <w:color w:val="ffffff"/>
        <w:sz w:val="22"/>
      </w:rPr>
      <w:tcPr>
        <w:shd w:val="clear" w:color="000000" w:fill="000000" w:themeFill="text1"/>
      </w:tcPr>
    </w:tblStylePr>
    <w:tblStylePr w:type="firstRow">
      <w:rPr>
        <w:b/>
        <w:color w:val="ffffff"/>
        <w:sz w:val="22"/>
      </w:rPr>
      <w:tcPr>
        <w:shd w:val="clear" w:color="000000" w:fill="000000" w:themeFill="text1"/>
      </w:tcPr>
    </w:tblStylePr>
    <w:tblStylePr w:type="lastCol">
      <w:rPr>
        <w:b/>
        <w:color w:val="ffffff"/>
        <w:sz w:val="22"/>
      </w:rPr>
      <w:tcPr>
        <w:shd w:val="clear" w:color="000000" w:fill="000000" w:themeFill="text1"/>
      </w:tcPr>
    </w:tblStylePr>
    <w:tblStylePr w:type="lastRow">
      <w:rPr>
        <w:b/>
        <w:color w:val="ffffff"/>
        <w:sz w:val="22"/>
      </w:rPr>
      <w:tcPr>
        <w:shd w:val="clear" w:color="000000" w:fill="000000" w:themeFill="text1"/>
        <w:tcBorders>
          <w:top w:val="single" w:color="FFFFFF" w:themeColor="light1" w:sz="4" w:space="0"/>
        </w:tcBorders>
      </w:tcPr>
    </w:tblStylePr>
  </w:style>
  <w:style w:type="table" w:styleId="1229" w:customStyle="1">
    <w:name w:val="Grid Table 5 Dark- Accent 1"/>
    <w:basedOn w:val="772"/>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cPr>
        <w:shd w:val="clear" w:color="aec4e0" w:fill="aec4e0" w:themeFill="accent1" w:themeFillTint="75"/>
      </w:tcPr>
    </w:tblStylePr>
    <w:tblStylePr w:type="band1Vert">
      <w:tcPr>
        <w:shd w:val="clear" w:color="aec4e0" w:fill="aec4e0" w:themeFill="accent1" w:themeFillTint="75"/>
      </w:tcPr>
    </w:tblStylePr>
    <w:tblStylePr w:type="firstCol">
      <w:rPr>
        <w:b/>
        <w:color w:val="ffffff"/>
        <w:sz w:val="22"/>
      </w:rPr>
      <w:tcPr>
        <w:shd w:val="clear" w:color="4f81bd" w:fill="4f81bd" w:themeFill="accent1"/>
      </w:tcPr>
    </w:tblStylePr>
    <w:tblStylePr w:type="firstRow">
      <w:rPr>
        <w:b/>
        <w:color w:val="ffffff"/>
        <w:sz w:val="22"/>
      </w:rPr>
      <w:tcPr>
        <w:shd w:val="clear" w:color="4f81bd" w:fill="4f81bd" w:themeFill="accent1"/>
      </w:tcPr>
    </w:tblStylePr>
    <w:tblStylePr w:type="lastCol">
      <w:rPr>
        <w:b/>
        <w:color w:val="ffffff"/>
        <w:sz w:val="22"/>
      </w:rPr>
      <w:tcPr>
        <w:shd w:val="clear" w:color="4f81bd" w:fill="4f81bd" w:themeFill="accent1"/>
      </w:tcPr>
    </w:tblStylePr>
    <w:tblStylePr w:type="lastRow">
      <w:rPr>
        <w:b/>
        <w:color w:val="ffffff"/>
        <w:sz w:val="22"/>
      </w:rPr>
      <w:tcPr>
        <w:shd w:val="clear" w:color="4f81bd" w:fill="4f81bd" w:themeFill="accent1"/>
        <w:tcBorders>
          <w:top w:val="single" w:color="FFFFFF" w:themeColor="light1" w:sz="4" w:space="0"/>
        </w:tcBorders>
      </w:tcPr>
    </w:tblStylePr>
  </w:style>
  <w:style w:type="table" w:styleId="1230" w:customStyle="1">
    <w:name w:val="Grid Table 5 Dark - Accent 2"/>
    <w:basedOn w:val="772"/>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cPr>
        <w:shd w:val="clear" w:color="e2aead" w:fill="e2aead" w:themeFill="accent2" w:themeFillTint="75"/>
      </w:tcPr>
    </w:tblStylePr>
    <w:tblStylePr w:type="band1Vert">
      <w:tcPr>
        <w:shd w:val="clear" w:color="e2aead" w:fill="e2aead" w:themeFill="accent2" w:themeFillTint="75"/>
      </w:tcPr>
    </w:tblStylePr>
    <w:tblStylePr w:type="firstCol">
      <w:rPr>
        <w:b/>
        <w:color w:val="ffffff"/>
        <w:sz w:val="22"/>
      </w:rPr>
      <w:tcPr>
        <w:shd w:val="clear" w:color="c0504d" w:fill="c0504d" w:themeFill="accent2"/>
      </w:tcPr>
    </w:tblStylePr>
    <w:tblStylePr w:type="firstRow">
      <w:rPr>
        <w:b/>
        <w:color w:val="ffffff"/>
        <w:sz w:val="22"/>
      </w:rPr>
      <w:tcPr>
        <w:shd w:val="clear" w:color="c0504d" w:fill="c0504d" w:themeFill="accent2"/>
      </w:tcPr>
    </w:tblStylePr>
    <w:tblStylePr w:type="lastCol">
      <w:rPr>
        <w:b/>
        <w:color w:val="ffffff"/>
        <w:sz w:val="22"/>
      </w:rPr>
      <w:tcPr>
        <w:shd w:val="clear" w:color="c0504d" w:fill="c0504d" w:themeFill="accent2"/>
      </w:tcPr>
    </w:tblStylePr>
    <w:tblStylePr w:type="lastRow">
      <w:rPr>
        <w:b/>
        <w:color w:val="ffffff"/>
        <w:sz w:val="22"/>
      </w:rPr>
      <w:tcPr>
        <w:shd w:val="clear" w:color="c0504d" w:fill="c0504d" w:themeFill="accent2"/>
        <w:tcBorders>
          <w:top w:val="single" w:color="FFFFFF" w:themeColor="light1" w:sz="4" w:space="0"/>
        </w:tcBorders>
      </w:tcPr>
    </w:tblStylePr>
  </w:style>
  <w:style w:type="table" w:styleId="1231" w:customStyle="1">
    <w:name w:val="Grid Table 5 Dark - Accent 3"/>
    <w:basedOn w:val="772"/>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cPr>
        <w:shd w:val="clear" w:color="d0dfb2" w:fill="d0dfb2" w:themeFill="accent3" w:themeFillTint="75"/>
      </w:tcPr>
    </w:tblStylePr>
    <w:tblStylePr w:type="band1Vert">
      <w:tcPr>
        <w:shd w:val="clear" w:color="d0dfb2" w:fill="d0dfb2" w:themeFill="accent3" w:themeFillTint="75"/>
      </w:tcPr>
    </w:tblStylePr>
    <w:tblStylePr w:type="firstCol">
      <w:rPr>
        <w:b/>
        <w:color w:val="ffffff"/>
        <w:sz w:val="22"/>
      </w:rPr>
      <w:tcPr>
        <w:shd w:val="clear" w:color="9bbb59" w:fill="9bbb59" w:themeFill="accent3"/>
      </w:tcPr>
    </w:tblStylePr>
    <w:tblStylePr w:type="firstRow">
      <w:rPr>
        <w:b/>
        <w:color w:val="ffffff"/>
        <w:sz w:val="22"/>
      </w:rPr>
      <w:tcPr>
        <w:shd w:val="clear" w:color="9bbb59" w:fill="9bbb59" w:themeFill="accent3"/>
      </w:tcPr>
    </w:tblStylePr>
    <w:tblStylePr w:type="lastCol">
      <w:rPr>
        <w:b/>
        <w:color w:val="ffffff"/>
        <w:sz w:val="22"/>
      </w:rPr>
      <w:tcPr>
        <w:shd w:val="clear" w:color="9bbb59" w:fill="9bbb59" w:themeFill="accent3"/>
      </w:tcPr>
    </w:tblStylePr>
    <w:tblStylePr w:type="lastRow">
      <w:rPr>
        <w:b/>
        <w:color w:val="ffffff"/>
        <w:sz w:val="22"/>
      </w:rPr>
      <w:tcPr>
        <w:shd w:val="clear" w:color="9bbb59" w:fill="9bbb59" w:themeFill="accent3"/>
        <w:tcBorders>
          <w:top w:val="single" w:color="FFFFFF" w:themeColor="light1" w:sz="4" w:space="0"/>
        </w:tcBorders>
      </w:tcPr>
    </w:tblStylePr>
  </w:style>
  <w:style w:type="table" w:styleId="1232" w:customStyle="1">
    <w:name w:val="Grid Table 5 Dark- Accent 4"/>
    <w:basedOn w:val="772"/>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cPr>
        <w:shd w:val="clear" w:color="c4b7d4" w:fill="c4b7d4" w:themeFill="accent4" w:themeFillTint="75"/>
      </w:tcPr>
    </w:tblStylePr>
    <w:tblStylePr w:type="band1Vert">
      <w:tcPr>
        <w:shd w:val="clear" w:color="c4b7d4" w:fill="c4b7d4" w:themeFill="accent4" w:themeFillTint="75"/>
      </w:tcPr>
    </w:tblStylePr>
    <w:tblStylePr w:type="firstCol">
      <w:rPr>
        <w:b/>
        <w:color w:val="ffffff"/>
        <w:sz w:val="22"/>
      </w:rPr>
      <w:tcPr>
        <w:shd w:val="clear" w:color="8064a2" w:fill="8064a2" w:themeFill="accent4"/>
      </w:tcPr>
    </w:tblStylePr>
    <w:tblStylePr w:type="firstRow">
      <w:rPr>
        <w:b/>
        <w:color w:val="ffffff"/>
        <w:sz w:val="22"/>
      </w:rPr>
      <w:tcPr>
        <w:shd w:val="clear" w:color="8064a2" w:fill="8064a2" w:themeFill="accent4"/>
      </w:tcPr>
    </w:tblStylePr>
    <w:tblStylePr w:type="lastCol">
      <w:rPr>
        <w:b/>
        <w:color w:val="ffffff"/>
        <w:sz w:val="22"/>
      </w:rPr>
      <w:tcPr>
        <w:shd w:val="clear" w:color="8064a2" w:fill="8064a2" w:themeFill="accent4"/>
      </w:tcPr>
    </w:tblStylePr>
    <w:tblStylePr w:type="lastRow">
      <w:rPr>
        <w:b/>
        <w:color w:val="ffffff"/>
        <w:sz w:val="22"/>
      </w:rPr>
      <w:tcPr>
        <w:shd w:val="clear" w:color="8064a2" w:fill="8064a2" w:themeFill="accent4"/>
        <w:tcBorders>
          <w:top w:val="single" w:color="FFFFFF" w:themeColor="light1" w:sz="4" w:space="0"/>
        </w:tcBorders>
      </w:tcPr>
    </w:tblStylePr>
  </w:style>
  <w:style w:type="table" w:styleId="1233" w:customStyle="1">
    <w:name w:val="Grid Table 5 Dark - Accent 5"/>
    <w:basedOn w:val="772"/>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cPr>
        <w:shd w:val="clear" w:color="acd8e4" w:fill="acd8e4" w:themeFill="accent5" w:themeFillTint="75"/>
      </w:tcPr>
    </w:tblStylePr>
    <w:tblStylePr w:type="band1Vert">
      <w:tcPr>
        <w:shd w:val="clear" w:color="acd8e4" w:fill="acd8e4" w:themeFill="accent5" w:themeFillTint="75"/>
      </w:tcPr>
    </w:tblStylePr>
    <w:tblStylePr w:type="firstCol">
      <w:rPr>
        <w:b/>
        <w:color w:val="ffffff"/>
        <w:sz w:val="22"/>
      </w:rPr>
      <w:tcPr>
        <w:shd w:val="clear" w:color="4bacc6" w:fill="4bacc6" w:themeFill="accent5"/>
      </w:tcPr>
    </w:tblStylePr>
    <w:tblStylePr w:type="firstRow">
      <w:rPr>
        <w:b/>
        <w:color w:val="ffffff"/>
        <w:sz w:val="22"/>
      </w:rPr>
      <w:tcPr>
        <w:shd w:val="clear" w:color="4bacc6" w:fill="4bacc6" w:themeFill="accent5"/>
      </w:tcPr>
    </w:tblStylePr>
    <w:tblStylePr w:type="lastCol">
      <w:rPr>
        <w:b/>
        <w:color w:val="ffffff"/>
        <w:sz w:val="22"/>
      </w:rPr>
      <w:tcPr>
        <w:shd w:val="clear" w:color="4bacc6" w:fill="4bacc6" w:themeFill="accent5"/>
      </w:tcPr>
    </w:tblStylePr>
    <w:tblStylePr w:type="lastRow">
      <w:rPr>
        <w:b/>
        <w:color w:val="ffffff"/>
        <w:sz w:val="22"/>
      </w:rPr>
      <w:tcPr>
        <w:shd w:val="clear" w:color="4bacc6" w:fill="4bacc6" w:themeFill="accent5"/>
        <w:tcBorders>
          <w:top w:val="single" w:color="FFFFFF" w:themeColor="light1" w:sz="4" w:space="0"/>
        </w:tcBorders>
      </w:tcPr>
    </w:tblStylePr>
  </w:style>
  <w:style w:type="table" w:styleId="1234" w:customStyle="1">
    <w:name w:val="Grid Table 5 Dark - Accent 6"/>
    <w:basedOn w:val="772"/>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band1Horz">
      <w:tcPr>
        <w:shd w:val="clear" w:color="fbceaa" w:fill="fbceaa" w:themeFill="accent6" w:themeFillTint="75"/>
      </w:tcPr>
    </w:tblStylePr>
    <w:tblStylePr w:type="band1Vert">
      <w:tcPr>
        <w:shd w:val="clear" w:color="fbceaa" w:fill="fbceaa" w:themeFill="accent6" w:themeFillTint="75"/>
      </w:tcPr>
    </w:tblStylePr>
    <w:tblStylePr w:type="firstCol">
      <w:rPr>
        <w:b/>
        <w:color w:val="ffffff"/>
        <w:sz w:val="22"/>
      </w:rPr>
      <w:tcPr>
        <w:shd w:val="clear" w:color="f79646" w:fill="f79646" w:themeFill="accent6"/>
      </w:tcPr>
    </w:tblStylePr>
    <w:tblStylePr w:type="firstRow">
      <w:rPr>
        <w:b/>
        <w:color w:val="ffffff"/>
        <w:sz w:val="22"/>
      </w:rPr>
      <w:tcPr>
        <w:shd w:val="clear" w:color="f79646" w:fill="f79646" w:themeFill="accent6"/>
      </w:tcPr>
    </w:tblStylePr>
    <w:tblStylePr w:type="lastCol">
      <w:rPr>
        <w:b/>
        <w:color w:val="ffffff"/>
        <w:sz w:val="22"/>
      </w:rPr>
      <w:tcPr>
        <w:shd w:val="clear" w:color="f79646" w:fill="f79646" w:themeFill="accent6"/>
      </w:tcPr>
    </w:tblStylePr>
    <w:tblStylePr w:type="lastRow">
      <w:rPr>
        <w:b/>
        <w:color w:val="ffffff"/>
        <w:sz w:val="22"/>
      </w:rPr>
      <w:tcPr>
        <w:shd w:val="clear" w:color="f79646" w:fill="f79646" w:themeFill="accent6"/>
        <w:tcBorders>
          <w:top w:val="single" w:color="FFFFFF" w:themeColor="light1" w:sz="4" w:space="0"/>
        </w:tcBorders>
      </w:tcPr>
    </w:tblStylePr>
  </w:style>
  <w:style w:type="table" w:styleId="1235">
    <w:name w:val="Grid Table 6 Colorful"/>
    <w:basedOn w:val="772"/>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color w:val="7f7f7f" w:themeColor="text1" w:themeTint="80" w:themeShade="95"/>
        <w:sz w:val="22"/>
      </w:rPr>
      <w:tcPr>
        <w:shd w:val="clear" w:color="cbcbcb" w:fill="cbcbcb" w:themeFill="text1" w:themeFillTint="34"/>
      </w:tcPr>
    </w:tblStylePr>
    <w:tblStylePr w:type="band1Vert">
      <w:tcPr>
        <w:shd w:val="clear" w:color="cbcbcb" w:fill="cbcbcb" w:themeFill="text1" w:themeFillTint="34"/>
      </w:tcPr>
    </w:tblStylePr>
    <w:tblStylePr w:type="band2Horz">
      <w:rPr>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000000" w:themeColor="text1"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1236" w:customStyle="1">
    <w:name w:val="Grid Table 6 Colorful - Accent 1"/>
    <w:basedOn w:val="772"/>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color w:val="a6bfdd" w:themeColor="accent1" w:themeTint="80" w:themeShade="95"/>
        <w:sz w:val="22"/>
      </w:rPr>
      <w:tcPr>
        <w:shd w:val="clear" w:color="dae5f1" w:fill="dae5f1" w:themeFill="accent1" w:themeFillTint="34"/>
      </w:tcPr>
    </w:tblStylePr>
    <w:tblStylePr w:type="band1Vert">
      <w:tcPr>
        <w:shd w:val="clear" w:color="dae5f1" w:fill="dae5f1" w:themeFill="accent1" w:themeFillTint="34"/>
      </w:tcPr>
    </w:tblStylePr>
    <w:tblStylePr w:type="band2Horz">
      <w:rPr>
        <w:color w:val="a6bfdd" w:themeColor="accent1" w:themeTint="80" w:themeShade="95"/>
        <w:sz w:val="22"/>
      </w:rPr>
    </w:tblStylePr>
    <w:tblStylePr w:type="firstCol">
      <w:rPr>
        <w:b/>
        <w:color w:val="a6bfdd" w:themeColor="accent1" w:themeTint="80" w:themeShade="95"/>
      </w:rPr>
    </w:tblStylePr>
    <w:tblStylePr w:type="firstRow">
      <w:rPr>
        <w:b/>
        <w:color w:val="a6bfdd" w:themeColor="accent1" w:themeTint="80" w:themeShade="95"/>
      </w:rPr>
      <w:tcPr>
        <w:tcBorders>
          <w:bottom w:val="single" w:color="4F81BD" w:themeColor="accent1" w:sz="12" w:space="0"/>
        </w:tcBorders>
      </w:tcPr>
    </w:tblStylePr>
    <w:tblStylePr w:type="lastCol">
      <w:rPr>
        <w:b/>
        <w:color w:val="a6bfdd" w:themeColor="accent1" w:themeTint="80" w:themeShade="95"/>
      </w:rPr>
    </w:tblStylePr>
    <w:tblStylePr w:type="lastRow">
      <w:rPr>
        <w:b/>
        <w:color w:val="a6bfdd" w:themeColor="accent1" w:themeTint="80" w:themeShade="95"/>
      </w:rPr>
    </w:tblStylePr>
  </w:style>
  <w:style w:type="table" w:styleId="1237" w:customStyle="1">
    <w:name w:val="Grid Table 6 Colorful - Accent 2"/>
    <w:basedOn w:val="772"/>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color w:val="d99695" w:themeColor="accent2" w:themeTint="97" w:themeShade="95"/>
        <w:sz w:val="22"/>
      </w:rPr>
      <w:tcPr>
        <w:shd w:val="clear" w:color="f2dcdc" w:fill="f2dcdc" w:themeFill="accent2" w:themeFillTint="32"/>
      </w:tcPr>
    </w:tblStylePr>
    <w:tblStylePr w:type="band1Vert">
      <w:tcPr>
        <w:shd w:val="clear" w:color="f2dcdc" w:fill="f2dcdc" w:themeFill="accent2" w:themeFillTint="32"/>
      </w:tcPr>
    </w:tblStylePr>
    <w:tblStylePr w:type="band2Horz">
      <w:rPr>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C0504D" w:themeColor="accent2" w:sz="12" w:space="0"/>
        </w:tcBorders>
      </w:tcPr>
    </w:tblStylePr>
    <w:tblStylePr w:type="lastCol">
      <w:rPr>
        <w:b/>
        <w:color w:val="d99695" w:themeColor="accent2" w:themeTint="97" w:themeShade="95"/>
      </w:rPr>
    </w:tblStylePr>
    <w:tblStylePr w:type="lastRow">
      <w:rPr>
        <w:b/>
        <w:color w:val="d99695" w:themeColor="accent2" w:themeTint="97" w:themeShade="95"/>
      </w:rPr>
    </w:tblStylePr>
  </w:style>
  <w:style w:type="table" w:styleId="1238" w:customStyle="1">
    <w:name w:val="Grid Table 6 Colorful - Accent 3"/>
    <w:basedOn w:val="772"/>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color w:val="9abb59" w:themeColor="accent3" w:themeTint="FE" w:themeShade="95"/>
        <w:sz w:val="22"/>
      </w:rPr>
      <w:tcPr>
        <w:shd w:val="clear" w:color="eaf1dc" w:fill="eaf1dc" w:themeFill="accent3" w:themeFillTint="34"/>
      </w:tcPr>
    </w:tblStylePr>
    <w:tblStylePr w:type="band1Vert">
      <w:tcPr>
        <w:shd w:val="clear" w:color="eaf1dc" w:fill="eaf1dc" w:themeFill="accent3" w:themeFillTint="34"/>
      </w:tcPr>
    </w:tblStylePr>
    <w:tblStylePr w:type="band2Horz">
      <w:rPr>
        <w:color w:val="9abb59" w:themeColor="accent3" w:themeTint="FE" w:themeShade="95"/>
        <w:sz w:val="22"/>
      </w:rPr>
    </w:tblStylePr>
    <w:tblStylePr w:type="firstCol">
      <w:rPr>
        <w:b/>
        <w:color w:val="9abb59" w:themeColor="accent3" w:themeTint="FE" w:themeShade="95"/>
      </w:rPr>
    </w:tblStylePr>
    <w:tblStylePr w:type="firstRow">
      <w:rPr>
        <w:b/>
        <w:color w:val="9abb59" w:themeColor="accent3" w:themeTint="FE" w:themeShade="95"/>
      </w:rPr>
      <w:tcPr>
        <w:tcBorders>
          <w:bottom w:val="single" w:color="9BBB59" w:themeColor="accent3" w:sz="12" w:space="0"/>
        </w:tcBorders>
      </w:tcPr>
    </w:tblStylePr>
    <w:tblStylePr w:type="lastCol">
      <w:rPr>
        <w:b/>
        <w:color w:val="9abb59" w:themeColor="accent3" w:themeTint="FE" w:themeShade="95"/>
      </w:rPr>
    </w:tblStylePr>
    <w:tblStylePr w:type="lastRow">
      <w:rPr>
        <w:b/>
        <w:color w:val="9abb59" w:themeColor="accent3" w:themeTint="FE" w:themeShade="95"/>
      </w:rPr>
    </w:tblStylePr>
  </w:style>
  <w:style w:type="table" w:styleId="1239" w:customStyle="1">
    <w:name w:val="Grid Table 6 Colorful - Accent 4"/>
    <w:basedOn w:val="772"/>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color w:val="b2a1c6" w:themeColor="accent4" w:themeTint="9A" w:themeShade="95"/>
        <w:sz w:val="22"/>
      </w:rPr>
      <w:tcPr>
        <w:shd w:val="clear" w:color="e5dfec" w:fill="e5dfec" w:themeFill="accent4" w:themeFillTint="34"/>
      </w:tcPr>
    </w:tblStylePr>
    <w:tblStylePr w:type="band1Vert">
      <w:tcPr>
        <w:shd w:val="clear" w:color="e5dfec" w:fill="e5dfec" w:themeFill="accent4" w:themeFillTint="34"/>
      </w:tcPr>
    </w:tblStylePr>
    <w:tblStylePr w:type="band2Horz">
      <w:rPr>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8064A2" w:themeColor="accent4" w:sz="12" w:space="0"/>
        </w:tcBorders>
      </w:tcPr>
    </w:tblStylePr>
    <w:tblStylePr w:type="lastCol">
      <w:rPr>
        <w:b/>
        <w:color w:val="b2a1c6" w:themeColor="accent4" w:themeTint="9A" w:themeShade="95"/>
      </w:rPr>
    </w:tblStylePr>
    <w:tblStylePr w:type="lastRow">
      <w:rPr>
        <w:b/>
        <w:color w:val="b2a1c6" w:themeColor="accent4" w:themeTint="9A" w:themeShade="95"/>
      </w:rPr>
    </w:tblStylePr>
  </w:style>
  <w:style w:type="table" w:styleId="1240" w:customStyle="1">
    <w:name w:val="Grid Table 6 Colorful - Accent 5"/>
    <w:basedOn w:val="772"/>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band1Horz">
      <w:rPr>
        <w:color w:val="266779" w:themeColor="accent5" w:themeShade="95"/>
        <w:sz w:val="22"/>
      </w:rPr>
      <w:tcPr>
        <w:shd w:val="clear" w:color="daeef3" w:fill="daeef3" w:themeFill="accent5" w:themeFillTint="34"/>
      </w:tcPr>
    </w:tblStylePr>
    <w:tblStylePr w:type="band1Vert">
      <w:tcPr>
        <w:shd w:val="clear" w:color="daeef3" w:fill="daeef3" w:themeFill="accent5" w:themeFillTint="34"/>
      </w:tcPr>
    </w:tblStylePr>
    <w:tblStylePr w:type="band2Horz">
      <w:rPr>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4BACC6" w:themeColor="accent5" w:sz="12" w:space="0"/>
        </w:tcBorders>
      </w:tcPr>
    </w:tblStylePr>
    <w:tblStylePr w:type="lastCol">
      <w:rPr>
        <w:b/>
        <w:color w:val="266779" w:themeColor="accent5" w:themeShade="95"/>
      </w:rPr>
    </w:tblStylePr>
    <w:tblStylePr w:type="lastRow">
      <w:rPr>
        <w:b/>
        <w:color w:val="266779" w:themeColor="accent5" w:themeShade="95"/>
      </w:rPr>
    </w:tblStylePr>
  </w:style>
  <w:style w:type="table" w:styleId="1241" w:customStyle="1">
    <w:name w:val="Grid Table 6 Colorful - Accent 6"/>
    <w:basedOn w:val="772"/>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band1Horz">
      <w:rPr>
        <w:color w:val="266779" w:themeColor="accent5" w:themeShade="95"/>
        <w:sz w:val="22"/>
      </w:rPr>
      <w:tcPr>
        <w:shd w:val="clear" w:color="fde9d8" w:fill="fde9d8" w:themeFill="accent6" w:themeFillTint="34"/>
      </w:tcPr>
    </w:tblStylePr>
    <w:tblStylePr w:type="band1Vert">
      <w:tcPr>
        <w:shd w:val="clear" w:color="fde9d8" w:fill="fde9d8" w:themeFill="accent6" w:themeFillTint="34"/>
      </w:tcPr>
    </w:tblStylePr>
    <w:tblStylePr w:type="band2Horz">
      <w:rPr>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F79646" w:themeColor="accent6" w:sz="12" w:space="0"/>
        </w:tcBorders>
      </w:tcPr>
    </w:tblStylePr>
    <w:tblStylePr w:type="lastCol">
      <w:rPr>
        <w:b/>
        <w:color w:val="266779" w:themeColor="accent5" w:themeShade="95"/>
      </w:rPr>
    </w:tblStylePr>
    <w:tblStylePr w:type="lastRow">
      <w:rPr>
        <w:b/>
        <w:color w:val="266779" w:themeColor="accent5" w:themeShade="95"/>
      </w:rPr>
    </w:tblStylePr>
  </w:style>
  <w:style w:type="table" w:styleId="1242">
    <w:name w:val="Grid Table 7 Colorful"/>
    <w:basedOn w:val="772"/>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color w:val="7f7f7f" w:themeColor="text1" w:themeTint="80" w:themeShade="95"/>
        <w:sz w:val="22"/>
      </w:rPr>
      <w:tcPr>
        <w:shd w:val="clear" w:color="f2f2f2" w:fill="f2f2f2" w:themeFill="text1" w:themeFillTint="0D"/>
      </w:tcPr>
    </w:tblStylePr>
    <w:tblStylePr w:type="band1Vert">
      <w:tcPr>
        <w:shd w:val="clear" w:color="f2f2f2" w:fill="f2f2f2" w:themeFill="text1" w:themeFillTint="0D"/>
      </w:tcPr>
    </w:tblStylePr>
    <w:tblStylePr w:type="band2Horz">
      <w:rPr>
        <w:color w:val="7f7f7f" w:themeColor="text1" w:themeTint="80" w:themeShade="95"/>
        <w:sz w:val="22"/>
      </w:rPr>
    </w:tblStylePr>
    <w:tblStylePr w:type="firstCol">
      <w:rPr>
        <w:i/>
        <w:color w:val="7f7f7f" w:themeColor="text1" w:themeTint="80" w:themeShade="95"/>
        <w:sz w:val="22"/>
      </w:rPr>
      <w:pPr>
        <w:jc w:val="right"/>
      </w:pPr>
      <w:tcPr>
        <w:shd w:val="clear" w:color="ffffff" w:fill="auto"/>
        <w:tcBorders>
          <w:top w:val="none" w:color="000000" w:sz="0" w:space="0"/>
          <w:left w:val="none" w:color="000000" w:sz="0" w:space="0"/>
          <w:bottom w:val="none" w:color="000000" w:sz="0" w:space="0"/>
          <w:right w:val="single" w:color="000000" w:themeColor="text1" w:sz="4" w:space="0"/>
        </w:tcBorders>
      </w:tcPr>
    </w:tblStylePr>
    <w:tblStylePr w:type="firstRow">
      <w:rPr>
        <w:b/>
        <w:color w:val="7f7f7f" w:themeColor="text1" w:themeTint="80" w:themeShade="95"/>
        <w:sz w:val="22"/>
      </w:rPr>
      <w:tcPr>
        <w:shd w:val="clear" w:color="ffffff" w:fill="ffffff" w:themeFill="light1"/>
        <w:tcBorders>
          <w:top w:val="none" w:color="000000" w:sz="0" w:space="0"/>
          <w:left w:val="none" w:color="000000" w:sz="0" w:space="0"/>
          <w:bottom w:val="single" w:color="000000" w:themeColor="text1" w:sz="4" w:space="0"/>
          <w:right w:val="none" w:color="000000" w:sz="0" w:space="0"/>
        </w:tcBorders>
      </w:tcPr>
    </w:tblStylePr>
    <w:tblStylePr w:type="lastCol">
      <w:rPr>
        <w:i/>
        <w:color w:val="7f7f7f" w:themeColor="text1" w:themeTint="80" w:themeShade="95"/>
        <w:sz w:val="22"/>
      </w:rPr>
      <w:tcPr>
        <w:shd w:val="clear" w:color="ffffff" w:fill="auto"/>
        <w:tcBorders>
          <w:top w:val="none" w:color="000000" w:sz="0" w:space="0"/>
          <w:left w:val="single" w:color="000000" w:themeColor="text1" w:sz="4" w:space="0"/>
          <w:bottom w:val="none" w:color="000000" w:sz="0" w:space="0"/>
          <w:right w:val="none" w:color="000000" w:sz="0" w:space="0"/>
        </w:tcBorders>
      </w:tcPr>
    </w:tblStylePr>
    <w:tblStylePr w:type="lastRow">
      <w:rPr>
        <w:b/>
        <w:color w:val="7f7f7f" w:themeColor="text1" w:themeTint="80" w:themeShade="95"/>
        <w:sz w:val="22"/>
      </w:rPr>
      <w:tcPr>
        <w:shd w:val="clear" w:color="ffffff" w:fill="ffffff" w:themeFill="light1"/>
        <w:tcBorders>
          <w:top w:val="single" w:color="000000" w:themeColor="text1" w:sz="4" w:space="0"/>
          <w:left w:val="none" w:color="000000" w:sz="0" w:space="0"/>
          <w:bottom w:val="none" w:color="000000" w:sz="0" w:space="0"/>
          <w:right w:val="none" w:color="000000" w:sz="0" w:space="0"/>
        </w:tcBorders>
      </w:tcPr>
    </w:tblStylePr>
  </w:style>
  <w:style w:type="table" w:styleId="1243" w:customStyle="1">
    <w:name w:val="Grid Table 7 Colorful - Accent 1"/>
    <w:basedOn w:val="772"/>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color w:val="a6bfdd" w:themeColor="accent1" w:themeTint="80" w:themeShade="95"/>
        <w:sz w:val="22"/>
      </w:rPr>
      <w:tcPr>
        <w:shd w:val="clear" w:color="dae5f1" w:fill="dae5f1" w:themeFill="accent1" w:themeFillTint="34"/>
      </w:tcPr>
    </w:tblStylePr>
    <w:tblStylePr w:type="band1Vert">
      <w:tcPr>
        <w:shd w:val="clear" w:color="dae5f1" w:fill="dae5f1" w:themeFill="accent1" w:themeFillTint="34"/>
      </w:tcPr>
    </w:tblStylePr>
    <w:tblStylePr w:type="band2Horz">
      <w:rPr>
        <w:color w:val="a6bfdd" w:themeColor="accent1" w:themeTint="80" w:themeShade="95"/>
        <w:sz w:val="22"/>
      </w:rPr>
    </w:tblStylePr>
    <w:tblStylePr w:type="firstCol">
      <w:rPr>
        <w:i/>
        <w:color w:val="a6bfdd" w:themeColor="accent1" w:themeTint="80" w:themeShade="95"/>
        <w:sz w:val="22"/>
      </w:rPr>
      <w:pPr>
        <w:jc w:val="right"/>
      </w:pPr>
      <w:tcPr>
        <w:shd w:val="clear" w:color="ffffff" w:fill="auto"/>
        <w:tcBorders>
          <w:top w:val="none" w:color="000000" w:sz="0" w:space="0"/>
          <w:left w:val="none" w:color="000000" w:sz="0" w:space="0"/>
          <w:bottom w:val="none" w:color="000000" w:sz="0" w:space="0"/>
          <w:right w:val="single" w:color="4F81BD" w:themeColor="accent1" w:sz="4" w:space="0"/>
        </w:tcBorders>
      </w:tcPr>
    </w:tblStylePr>
    <w:tblStylePr w:type="firstRow">
      <w:rPr>
        <w:b/>
        <w:color w:val="a6bfdd" w:themeColor="accent1" w:themeTint="80" w:themeShade="95"/>
        <w:sz w:val="22"/>
      </w:rPr>
      <w:tcPr>
        <w:shd w:val="clear" w:color="ffffff" w:fill="ffffff" w:themeFill="light1"/>
        <w:tcBorders>
          <w:top w:val="none" w:color="000000" w:sz="0" w:space="0"/>
          <w:left w:val="none" w:color="000000" w:sz="0" w:space="0"/>
          <w:bottom w:val="single" w:color="4F81BD" w:themeColor="accent1" w:sz="4" w:space="0"/>
          <w:right w:val="none" w:color="000000" w:sz="0" w:space="0"/>
        </w:tcBorders>
      </w:tcPr>
    </w:tblStylePr>
    <w:tblStylePr w:type="lastCol">
      <w:rPr>
        <w:i/>
        <w:color w:val="a6bfdd" w:themeColor="accent1" w:themeTint="80" w:themeShade="95"/>
        <w:sz w:val="22"/>
      </w:rPr>
      <w:tcPr>
        <w:shd w:val="clear" w:color="ffffff" w:fill="auto"/>
        <w:tcBorders>
          <w:top w:val="none" w:color="000000" w:sz="0" w:space="0"/>
          <w:left w:val="single" w:color="4F81BD" w:themeColor="accent1" w:sz="4" w:space="0"/>
          <w:bottom w:val="none" w:color="000000" w:sz="0" w:space="0"/>
          <w:right w:val="none" w:color="000000" w:sz="0" w:space="0"/>
        </w:tcBorders>
      </w:tcPr>
    </w:tblStylePr>
    <w:tblStylePr w:type="lastRow">
      <w:rPr>
        <w:b/>
        <w:color w:val="a6bfdd" w:themeColor="accent1" w:themeTint="80" w:themeShade="95"/>
        <w:sz w:val="22"/>
      </w:rPr>
      <w:tcPr>
        <w:shd w:val="clear" w:color="ffffff" w:fill="ffffff" w:themeFill="light1"/>
        <w:tcBorders>
          <w:top w:val="single" w:color="4F81BD" w:themeColor="accent1" w:sz="4" w:space="0"/>
          <w:left w:val="none" w:color="000000" w:sz="0" w:space="0"/>
          <w:bottom w:val="none" w:color="000000" w:sz="0" w:space="0"/>
          <w:right w:val="none" w:color="000000" w:sz="0" w:space="0"/>
        </w:tcBorders>
      </w:tcPr>
    </w:tblStylePr>
  </w:style>
  <w:style w:type="table" w:styleId="1244" w:customStyle="1">
    <w:name w:val="Grid Table 7 Colorful - Accent 2"/>
    <w:basedOn w:val="772"/>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color w:val="d99695" w:themeColor="accent2" w:themeTint="97" w:themeShade="95"/>
        <w:sz w:val="22"/>
      </w:rPr>
      <w:tcPr>
        <w:shd w:val="clear" w:color="f2dcdc" w:fill="f2dcdc" w:themeFill="accent2" w:themeFillTint="32"/>
      </w:tcPr>
    </w:tblStylePr>
    <w:tblStylePr w:type="band1Vert">
      <w:tcPr>
        <w:shd w:val="clear" w:color="f2dcdc" w:fill="f2dcdc" w:themeFill="accent2" w:themeFillTint="32"/>
      </w:tcPr>
    </w:tblStylePr>
    <w:tblStylePr w:type="band2Horz">
      <w:rPr>
        <w:color w:val="d99695" w:themeColor="accent2" w:themeTint="97" w:themeShade="95"/>
        <w:sz w:val="22"/>
      </w:rPr>
    </w:tblStylePr>
    <w:tblStylePr w:type="firstCol">
      <w:rPr>
        <w:i/>
        <w:color w:val="d99695" w:themeColor="accent2" w:themeTint="97" w:themeShade="95"/>
        <w:sz w:val="22"/>
      </w:rPr>
      <w:pPr>
        <w:jc w:val="right"/>
      </w:pPr>
      <w:tcPr>
        <w:shd w:val="clear" w:color="ffffff" w:fill="auto"/>
        <w:tcBorders>
          <w:top w:val="none" w:color="000000" w:sz="0" w:space="0"/>
          <w:left w:val="none" w:color="000000" w:sz="0" w:space="0"/>
          <w:bottom w:val="none" w:color="000000" w:sz="0" w:space="0"/>
          <w:right w:val="single" w:color="C0504D" w:themeColor="accent2" w:sz="4" w:space="0"/>
        </w:tcBorders>
      </w:tcPr>
    </w:tblStylePr>
    <w:tblStylePr w:type="firstRow">
      <w:rPr>
        <w:b/>
        <w:color w:val="d99695" w:themeColor="accent2" w:themeTint="97" w:themeShade="95"/>
        <w:sz w:val="22"/>
      </w:rPr>
      <w:tcPr>
        <w:shd w:val="clear" w:color="ffffff" w:fill="ffffff" w:themeFill="light1"/>
        <w:tcBorders>
          <w:top w:val="none" w:color="000000" w:sz="0" w:space="0"/>
          <w:left w:val="none" w:color="000000" w:sz="0" w:space="0"/>
          <w:bottom w:val="single" w:color="C0504D" w:themeColor="accent2" w:sz="4" w:space="0"/>
          <w:right w:val="none" w:color="000000" w:sz="0" w:space="0"/>
        </w:tcBorders>
      </w:tcPr>
    </w:tblStylePr>
    <w:tblStylePr w:type="lastCol">
      <w:rPr>
        <w:i/>
        <w:color w:val="d99695" w:themeColor="accent2" w:themeTint="97" w:themeShade="95"/>
        <w:sz w:val="22"/>
      </w:rPr>
      <w:tcPr>
        <w:shd w:val="clear" w:color="ffffff" w:fill="auto"/>
        <w:tcBorders>
          <w:top w:val="none" w:color="000000" w:sz="0" w:space="0"/>
          <w:left w:val="single" w:color="C0504D" w:themeColor="accent2" w:sz="4" w:space="0"/>
          <w:bottom w:val="none" w:color="000000" w:sz="0" w:space="0"/>
          <w:right w:val="none" w:color="000000" w:sz="0" w:space="0"/>
        </w:tcBorders>
      </w:tcPr>
    </w:tblStylePr>
    <w:tblStylePr w:type="lastRow">
      <w:rPr>
        <w:b/>
        <w:color w:val="d99695" w:themeColor="accent2" w:themeTint="97" w:themeShade="95"/>
        <w:sz w:val="22"/>
      </w:rPr>
      <w:tcPr>
        <w:shd w:val="clear" w:color="ffffff" w:fill="ffffff" w:themeFill="light1"/>
        <w:tcBorders>
          <w:top w:val="single" w:color="C0504D" w:themeColor="accent2" w:sz="4" w:space="0"/>
          <w:left w:val="none" w:color="000000" w:sz="0" w:space="0"/>
          <w:bottom w:val="none" w:color="000000" w:sz="0" w:space="0"/>
          <w:right w:val="none" w:color="000000" w:sz="0" w:space="0"/>
        </w:tcBorders>
      </w:tcPr>
    </w:tblStylePr>
  </w:style>
  <w:style w:type="table" w:styleId="1245" w:customStyle="1">
    <w:name w:val="Grid Table 7 Colorful - Accent 3"/>
    <w:basedOn w:val="772"/>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color w:val="9abb59" w:themeColor="accent3" w:themeTint="FE" w:themeShade="95"/>
        <w:sz w:val="22"/>
      </w:rPr>
      <w:tcPr>
        <w:shd w:val="clear" w:color="eaf1dc" w:fill="eaf1dc" w:themeFill="accent3" w:themeFillTint="34"/>
      </w:tcPr>
    </w:tblStylePr>
    <w:tblStylePr w:type="band1Vert">
      <w:tcPr>
        <w:shd w:val="clear" w:color="eaf1dc" w:fill="eaf1dc" w:themeFill="accent3" w:themeFillTint="34"/>
      </w:tcPr>
    </w:tblStylePr>
    <w:tblStylePr w:type="band2Horz">
      <w:rPr>
        <w:color w:val="9abb59" w:themeColor="accent3" w:themeTint="FE" w:themeShade="95"/>
        <w:sz w:val="22"/>
      </w:rPr>
    </w:tblStylePr>
    <w:tblStylePr w:type="firstCol">
      <w:rPr>
        <w:i/>
        <w:color w:val="9abb59" w:themeColor="accent3" w:themeTint="FE" w:themeShade="95"/>
        <w:sz w:val="22"/>
      </w:rPr>
      <w:pPr>
        <w:jc w:val="right"/>
      </w:pPr>
      <w:tcPr>
        <w:shd w:val="clear" w:color="ffffff" w:fill="auto"/>
        <w:tcBorders>
          <w:top w:val="none" w:color="000000" w:sz="0" w:space="0"/>
          <w:left w:val="none" w:color="000000" w:sz="0" w:space="0"/>
          <w:bottom w:val="none" w:color="000000" w:sz="0" w:space="0"/>
          <w:right w:val="single" w:color="9BBB59" w:themeColor="accent3" w:sz="4" w:space="0"/>
        </w:tcBorders>
      </w:tcPr>
    </w:tblStylePr>
    <w:tblStylePr w:type="firstRow">
      <w:rPr>
        <w:b/>
        <w:color w:val="9abb59" w:themeColor="accent3" w:themeTint="FE" w:themeShade="95"/>
        <w:sz w:val="22"/>
      </w:rPr>
      <w:tcPr>
        <w:shd w:val="clear" w:color="ffffff" w:fill="ffffff" w:themeFill="light1"/>
        <w:tcBorders>
          <w:top w:val="none" w:color="000000" w:sz="0" w:space="0"/>
          <w:left w:val="none" w:color="000000" w:sz="0" w:space="0"/>
          <w:bottom w:val="single" w:color="9BBB59" w:themeColor="accent3" w:sz="4" w:space="0"/>
          <w:right w:val="none" w:color="000000" w:sz="0" w:space="0"/>
        </w:tcBorders>
      </w:tcPr>
    </w:tblStylePr>
    <w:tblStylePr w:type="lastCol">
      <w:rPr>
        <w:i/>
        <w:color w:val="9abb59" w:themeColor="accent3" w:themeTint="FE" w:themeShade="95"/>
        <w:sz w:val="22"/>
      </w:rPr>
      <w:tcPr>
        <w:shd w:val="clear" w:color="ffffff" w:fill="auto"/>
        <w:tcBorders>
          <w:top w:val="none" w:color="000000" w:sz="0" w:space="0"/>
          <w:left w:val="single" w:color="9BBB59" w:themeColor="accent3" w:sz="4" w:space="0"/>
          <w:bottom w:val="none" w:color="000000" w:sz="0" w:space="0"/>
          <w:right w:val="none" w:color="000000" w:sz="0" w:space="0"/>
        </w:tcBorders>
      </w:tcPr>
    </w:tblStylePr>
    <w:tblStylePr w:type="lastRow">
      <w:rPr>
        <w:b/>
        <w:color w:val="9abb59" w:themeColor="accent3" w:themeTint="FE" w:themeShade="95"/>
        <w:sz w:val="22"/>
      </w:rPr>
      <w:tcPr>
        <w:shd w:val="clear" w:color="ffffff" w:fill="ffffff" w:themeFill="light1"/>
        <w:tcBorders>
          <w:top w:val="single" w:color="9BBB59" w:themeColor="accent3" w:sz="4" w:space="0"/>
          <w:left w:val="none" w:color="000000" w:sz="0" w:space="0"/>
          <w:bottom w:val="none" w:color="000000" w:sz="0" w:space="0"/>
          <w:right w:val="none" w:color="000000" w:sz="0" w:space="0"/>
        </w:tcBorders>
      </w:tcPr>
    </w:tblStylePr>
  </w:style>
  <w:style w:type="table" w:styleId="1246" w:customStyle="1">
    <w:name w:val="Grid Table 7 Colorful - Accent 4"/>
    <w:basedOn w:val="772"/>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color w:val="b2a1c6" w:themeColor="accent4" w:themeTint="9A" w:themeShade="95"/>
        <w:sz w:val="22"/>
      </w:rPr>
      <w:tcPr>
        <w:shd w:val="clear" w:color="e5dfec" w:fill="e5dfec" w:themeFill="accent4" w:themeFillTint="34"/>
      </w:tcPr>
    </w:tblStylePr>
    <w:tblStylePr w:type="band1Vert">
      <w:tcPr>
        <w:shd w:val="clear" w:color="e5dfec" w:fill="e5dfec" w:themeFill="accent4" w:themeFillTint="34"/>
      </w:tcPr>
    </w:tblStylePr>
    <w:tblStylePr w:type="band2Horz">
      <w:rPr>
        <w:color w:val="b2a1c6" w:themeColor="accent4" w:themeTint="9A" w:themeShade="95"/>
        <w:sz w:val="22"/>
      </w:rPr>
    </w:tblStylePr>
    <w:tblStylePr w:type="firstCol">
      <w:rPr>
        <w:i/>
        <w:color w:val="b2a1c6" w:themeColor="accent4" w:themeTint="9A" w:themeShade="95"/>
        <w:sz w:val="22"/>
      </w:rPr>
      <w:pPr>
        <w:jc w:val="right"/>
      </w:pPr>
      <w:tcPr>
        <w:shd w:val="clear" w:color="ffffff" w:fill="auto"/>
        <w:tcBorders>
          <w:top w:val="none" w:color="000000" w:sz="0" w:space="0"/>
          <w:left w:val="none" w:color="000000" w:sz="0" w:space="0"/>
          <w:bottom w:val="none" w:color="000000" w:sz="0" w:space="0"/>
          <w:right w:val="single" w:color="8064A2" w:themeColor="accent4" w:sz="4" w:space="0"/>
        </w:tcBorders>
      </w:tcPr>
    </w:tblStylePr>
    <w:tblStylePr w:type="firstRow">
      <w:rPr>
        <w:b/>
        <w:color w:val="b2a1c6" w:themeColor="accent4" w:themeTint="9A" w:themeShade="95"/>
        <w:sz w:val="22"/>
      </w:rPr>
      <w:tcPr>
        <w:shd w:val="clear" w:color="ffffff" w:fill="ffffff" w:themeFill="light1"/>
        <w:tcBorders>
          <w:top w:val="none" w:color="000000" w:sz="0" w:space="0"/>
          <w:left w:val="none" w:color="000000" w:sz="0" w:space="0"/>
          <w:bottom w:val="single" w:color="8064A2" w:themeColor="accent4" w:sz="4" w:space="0"/>
          <w:right w:val="none" w:color="000000" w:sz="0" w:space="0"/>
        </w:tcBorders>
      </w:tcPr>
    </w:tblStylePr>
    <w:tblStylePr w:type="lastCol">
      <w:rPr>
        <w:i/>
        <w:color w:val="b2a1c6" w:themeColor="accent4" w:themeTint="9A" w:themeShade="95"/>
        <w:sz w:val="22"/>
      </w:rPr>
      <w:tcPr>
        <w:shd w:val="clear" w:color="ffffff" w:fill="auto"/>
        <w:tcBorders>
          <w:top w:val="none" w:color="000000" w:sz="0" w:space="0"/>
          <w:left w:val="single" w:color="8064A2" w:themeColor="accent4" w:sz="4" w:space="0"/>
          <w:bottom w:val="none" w:color="000000" w:sz="0" w:space="0"/>
          <w:right w:val="none" w:color="000000" w:sz="0" w:space="0"/>
        </w:tcBorders>
      </w:tcPr>
    </w:tblStylePr>
    <w:tblStylePr w:type="lastRow">
      <w:rPr>
        <w:b/>
        <w:color w:val="b2a1c6" w:themeColor="accent4" w:themeTint="9A" w:themeShade="95"/>
        <w:sz w:val="22"/>
      </w:rPr>
      <w:tcPr>
        <w:shd w:val="clear" w:color="ffffff" w:fill="ffffff" w:themeFill="light1"/>
        <w:tcBorders>
          <w:top w:val="single" w:color="8064A2" w:themeColor="accent4" w:sz="4" w:space="0"/>
          <w:left w:val="none" w:color="000000" w:sz="0" w:space="0"/>
          <w:bottom w:val="none" w:color="000000" w:sz="0" w:space="0"/>
          <w:right w:val="none" w:color="000000" w:sz="0" w:space="0"/>
        </w:tcBorders>
      </w:tcPr>
    </w:tblStylePr>
  </w:style>
  <w:style w:type="table" w:styleId="1247" w:customStyle="1">
    <w:name w:val="Grid Table 7 Colorful - Accent 5"/>
    <w:basedOn w:val="772"/>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color w:val="266779" w:themeColor="accent5" w:themeShade="95"/>
        <w:sz w:val="22"/>
      </w:rPr>
      <w:tcPr>
        <w:shd w:val="clear" w:color="daeef3" w:fill="daeef3" w:themeFill="accent5" w:themeFillTint="34"/>
      </w:tcPr>
    </w:tblStylePr>
    <w:tblStylePr w:type="band1Vert">
      <w:tcPr>
        <w:shd w:val="clear" w:color="daeef3" w:fill="daeef3" w:themeFill="accent5" w:themeFillTint="34"/>
      </w:tcPr>
    </w:tblStylePr>
    <w:tblStylePr w:type="band2Horz">
      <w:rPr>
        <w:color w:val="266779" w:themeColor="accent5" w:themeShade="95"/>
        <w:sz w:val="22"/>
      </w:rPr>
    </w:tblStylePr>
    <w:tblStylePr w:type="firstCol">
      <w:rPr>
        <w:i/>
        <w:color w:val="266779" w:themeColor="accent5" w:themeShade="95"/>
        <w:sz w:val="22"/>
      </w:rPr>
      <w:pPr>
        <w:jc w:val="right"/>
      </w:pPr>
      <w:tcPr>
        <w:shd w:val="clear" w:color="ffffff" w:fill="auto"/>
        <w:tcBorders>
          <w:top w:val="none" w:color="000000" w:sz="0" w:space="0"/>
          <w:left w:val="none" w:color="000000" w:sz="0" w:space="0"/>
          <w:bottom w:val="none" w:color="000000" w:sz="0" w:space="0"/>
          <w:right w:val="single" w:color="4BACC6" w:themeColor="accent5" w:sz="4" w:space="0"/>
        </w:tcBorders>
      </w:tcPr>
    </w:tblStylePr>
    <w:tblStylePr w:type="firstRow">
      <w:rPr>
        <w:b/>
        <w:color w:val="266779" w:themeColor="accent5" w:themeShade="95"/>
        <w:sz w:val="22"/>
      </w:rPr>
      <w:tcPr>
        <w:shd w:val="clear" w:color="ffffff" w:fill="ffffff" w:themeFill="light1"/>
        <w:tcBorders>
          <w:top w:val="none" w:color="000000" w:sz="0" w:space="0"/>
          <w:left w:val="none" w:color="000000" w:sz="0" w:space="0"/>
          <w:bottom w:val="single" w:color="4BACC6" w:themeColor="accent5" w:sz="4" w:space="0"/>
          <w:right w:val="none" w:color="000000" w:sz="0" w:space="0"/>
        </w:tcBorders>
      </w:tcPr>
    </w:tblStylePr>
    <w:tblStylePr w:type="lastCol">
      <w:rPr>
        <w:i/>
        <w:color w:val="266779" w:themeColor="accent5" w:themeShade="95"/>
        <w:sz w:val="22"/>
      </w:rPr>
      <w:tcPr>
        <w:shd w:val="clear" w:color="ffffff" w:fill="auto"/>
        <w:tcBorders>
          <w:top w:val="none" w:color="000000" w:sz="0" w:space="0"/>
          <w:left w:val="single" w:color="4BACC6" w:themeColor="accent5" w:sz="4" w:space="0"/>
          <w:bottom w:val="none" w:color="000000" w:sz="0" w:space="0"/>
          <w:right w:val="none" w:color="000000" w:sz="0" w:space="0"/>
        </w:tcBorders>
      </w:tcPr>
    </w:tblStylePr>
    <w:tblStylePr w:type="lastRow">
      <w:rPr>
        <w:b/>
        <w:color w:val="266779" w:themeColor="accent5" w:themeShade="95"/>
        <w:sz w:val="22"/>
      </w:rPr>
      <w:tcPr>
        <w:shd w:val="clear" w:color="ffffff" w:fill="ffffff" w:themeFill="light1"/>
        <w:tcBorders>
          <w:top w:val="single" w:color="4BACC6" w:themeColor="accent5" w:sz="4" w:space="0"/>
          <w:left w:val="none" w:color="000000" w:sz="0" w:space="0"/>
          <w:bottom w:val="none" w:color="000000" w:sz="0" w:space="0"/>
          <w:right w:val="none" w:color="000000" w:sz="0" w:space="0"/>
        </w:tcBorders>
      </w:tcPr>
    </w:tblStylePr>
  </w:style>
  <w:style w:type="table" w:styleId="1248" w:customStyle="1">
    <w:name w:val="Grid Table 7 Colorful - Accent 6"/>
    <w:basedOn w:val="772"/>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color w:val="b15407" w:themeColor="accent6" w:themeShade="95"/>
        <w:sz w:val="22"/>
      </w:rPr>
      <w:tcPr>
        <w:shd w:val="clear" w:color="fde9d8" w:fill="fde9d8" w:themeFill="accent6" w:themeFillTint="34"/>
      </w:tcPr>
    </w:tblStylePr>
    <w:tblStylePr w:type="band1Vert">
      <w:tcPr>
        <w:shd w:val="clear" w:color="fde9d8" w:fill="fde9d8" w:themeFill="accent6" w:themeFillTint="34"/>
      </w:tcPr>
    </w:tblStylePr>
    <w:tblStylePr w:type="band2Horz">
      <w:rPr>
        <w:color w:val="b15407" w:themeColor="accent6" w:themeShade="95"/>
        <w:sz w:val="22"/>
      </w:rPr>
    </w:tblStylePr>
    <w:tblStylePr w:type="firstCol">
      <w:rPr>
        <w:i/>
        <w:color w:val="b15407" w:themeColor="accent6" w:themeShade="95"/>
        <w:sz w:val="22"/>
      </w:rPr>
      <w:pPr>
        <w:jc w:val="right"/>
      </w:pPr>
      <w:tcPr>
        <w:shd w:val="clear" w:color="ffffff" w:fill="auto"/>
        <w:tcBorders>
          <w:top w:val="none" w:color="000000" w:sz="0" w:space="0"/>
          <w:left w:val="none" w:color="000000" w:sz="0" w:space="0"/>
          <w:bottom w:val="none" w:color="000000" w:sz="0" w:space="0"/>
          <w:right w:val="single" w:color="F79646" w:themeColor="accent6" w:sz="4" w:space="0"/>
        </w:tcBorders>
      </w:tcPr>
    </w:tblStylePr>
    <w:tblStylePr w:type="firstRow">
      <w:rPr>
        <w:b/>
        <w:color w:val="b15407" w:themeColor="accent6" w:themeShade="95"/>
        <w:sz w:val="22"/>
      </w:rPr>
      <w:tcPr>
        <w:shd w:val="clear" w:color="ffffff" w:fill="ffffff" w:themeFill="light1"/>
        <w:tcBorders>
          <w:top w:val="none" w:color="000000" w:sz="0" w:space="0"/>
          <w:left w:val="none" w:color="000000" w:sz="0" w:space="0"/>
          <w:bottom w:val="single" w:color="F79646" w:themeColor="accent6" w:sz="4" w:space="0"/>
          <w:right w:val="none" w:color="000000" w:sz="0" w:space="0"/>
        </w:tcBorders>
      </w:tcPr>
    </w:tblStylePr>
    <w:tblStylePr w:type="lastCol">
      <w:rPr>
        <w:i/>
        <w:color w:val="b15407" w:themeColor="accent6" w:themeShade="95"/>
        <w:sz w:val="22"/>
      </w:rPr>
      <w:tcPr>
        <w:shd w:val="clear" w:color="ffffff" w:fill="auto"/>
        <w:tcBorders>
          <w:top w:val="none" w:color="000000" w:sz="0" w:space="0"/>
          <w:left w:val="single" w:color="F79646" w:themeColor="accent6" w:sz="4" w:space="0"/>
          <w:bottom w:val="none" w:color="000000" w:sz="0" w:space="0"/>
          <w:right w:val="none" w:color="000000" w:sz="0" w:space="0"/>
        </w:tcBorders>
      </w:tcPr>
    </w:tblStylePr>
    <w:tblStylePr w:type="lastRow">
      <w:rPr>
        <w:b/>
        <w:color w:val="b15407" w:themeColor="accent6" w:themeShade="95"/>
        <w:sz w:val="22"/>
      </w:rPr>
      <w:tcPr>
        <w:shd w:val="clear" w:color="ffffff" w:fill="ffffff" w:themeFill="light1"/>
        <w:tcBorders>
          <w:top w:val="single" w:color="F79646" w:themeColor="accent6" w:sz="4" w:space="0"/>
          <w:left w:val="none" w:color="000000" w:sz="0" w:space="0"/>
          <w:bottom w:val="none" w:color="000000" w:sz="0" w:space="0"/>
          <w:right w:val="none" w:color="000000" w:sz="0" w:space="0"/>
        </w:tcBorders>
      </w:tcPr>
    </w:tblStylePr>
  </w:style>
  <w:style w:type="table" w:styleId="1249">
    <w:name w:val="List Table 1 Light"/>
    <w:basedOn w:val="772"/>
    <w:uiPriority w:val="99"/>
    <w:tblPr>
      <w:tblStyleRowBandSize w:val="1"/>
      <w:tblStyleColBandSize w:val="1"/>
    </w:tblPr>
    <w:tblStylePr w:type="band1Horz">
      <w:tcPr>
        <w:shd w:val="clear" w:color="bfbfbf" w:fill="bfbfbf" w:themeFill="text1" w:themeFillTint="40"/>
      </w:tcPr>
    </w:tblStylePr>
    <w:tblStylePr w:type="band1Vert">
      <w:tcPr>
        <w:shd w:val="clear" w:color="bfbfbf"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250" w:customStyle="1">
    <w:name w:val="List Table 1 Light - Accent 1"/>
    <w:basedOn w:val="772"/>
    <w:uiPriority w:val="99"/>
    <w:tblPr>
      <w:tblStyleRowBandSize w:val="1"/>
      <w:tblStyleColBandSize w:val="1"/>
    </w:tblPr>
    <w:tblStylePr w:type="band1Horz">
      <w:tcPr>
        <w:shd w:val="clear" w:color="d2dfee" w:fill="d2dfee" w:themeFill="accent1" w:themeFillTint="40"/>
      </w:tcPr>
    </w:tblStylePr>
    <w:tblStylePr w:type="band1Vert">
      <w:tcPr>
        <w:shd w:val="clear" w:color="d2dfee" w:fill="d2df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StylePr>
    <w:tblStylePr w:type="lastRow">
      <w:rPr>
        <w:b/>
        <w:color w:val="404040"/>
      </w:rPr>
      <w:tcPr>
        <w:tcBorders>
          <w:top w:val="single" w:color="4F81BD" w:themeColor="accent1" w:sz="4" w:space="0"/>
          <w:left w:val="none" w:color="000000" w:sz="4" w:space="0"/>
          <w:bottom w:val="none" w:color="000000" w:sz="4" w:space="0"/>
          <w:right w:val="none" w:color="000000" w:sz="4" w:space="0"/>
        </w:tcBorders>
      </w:tcPr>
    </w:tblStylePr>
  </w:style>
  <w:style w:type="table" w:styleId="1251" w:customStyle="1">
    <w:name w:val="List Table 1 Light - Accent 2"/>
    <w:basedOn w:val="772"/>
    <w:uiPriority w:val="99"/>
    <w:tblPr>
      <w:tblStyleRowBandSize w:val="1"/>
      <w:tblStyleColBandSize w:val="1"/>
    </w:tblPr>
    <w:tblStylePr w:type="band1Horz">
      <w:tcPr>
        <w:shd w:val="clear" w:color="efd2d2" w:fill="efd2d2" w:themeFill="accent2" w:themeFillTint="40"/>
      </w:tcPr>
    </w:tblStylePr>
    <w:tblStylePr w:type="band1Vert">
      <w:tcPr>
        <w:shd w:val="clear" w:color="efd2d2" w:fill="efd2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StylePr>
    <w:tblStylePr w:type="lastRow">
      <w:rPr>
        <w:b/>
        <w:color w:val="404040"/>
      </w:rPr>
      <w:tcPr>
        <w:tcBorders>
          <w:top w:val="single" w:color="C0504D" w:themeColor="accent2" w:sz="4" w:space="0"/>
          <w:left w:val="none" w:color="000000" w:sz="4" w:space="0"/>
          <w:bottom w:val="none" w:color="000000" w:sz="4" w:space="0"/>
          <w:right w:val="none" w:color="000000" w:sz="4" w:space="0"/>
        </w:tcBorders>
      </w:tcPr>
    </w:tblStylePr>
  </w:style>
  <w:style w:type="table" w:styleId="1252" w:customStyle="1">
    <w:name w:val="List Table 1 Light - Accent 3"/>
    <w:basedOn w:val="772"/>
    <w:uiPriority w:val="99"/>
    <w:tblPr>
      <w:tblStyleRowBandSize w:val="1"/>
      <w:tblStyleColBandSize w:val="1"/>
    </w:tblPr>
    <w:tblStylePr w:type="band1Horz">
      <w:tcPr>
        <w:shd w:val="clear" w:color="e5eed5" w:fill="e5eed5" w:themeFill="accent3" w:themeFillTint="40"/>
      </w:tcPr>
    </w:tblStylePr>
    <w:tblStylePr w:type="band1Vert">
      <w:tcPr>
        <w:shd w:val="clear" w:color="e5eed5" w:fill="e5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StylePr>
    <w:tblStylePr w:type="lastRow">
      <w:rPr>
        <w:b/>
        <w:color w:val="404040"/>
      </w:rPr>
      <w:tcPr>
        <w:tcBorders>
          <w:top w:val="single" w:color="9BBB59" w:themeColor="accent3" w:sz="4" w:space="0"/>
          <w:left w:val="none" w:color="000000" w:sz="4" w:space="0"/>
          <w:bottom w:val="none" w:color="000000" w:sz="4" w:space="0"/>
          <w:right w:val="none" w:color="000000" w:sz="4" w:space="0"/>
        </w:tcBorders>
      </w:tcPr>
    </w:tblStylePr>
  </w:style>
  <w:style w:type="table" w:styleId="1253" w:customStyle="1">
    <w:name w:val="List Table 1 Light - Accent 4"/>
    <w:basedOn w:val="772"/>
    <w:uiPriority w:val="99"/>
    <w:tblPr>
      <w:tblStyleRowBandSize w:val="1"/>
      <w:tblStyleColBandSize w:val="1"/>
    </w:tblPr>
    <w:tblStylePr w:type="band1Horz">
      <w:tcPr>
        <w:shd w:val="clear" w:color="dfd8e7" w:fill="dfd8e7" w:themeFill="accent4" w:themeFillTint="40"/>
      </w:tcPr>
    </w:tblStylePr>
    <w:tblStylePr w:type="band1Vert">
      <w:tcPr>
        <w:shd w:val="clear" w:color="dfd8e7"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StylePr>
    <w:tblStylePr w:type="lastRow">
      <w:rPr>
        <w:b/>
        <w:color w:val="404040"/>
      </w:rPr>
      <w:tcPr>
        <w:tcBorders>
          <w:top w:val="single" w:color="8064A2" w:themeColor="accent4" w:sz="4" w:space="0"/>
          <w:left w:val="none" w:color="000000" w:sz="4" w:space="0"/>
          <w:bottom w:val="none" w:color="000000" w:sz="4" w:space="0"/>
          <w:right w:val="none" w:color="000000" w:sz="4" w:space="0"/>
        </w:tcBorders>
      </w:tcPr>
    </w:tblStylePr>
  </w:style>
  <w:style w:type="table" w:styleId="1254" w:customStyle="1">
    <w:name w:val="List Table 1 Light - Accent 5"/>
    <w:basedOn w:val="772"/>
    <w:uiPriority w:val="99"/>
    <w:tblPr>
      <w:tblStyleRowBandSize w:val="1"/>
      <w:tblStyleColBandSize w:val="1"/>
    </w:tblPr>
    <w:tblStylePr w:type="band1Horz">
      <w:tcPr>
        <w:shd w:val="clear" w:color="d1eaf0" w:fill="d1eaf0" w:themeFill="accent5" w:themeFillTint="40"/>
      </w:tcPr>
    </w:tblStylePr>
    <w:tblStylePr w:type="band1Vert">
      <w:tcPr>
        <w:shd w:val="clear" w:color="d1eaf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tcPr>
    </w:tblStylePr>
  </w:style>
  <w:style w:type="table" w:styleId="1255" w:customStyle="1">
    <w:name w:val="List Table 1 Light - Accent 6"/>
    <w:basedOn w:val="772"/>
    <w:uiPriority w:val="99"/>
    <w:tblPr>
      <w:tblStyleRowBandSize w:val="1"/>
      <w:tblStyleColBandSize w:val="1"/>
    </w:tblPr>
    <w:tblStylePr w:type="band1Horz">
      <w:tcPr>
        <w:shd w:val="clear" w:color="fde4d0" w:fill="fde4d0" w:themeFill="accent6" w:themeFillTint="40"/>
      </w:tcPr>
    </w:tblStylePr>
    <w:tblStylePr w:type="band1Vert">
      <w:tcPr>
        <w:shd w:val="clear" w:color="fde4d0" w:fill="fde4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tcPr>
    </w:tblStylePr>
  </w:style>
  <w:style w:type="table" w:styleId="1256">
    <w:name w:val="List Table 2"/>
    <w:basedOn w:val="772"/>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color w:val="404040"/>
        <w:sz w:val="22"/>
      </w:rPr>
      <w:tcPr>
        <w:shd w:val="clear" w:color="bfbfbf" w:fill="bfbfbf" w:themeFill="text1" w:themeFillTint="40"/>
      </w:tcPr>
    </w:tblStylePr>
    <w:tblStylePr w:type="band1Vert">
      <w:rPr>
        <w:color w:val="404040"/>
        <w:sz w:val="22"/>
      </w:rPr>
      <w:tcPr>
        <w:shd w:val="clear" w:color="bfbfbf" w:fill="bfbfbf" w:themeFill="text1" w:themeFillTint="40"/>
      </w:tcPr>
    </w:tblStylePr>
    <w:tblStylePr w:type="firstCol">
      <w:rPr>
        <w:b/>
        <w:color w:val="404040"/>
        <w:sz w:val="22"/>
      </w:rPr>
    </w:tblStylePr>
    <w:tblStylePr w:type="firstRow">
      <w:rPr>
        <w:b/>
        <w:color w:val="404040"/>
        <w:sz w:val="22"/>
      </w:r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text1" w:sz="4" w:space="0"/>
          <w:left w:val="none" w:color="000000" w:sz="4" w:space="0"/>
          <w:bottom w:val="single" w:color="000000" w:themeColor="text1" w:sz="4" w:space="0"/>
          <w:right w:val="none" w:color="000000" w:sz="4" w:space="0"/>
        </w:tcBorders>
      </w:tcPr>
    </w:tblStylePr>
  </w:style>
  <w:style w:type="table" w:styleId="1257" w:customStyle="1">
    <w:name w:val="List Table 2 - Accent 1"/>
    <w:basedOn w:val="772"/>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band1Horz">
      <w:rPr>
        <w:color w:val="404040"/>
        <w:sz w:val="22"/>
      </w:rPr>
      <w:tcPr>
        <w:shd w:val="clear" w:color="d2dfee" w:fill="d2dfee" w:themeFill="accent1" w:themeFillTint="40"/>
      </w:tcPr>
    </w:tblStylePr>
    <w:tblStylePr w:type="band1Vert">
      <w:rPr>
        <w:color w:val="404040"/>
        <w:sz w:val="22"/>
      </w:rPr>
      <w:tcPr>
        <w:shd w:val="clear" w:color="d2dfee" w:fill="d2dfee" w:themeFill="accent1" w:themeFillTint="40"/>
      </w:tcPr>
    </w:tblStylePr>
    <w:tblStylePr w:type="firstCol">
      <w:rPr>
        <w:b/>
        <w:color w:val="404040"/>
        <w:sz w:val="22"/>
      </w:rPr>
    </w:tblStylePr>
    <w:tblStylePr w:type="firstRow">
      <w:rPr>
        <w:b/>
        <w:color w:val="404040"/>
        <w:sz w:val="22"/>
      </w:rPr>
      <w:tcPr>
        <w:tcBorders>
          <w:top w:val="single" w:color="4F81BD" w:themeColor="accent1" w:sz="4" w:space="0"/>
          <w:left w:val="none" w:color="000000" w:sz="4" w:space="0"/>
          <w:bottom w:val="single" w:color="4F81BD" w:themeColor="accent1" w:sz="4" w:space="0"/>
          <w:right w:val="none" w:color="000000" w:sz="4" w:space="0"/>
        </w:tcBorders>
      </w:tcPr>
    </w:tblStylePr>
    <w:tblStylePr w:type="lastCol">
      <w:rPr>
        <w:b/>
        <w:color w:val="404040"/>
        <w:sz w:val="22"/>
      </w:rPr>
    </w:tblStylePr>
    <w:tblStylePr w:type="lastRow">
      <w:rPr>
        <w:b/>
        <w:color w:val="404040"/>
        <w:sz w:val="22"/>
      </w:rPr>
      <w:tcPr>
        <w:tcBorders>
          <w:top w:val="single" w:color="4F81BD" w:themeColor="accent1" w:sz="4" w:space="0"/>
          <w:left w:val="none" w:color="000000" w:sz="4" w:space="0"/>
          <w:bottom w:val="single" w:color="4F81BD" w:themeColor="accent1" w:sz="4" w:space="0"/>
          <w:right w:val="none" w:color="000000" w:sz="4" w:space="0"/>
        </w:tcBorders>
      </w:tcPr>
    </w:tblStylePr>
  </w:style>
  <w:style w:type="table" w:styleId="1258" w:customStyle="1">
    <w:name w:val="List Table 2 - Accent 2"/>
    <w:basedOn w:val="772"/>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band1Horz">
      <w:rPr>
        <w:color w:val="404040"/>
        <w:sz w:val="22"/>
      </w:rPr>
      <w:tcPr>
        <w:shd w:val="clear" w:color="efd2d2" w:fill="efd2d2" w:themeFill="accent2" w:themeFillTint="40"/>
      </w:tcPr>
    </w:tblStylePr>
    <w:tblStylePr w:type="band1Vert">
      <w:rPr>
        <w:color w:val="404040"/>
        <w:sz w:val="22"/>
      </w:rPr>
      <w:tcPr>
        <w:shd w:val="clear" w:color="efd2d2" w:fill="efd2d2" w:themeFill="accent2" w:themeFillTint="40"/>
      </w:tcPr>
    </w:tblStylePr>
    <w:tblStylePr w:type="firstCol">
      <w:rPr>
        <w:b/>
        <w:color w:val="404040"/>
        <w:sz w:val="22"/>
      </w:rPr>
    </w:tblStylePr>
    <w:tblStylePr w:type="firstRow">
      <w:rPr>
        <w:b/>
        <w:color w:val="404040"/>
        <w:sz w:val="22"/>
      </w:rPr>
      <w:tcPr>
        <w:tcBorders>
          <w:top w:val="single" w:color="C0504D" w:themeColor="accent2" w:sz="4" w:space="0"/>
          <w:left w:val="none" w:color="000000" w:sz="4" w:space="0"/>
          <w:bottom w:val="single" w:color="C0504D" w:themeColor="accent2" w:sz="4" w:space="0"/>
          <w:right w:val="none" w:color="000000" w:sz="4" w:space="0"/>
        </w:tcBorders>
      </w:tcPr>
    </w:tblStylePr>
    <w:tblStylePr w:type="lastCol">
      <w:rPr>
        <w:b/>
        <w:color w:val="404040"/>
        <w:sz w:val="22"/>
      </w:rPr>
    </w:tblStylePr>
    <w:tblStylePr w:type="lastRow">
      <w:rPr>
        <w:b/>
        <w:color w:val="404040"/>
        <w:sz w:val="22"/>
      </w:rPr>
      <w:tcPr>
        <w:tcBorders>
          <w:top w:val="single" w:color="C0504D" w:themeColor="accent2" w:sz="4" w:space="0"/>
          <w:left w:val="none" w:color="000000" w:sz="4" w:space="0"/>
          <w:bottom w:val="single" w:color="C0504D" w:themeColor="accent2" w:sz="4" w:space="0"/>
          <w:right w:val="none" w:color="000000" w:sz="4" w:space="0"/>
        </w:tcBorders>
      </w:tcPr>
    </w:tblStylePr>
  </w:style>
  <w:style w:type="table" w:styleId="1259" w:customStyle="1">
    <w:name w:val="List Table 2 - Accent 3"/>
    <w:basedOn w:val="772"/>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band1Horz">
      <w:rPr>
        <w:color w:val="404040"/>
        <w:sz w:val="22"/>
      </w:rPr>
      <w:tcPr>
        <w:shd w:val="clear" w:color="e5eed5" w:fill="e5eed5" w:themeFill="accent3" w:themeFillTint="40"/>
      </w:tcPr>
    </w:tblStylePr>
    <w:tblStylePr w:type="band1Vert">
      <w:rPr>
        <w:color w:val="404040"/>
        <w:sz w:val="22"/>
      </w:rPr>
      <w:tcPr>
        <w:shd w:val="clear" w:color="e5eed5" w:fill="e5eed5" w:themeFill="accent3" w:themeFillTint="40"/>
      </w:tcPr>
    </w:tblStylePr>
    <w:tblStylePr w:type="firstCol">
      <w:rPr>
        <w:b/>
        <w:color w:val="404040"/>
        <w:sz w:val="22"/>
      </w:rPr>
    </w:tblStylePr>
    <w:tblStylePr w:type="firstRow">
      <w:rPr>
        <w:b/>
        <w:color w:val="404040"/>
        <w:sz w:val="22"/>
      </w:rPr>
      <w:tcPr>
        <w:tcBorders>
          <w:top w:val="single" w:color="9BBB59" w:themeColor="accent3" w:sz="4" w:space="0"/>
          <w:left w:val="none" w:color="000000" w:sz="4" w:space="0"/>
          <w:bottom w:val="single" w:color="9BBB59" w:themeColor="accent3" w:sz="4" w:space="0"/>
          <w:right w:val="none" w:color="000000" w:sz="4" w:space="0"/>
        </w:tcBorders>
      </w:tcPr>
    </w:tblStylePr>
    <w:tblStylePr w:type="lastCol">
      <w:rPr>
        <w:b/>
        <w:color w:val="404040"/>
        <w:sz w:val="22"/>
      </w:rPr>
    </w:tblStylePr>
    <w:tblStylePr w:type="lastRow">
      <w:rPr>
        <w:b/>
        <w:color w:val="404040"/>
        <w:sz w:val="22"/>
      </w:rPr>
      <w:tcPr>
        <w:tcBorders>
          <w:top w:val="single" w:color="9BBB59" w:themeColor="accent3" w:sz="4" w:space="0"/>
          <w:left w:val="none" w:color="000000" w:sz="4" w:space="0"/>
          <w:bottom w:val="single" w:color="9BBB59" w:themeColor="accent3" w:sz="4" w:space="0"/>
          <w:right w:val="none" w:color="000000" w:sz="4" w:space="0"/>
        </w:tcBorders>
      </w:tcPr>
    </w:tblStylePr>
  </w:style>
  <w:style w:type="table" w:styleId="1260" w:customStyle="1">
    <w:name w:val="List Table 2 - Accent 4"/>
    <w:basedOn w:val="772"/>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band1Horz">
      <w:rPr>
        <w:color w:val="404040"/>
        <w:sz w:val="22"/>
      </w:rPr>
      <w:tcPr>
        <w:shd w:val="clear" w:color="dfd8e7" w:fill="dfd8e7" w:themeFill="accent4" w:themeFillTint="40"/>
      </w:tcPr>
    </w:tblStylePr>
    <w:tblStylePr w:type="band1Vert">
      <w:rPr>
        <w:color w:val="404040"/>
        <w:sz w:val="22"/>
      </w:rPr>
      <w:tcPr>
        <w:shd w:val="clear" w:color="dfd8e7" w:fill="dfd8e7" w:themeFill="accent4" w:themeFillTint="40"/>
      </w:tcPr>
    </w:tblStylePr>
    <w:tblStylePr w:type="firstCol">
      <w:rPr>
        <w:b/>
        <w:color w:val="404040"/>
        <w:sz w:val="22"/>
      </w:rPr>
    </w:tblStylePr>
    <w:tblStylePr w:type="firstRow">
      <w:rPr>
        <w:b/>
        <w:color w:val="404040"/>
        <w:sz w:val="22"/>
      </w:rPr>
      <w:tcPr>
        <w:tcBorders>
          <w:top w:val="single" w:color="8064A2" w:themeColor="accent4" w:sz="4" w:space="0"/>
          <w:left w:val="none" w:color="000000" w:sz="4" w:space="0"/>
          <w:bottom w:val="single" w:color="8064A2" w:themeColor="accent4" w:sz="4" w:space="0"/>
          <w:right w:val="none" w:color="000000" w:sz="4" w:space="0"/>
        </w:tcBorders>
      </w:tcPr>
    </w:tblStylePr>
    <w:tblStylePr w:type="lastCol">
      <w:rPr>
        <w:b/>
        <w:color w:val="404040"/>
        <w:sz w:val="22"/>
      </w:rPr>
    </w:tblStylePr>
    <w:tblStylePr w:type="lastRow">
      <w:rPr>
        <w:b/>
        <w:color w:val="404040"/>
        <w:sz w:val="22"/>
      </w:rPr>
      <w:tcPr>
        <w:tcBorders>
          <w:top w:val="single" w:color="8064A2" w:themeColor="accent4" w:sz="4" w:space="0"/>
          <w:left w:val="none" w:color="000000" w:sz="4" w:space="0"/>
          <w:bottom w:val="single" w:color="8064A2" w:themeColor="accent4" w:sz="4" w:space="0"/>
          <w:right w:val="none" w:color="000000" w:sz="4" w:space="0"/>
        </w:tcBorders>
      </w:tcPr>
    </w:tblStylePr>
  </w:style>
  <w:style w:type="table" w:styleId="1261" w:customStyle="1">
    <w:name w:val="List Table 2 - Accent 5"/>
    <w:basedOn w:val="772"/>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band1Horz">
      <w:rPr>
        <w:color w:val="404040"/>
        <w:sz w:val="22"/>
      </w:rPr>
      <w:tcPr>
        <w:shd w:val="clear" w:color="d1eaf0" w:fill="d1eaf0" w:themeFill="accent5" w:themeFillTint="40"/>
      </w:tcPr>
    </w:tblStylePr>
    <w:tblStylePr w:type="band1Vert">
      <w:rPr>
        <w:color w:val="404040"/>
        <w:sz w:val="22"/>
      </w:rPr>
      <w:tcPr>
        <w:shd w:val="clear" w:color="d1eaf0" w:fill="d1eaf0" w:themeFill="accent5" w:themeFillTint="40"/>
      </w:tcPr>
    </w:tblStylePr>
    <w:tblStylePr w:type="firstCol">
      <w:rPr>
        <w:b/>
        <w:color w:val="404040"/>
        <w:sz w:val="22"/>
      </w:rPr>
    </w:tblStylePr>
    <w:tblStylePr w:type="firstRow">
      <w:rPr>
        <w:b/>
        <w:color w:val="404040"/>
        <w:sz w:val="22"/>
      </w:rPr>
      <w:tcPr>
        <w:tcBorders>
          <w:top w:val="single" w:color="4BACC6" w:themeColor="accent5" w:sz="4" w:space="0"/>
          <w:left w:val="none" w:color="000000" w:sz="4" w:space="0"/>
          <w:bottom w:val="single" w:color="4BACC6" w:themeColor="accent5" w:sz="4" w:space="0"/>
          <w:right w:val="none" w:color="000000" w:sz="4" w:space="0"/>
        </w:tcBorders>
      </w:tcPr>
    </w:tblStylePr>
    <w:tblStylePr w:type="lastCol">
      <w:rPr>
        <w:b/>
        <w:color w:val="404040"/>
        <w:sz w:val="22"/>
      </w:rPr>
    </w:tblStylePr>
    <w:tblStylePr w:type="lastRow">
      <w:rPr>
        <w:b/>
        <w:color w:val="404040"/>
        <w:sz w:val="22"/>
      </w:rPr>
      <w:tcPr>
        <w:tcBorders>
          <w:top w:val="single" w:color="4BACC6" w:themeColor="accent5" w:sz="4" w:space="0"/>
          <w:left w:val="none" w:color="000000" w:sz="4" w:space="0"/>
          <w:bottom w:val="single" w:color="4BACC6" w:themeColor="accent5" w:sz="4" w:space="0"/>
          <w:right w:val="none" w:color="000000" w:sz="4" w:space="0"/>
        </w:tcBorders>
      </w:tcPr>
    </w:tblStylePr>
  </w:style>
  <w:style w:type="table" w:styleId="1262" w:customStyle="1">
    <w:name w:val="List Table 2 - Accent 6"/>
    <w:basedOn w:val="772"/>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band1Horz">
      <w:rPr>
        <w:color w:val="404040"/>
        <w:sz w:val="22"/>
      </w:rPr>
      <w:tcPr>
        <w:shd w:val="clear" w:color="fde4d0" w:fill="fde4d0" w:themeFill="accent6" w:themeFillTint="40"/>
      </w:tcPr>
    </w:tblStylePr>
    <w:tblStylePr w:type="band1Vert">
      <w:rPr>
        <w:color w:val="404040"/>
        <w:sz w:val="22"/>
      </w:rPr>
      <w:tcPr>
        <w:shd w:val="clear" w:color="fde4d0" w:fill="fde4d0" w:themeFill="accent6" w:themeFillTint="40"/>
      </w:tcPr>
    </w:tblStylePr>
    <w:tblStylePr w:type="firstCol">
      <w:rPr>
        <w:b/>
        <w:color w:val="404040"/>
        <w:sz w:val="22"/>
      </w:rPr>
    </w:tblStylePr>
    <w:tblStylePr w:type="firstRow">
      <w:rPr>
        <w:b/>
        <w:color w:val="404040"/>
        <w:sz w:val="22"/>
      </w:rPr>
      <w:tcPr>
        <w:tcBorders>
          <w:top w:val="single" w:color="F79646" w:themeColor="accent6" w:sz="4" w:space="0"/>
          <w:left w:val="none" w:color="000000" w:sz="4" w:space="0"/>
          <w:bottom w:val="single" w:color="F79646" w:themeColor="accent6" w:sz="4" w:space="0"/>
          <w:right w:val="none" w:color="000000" w:sz="4" w:space="0"/>
        </w:tcBorders>
      </w:tcPr>
    </w:tblStylePr>
    <w:tblStylePr w:type="lastCol">
      <w:rPr>
        <w:b/>
        <w:color w:val="404040"/>
        <w:sz w:val="22"/>
      </w:rPr>
    </w:tblStylePr>
    <w:tblStylePr w:type="lastRow">
      <w:rPr>
        <w:b/>
        <w:color w:val="404040"/>
        <w:sz w:val="22"/>
      </w:rPr>
      <w:tcPr>
        <w:tcBorders>
          <w:top w:val="single" w:color="F79646" w:themeColor="accent6" w:sz="4" w:space="0"/>
          <w:left w:val="none" w:color="000000" w:sz="4" w:space="0"/>
          <w:bottom w:val="single" w:color="F79646" w:themeColor="accent6" w:sz="4" w:space="0"/>
          <w:right w:val="none" w:color="000000" w:sz="4" w:space="0"/>
        </w:tcBorders>
      </w:tcPr>
    </w:tblStylePr>
  </w:style>
  <w:style w:type="table" w:styleId="1263">
    <w:name w:val="List Table 3"/>
    <w:basedOn w:val="772"/>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color w:val="404040"/>
        <w:sz w:val="22"/>
      </w:rPr>
      <w:tcPr>
        <w:tcBorders>
          <w:top w:val="single" w:color="000000" w:themeColor="text1" w:sz="4" w:space="0"/>
          <w:bottom w:val="single" w:color="000000" w:themeColor="text1" w:sz="4" w:space="0"/>
        </w:tcBorders>
      </w:tcPr>
    </w:tblStylePr>
    <w:tblStylePr w:type="band1Vert">
      <w:rPr>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b/>
        <w:color w:val="ffffff"/>
        <w:sz w:val="22"/>
      </w:rPr>
      <w:tcPr>
        <w:shd w:val="clear" w:color="000000" w:fill="000000" w:themeFill="text1"/>
      </w:tcPr>
    </w:tblStylePr>
    <w:tblStylePr w:type="lastCol">
      <w:rPr>
        <w:b/>
        <w:color w:val="404040"/>
      </w:rPr>
    </w:tblStylePr>
    <w:tblStylePr w:type="lastRow">
      <w:rPr>
        <w:b/>
        <w:color w:val="404040"/>
      </w:rPr>
    </w:tblStylePr>
  </w:style>
  <w:style w:type="table" w:styleId="1264" w:customStyle="1">
    <w:name w:val="List Table 3 - Accent 1"/>
    <w:basedOn w:val="772"/>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band1Horz">
      <w:rPr>
        <w:color w:val="404040"/>
        <w:sz w:val="22"/>
      </w:rPr>
      <w:tcPr>
        <w:tcBorders>
          <w:top w:val="single" w:color="4F81BD" w:themeColor="accent1" w:sz="4" w:space="0"/>
          <w:bottom w:val="single" w:color="4F81BD" w:themeColor="accent1" w:sz="4" w:space="0"/>
        </w:tcBorders>
      </w:tcPr>
    </w:tblStylePr>
    <w:tblStylePr w:type="band1Vert">
      <w:rPr>
        <w:color w:val="404040"/>
        <w:sz w:val="22"/>
      </w:rPr>
      <w:tcPr>
        <w:tcBorders>
          <w:left w:val="single" w:color="4F81BD" w:themeColor="accent1" w:sz="4" w:space="0"/>
          <w:right w:val="single" w:color="4F81BD" w:themeColor="accent1" w:sz="4" w:space="0"/>
        </w:tcBorders>
      </w:tcPr>
    </w:tblStylePr>
    <w:tblStylePr w:type="firstCol">
      <w:rPr>
        <w:b/>
        <w:color w:val="404040"/>
      </w:rPr>
    </w:tblStylePr>
    <w:tblStylePr w:type="firstRow">
      <w:rPr>
        <w:b/>
        <w:color w:val="ffffff"/>
        <w:sz w:val="22"/>
      </w:rPr>
      <w:tcPr>
        <w:shd w:val="clear" w:color="4f81bd" w:fill="4f81bd" w:themeFill="accent1"/>
      </w:tcPr>
    </w:tblStylePr>
    <w:tblStylePr w:type="lastCol">
      <w:rPr>
        <w:b/>
        <w:color w:val="404040"/>
      </w:rPr>
    </w:tblStylePr>
    <w:tblStylePr w:type="lastRow">
      <w:rPr>
        <w:b/>
        <w:color w:val="404040"/>
      </w:rPr>
    </w:tblStylePr>
  </w:style>
  <w:style w:type="table" w:styleId="1265" w:customStyle="1">
    <w:name w:val="List Table 3 - Accent 2"/>
    <w:basedOn w:val="772"/>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band1Horz">
      <w:rPr>
        <w:color w:val="404040"/>
        <w:sz w:val="22"/>
      </w:rPr>
      <w:tcPr>
        <w:tcBorders>
          <w:top w:val="single" w:color="C0504D" w:themeColor="accent2" w:sz="4" w:space="0"/>
          <w:bottom w:val="single" w:color="C0504D" w:themeColor="accent2" w:sz="4" w:space="0"/>
        </w:tcBorders>
      </w:tcPr>
    </w:tblStylePr>
    <w:tblStylePr w:type="band1Vert">
      <w:rPr>
        <w:color w:val="404040"/>
        <w:sz w:val="22"/>
      </w:rPr>
      <w:tcPr>
        <w:tcBorders>
          <w:left w:val="single" w:color="C0504D" w:themeColor="accent2" w:sz="4" w:space="0"/>
          <w:right w:val="single" w:color="C0504D" w:themeColor="accent2" w:sz="4" w:space="0"/>
        </w:tcBorders>
      </w:tcPr>
    </w:tblStylePr>
    <w:tblStylePr w:type="firstCol">
      <w:rPr>
        <w:b/>
        <w:color w:val="404040"/>
      </w:rPr>
    </w:tblStylePr>
    <w:tblStylePr w:type="firstRow">
      <w:rPr>
        <w:b/>
        <w:color w:val="ffffff"/>
        <w:sz w:val="22"/>
      </w:rPr>
      <w:tcPr>
        <w:shd w:val="clear" w:color="d99695" w:fill="d99695" w:themeFill="accent2" w:themeFillTint="97"/>
      </w:tcPr>
    </w:tblStylePr>
    <w:tblStylePr w:type="lastCol">
      <w:rPr>
        <w:b/>
        <w:color w:val="404040"/>
      </w:rPr>
    </w:tblStylePr>
    <w:tblStylePr w:type="lastRow">
      <w:rPr>
        <w:b/>
        <w:color w:val="404040"/>
      </w:rPr>
    </w:tblStylePr>
  </w:style>
  <w:style w:type="table" w:styleId="1266" w:customStyle="1">
    <w:name w:val="List Table 3 - Accent 3"/>
    <w:basedOn w:val="772"/>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band1Horz">
      <w:rPr>
        <w:color w:val="404040"/>
        <w:sz w:val="22"/>
      </w:rPr>
      <w:tcPr>
        <w:tcBorders>
          <w:top w:val="single" w:color="9BBB59" w:themeColor="accent3" w:sz="4" w:space="0"/>
          <w:bottom w:val="single" w:color="9BBB59" w:themeColor="accent3" w:sz="4" w:space="0"/>
        </w:tcBorders>
      </w:tcPr>
    </w:tblStylePr>
    <w:tblStylePr w:type="band1Vert">
      <w:rPr>
        <w:color w:val="404040"/>
        <w:sz w:val="22"/>
      </w:rPr>
      <w:tcPr>
        <w:tcBorders>
          <w:left w:val="single" w:color="9BBB59" w:themeColor="accent3" w:sz="4" w:space="0"/>
          <w:right w:val="single" w:color="9BBB59" w:themeColor="accent3" w:sz="4" w:space="0"/>
        </w:tcBorders>
      </w:tcPr>
    </w:tblStylePr>
    <w:tblStylePr w:type="firstCol">
      <w:rPr>
        <w:b/>
        <w:color w:val="404040"/>
      </w:rPr>
    </w:tblStylePr>
    <w:tblStylePr w:type="firstRow">
      <w:rPr>
        <w:b/>
        <w:color w:val="ffffff"/>
        <w:sz w:val="22"/>
      </w:rPr>
      <w:tcPr>
        <w:shd w:val="clear" w:color="c3d69b" w:fill="c3d69b" w:themeFill="accent3" w:themeFillTint="98"/>
      </w:tcPr>
    </w:tblStylePr>
    <w:tblStylePr w:type="lastCol">
      <w:rPr>
        <w:b/>
        <w:color w:val="404040"/>
      </w:rPr>
    </w:tblStylePr>
    <w:tblStylePr w:type="lastRow">
      <w:rPr>
        <w:b/>
        <w:color w:val="404040"/>
      </w:rPr>
    </w:tblStylePr>
  </w:style>
  <w:style w:type="table" w:styleId="1267" w:customStyle="1">
    <w:name w:val="List Table 3 - Accent 4"/>
    <w:basedOn w:val="772"/>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band1Horz">
      <w:rPr>
        <w:color w:val="404040"/>
        <w:sz w:val="22"/>
      </w:rPr>
      <w:tcPr>
        <w:tcBorders>
          <w:top w:val="single" w:color="8064A2" w:themeColor="accent4" w:sz="4" w:space="0"/>
          <w:bottom w:val="single" w:color="8064A2" w:themeColor="accent4" w:sz="4" w:space="0"/>
        </w:tcBorders>
      </w:tcPr>
    </w:tblStylePr>
    <w:tblStylePr w:type="band1Vert">
      <w:rPr>
        <w:color w:val="404040"/>
        <w:sz w:val="22"/>
      </w:rPr>
      <w:tcPr>
        <w:tcBorders>
          <w:left w:val="single" w:color="8064A2" w:themeColor="accent4" w:sz="4" w:space="0"/>
          <w:right w:val="single" w:color="8064A2" w:themeColor="accent4" w:sz="4" w:space="0"/>
        </w:tcBorders>
      </w:tcPr>
    </w:tblStylePr>
    <w:tblStylePr w:type="firstCol">
      <w:rPr>
        <w:b/>
        <w:color w:val="404040"/>
      </w:rPr>
    </w:tblStylePr>
    <w:tblStylePr w:type="firstRow">
      <w:rPr>
        <w:b/>
        <w:color w:val="ffffff"/>
        <w:sz w:val="22"/>
      </w:rPr>
      <w:tcPr>
        <w:shd w:val="clear" w:color="b2a1c6" w:fill="b2a1c6" w:themeFill="accent4" w:themeFillTint="9A"/>
      </w:tcPr>
    </w:tblStylePr>
    <w:tblStylePr w:type="lastCol">
      <w:rPr>
        <w:b/>
        <w:color w:val="404040"/>
      </w:rPr>
    </w:tblStylePr>
    <w:tblStylePr w:type="lastRow">
      <w:rPr>
        <w:b/>
        <w:color w:val="404040"/>
      </w:rPr>
    </w:tblStylePr>
  </w:style>
  <w:style w:type="table" w:styleId="1268" w:customStyle="1">
    <w:name w:val="List Table 3 - Accent 5"/>
    <w:basedOn w:val="772"/>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band1Horz">
      <w:rPr>
        <w:color w:val="404040"/>
        <w:sz w:val="22"/>
      </w:rPr>
      <w:tcPr>
        <w:tcBorders>
          <w:top w:val="single" w:color="4BACC6" w:themeColor="accent5" w:sz="4" w:space="0"/>
          <w:bottom w:val="single" w:color="4BACC6" w:themeColor="accent5" w:sz="4" w:space="0"/>
        </w:tcBorders>
      </w:tcPr>
    </w:tblStylePr>
    <w:tblStylePr w:type="band1Vert">
      <w:rPr>
        <w:color w:val="404040"/>
        <w:sz w:val="22"/>
      </w:rPr>
      <w:tcPr>
        <w:tcBorders>
          <w:left w:val="single" w:color="4BACC6" w:themeColor="accent5" w:sz="4" w:space="0"/>
          <w:right w:val="single" w:color="4BACC6" w:themeColor="accent5" w:sz="4" w:space="0"/>
        </w:tcBorders>
      </w:tcPr>
    </w:tblStylePr>
    <w:tblStylePr w:type="firstCol">
      <w:rPr>
        <w:b/>
        <w:color w:val="404040"/>
      </w:rPr>
    </w:tblStylePr>
    <w:tblStylePr w:type="firstRow">
      <w:rPr>
        <w:b/>
        <w:color w:val="ffffff"/>
        <w:sz w:val="22"/>
      </w:rPr>
      <w:tcPr>
        <w:shd w:val="clear" w:color="92ccdc" w:fill="92ccdc" w:themeFill="accent5" w:themeFillTint="9A"/>
      </w:tcPr>
    </w:tblStylePr>
    <w:tblStylePr w:type="lastCol">
      <w:rPr>
        <w:b/>
        <w:color w:val="404040"/>
      </w:rPr>
    </w:tblStylePr>
    <w:tblStylePr w:type="lastRow">
      <w:rPr>
        <w:b/>
        <w:color w:val="404040"/>
      </w:rPr>
    </w:tblStylePr>
  </w:style>
  <w:style w:type="table" w:styleId="1269" w:customStyle="1">
    <w:name w:val="List Table 3 - Accent 6"/>
    <w:basedOn w:val="772"/>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band1Horz">
      <w:rPr>
        <w:color w:val="404040"/>
        <w:sz w:val="22"/>
      </w:rPr>
      <w:tcPr>
        <w:tcBorders>
          <w:top w:val="single" w:color="F79646" w:themeColor="accent6" w:sz="4" w:space="0"/>
          <w:bottom w:val="single" w:color="F79646" w:themeColor="accent6" w:sz="4" w:space="0"/>
        </w:tcBorders>
      </w:tcPr>
    </w:tblStylePr>
    <w:tblStylePr w:type="band1Vert">
      <w:rPr>
        <w:color w:val="404040"/>
        <w:sz w:val="22"/>
      </w:rPr>
      <w:tcPr>
        <w:tcBorders>
          <w:left w:val="single" w:color="F79646" w:themeColor="accent6" w:sz="4" w:space="0"/>
          <w:right w:val="single" w:color="F79646" w:themeColor="accent6" w:sz="4" w:space="0"/>
        </w:tcBorders>
      </w:tcPr>
    </w:tblStylePr>
    <w:tblStylePr w:type="firstCol">
      <w:rPr>
        <w:b/>
        <w:color w:val="404040"/>
      </w:rPr>
    </w:tblStylePr>
    <w:tblStylePr w:type="firstRow">
      <w:rPr>
        <w:b/>
        <w:color w:val="ffffff"/>
        <w:sz w:val="22"/>
      </w:rPr>
      <w:tcPr>
        <w:shd w:val="clear" w:color="fac090" w:fill="fac090" w:themeFill="accent6" w:themeFillTint="98"/>
      </w:tcPr>
    </w:tblStylePr>
    <w:tblStylePr w:type="lastCol">
      <w:rPr>
        <w:b/>
        <w:color w:val="404040"/>
      </w:rPr>
    </w:tblStylePr>
    <w:tblStylePr w:type="lastRow">
      <w:rPr>
        <w:b/>
        <w:color w:val="404040"/>
      </w:rPr>
    </w:tblStylePr>
  </w:style>
  <w:style w:type="table" w:styleId="1270">
    <w:name w:val="List Table 4"/>
    <w:basedOn w:val="772"/>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color w:val="404040"/>
        <w:sz w:val="22"/>
      </w:rPr>
      <w:tcPr>
        <w:shd w:val="clear" w:color="bfbfbf" w:fill="bfbfbf" w:themeFill="text1" w:themeFillTint="40"/>
      </w:tcPr>
    </w:tblStylePr>
    <w:tblStylePr w:type="band1Vert">
      <w:rPr>
        <w:color w:val="404040"/>
        <w:sz w:val="22"/>
      </w:rPr>
      <w:tcPr>
        <w:shd w:val="clear" w:color="bfbfbf" w:fill="bfbfbf" w:themeFill="text1" w:themeFillTint="40"/>
      </w:tcPr>
    </w:tblStylePr>
    <w:tblStylePr w:type="firstCol">
      <w:rPr>
        <w:b/>
        <w:color w:val="404040"/>
      </w:rPr>
    </w:tblStylePr>
    <w:tblStylePr w:type="firstRow">
      <w:rPr>
        <w:b/>
        <w:color w:val="ffffff"/>
        <w:sz w:val="22"/>
      </w:rPr>
      <w:tcPr>
        <w:shd w:val="clear" w:color="000000" w:fill="000000" w:themeFill="text1"/>
      </w:tcPr>
    </w:tblStylePr>
    <w:tblStylePr w:type="lastCol">
      <w:rPr>
        <w:b/>
        <w:color w:val="404040"/>
      </w:rPr>
    </w:tblStylePr>
    <w:tblStylePr w:type="lastRow">
      <w:rPr>
        <w:b/>
        <w:color w:val="404040"/>
      </w:rPr>
    </w:tblStylePr>
  </w:style>
  <w:style w:type="table" w:styleId="1271" w:customStyle="1">
    <w:name w:val="List Table 4 - Accent 1"/>
    <w:basedOn w:val="772"/>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band1Horz">
      <w:rPr>
        <w:color w:val="404040"/>
        <w:sz w:val="22"/>
      </w:rPr>
      <w:tcPr>
        <w:shd w:val="clear" w:color="d2dfee" w:fill="d2dfee" w:themeFill="accent1" w:themeFillTint="40"/>
      </w:tcPr>
    </w:tblStylePr>
    <w:tblStylePr w:type="band1Vert">
      <w:rPr>
        <w:color w:val="404040"/>
        <w:sz w:val="22"/>
      </w:rPr>
      <w:tcPr>
        <w:shd w:val="clear" w:color="d2dfee" w:fill="d2dfee" w:themeFill="accent1" w:themeFillTint="40"/>
      </w:tcPr>
    </w:tblStylePr>
    <w:tblStylePr w:type="firstCol">
      <w:rPr>
        <w:b/>
        <w:color w:val="404040"/>
      </w:rPr>
    </w:tblStylePr>
    <w:tblStylePr w:type="firstRow">
      <w:rPr>
        <w:b/>
        <w:color w:val="ffffff"/>
        <w:sz w:val="22"/>
      </w:rPr>
      <w:tcPr>
        <w:shd w:val="clear" w:color="4f81bd" w:fill="4f81bd" w:themeFill="accent1"/>
      </w:tcPr>
    </w:tblStylePr>
    <w:tblStylePr w:type="lastCol">
      <w:rPr>
        <w:b/>
        <w:color w:val="404040"/>
      </w:rPr>
    </w:tblStylePr>
    <w:tblStylePr w:type="lastRow">
      <w:rPr>
        <w:b/>
        <w:color w:val="404040"/>
      </w:rPr>
    </w:tblStylePr>
  </w:style>
  <w:style w:type="table" w:styleId="1272" w:customStyle="1">
    <w:name w:val="List Table 4 - Accent 2"/>
    <w:basedOn w:val="772"/>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band1Horz">
      <w:rPr>
        <w:color w:val="404040"/>
        <w:sz w:val="22"/>
      </w:rPr>
      <w:tcPr>
        <w:shd w:val="clear" w:color="efd2d2" w:fill="efd2d2" w:themeFill="accent2" w:themeFillTint="40"/>
      </w:tcPr>
    </w:tblStylePr>
    <w:tblStylePr w:type="band1Vert">
      <w:rPr>
        <w:color w:val="404040"/>
        <w:sz w:val="22"/>
      </w:rPr>
      <w:tcPr>
        <w:shd w:val="clear" w:color="efd2d2" w:fill="efd2d2" w:themeFill="accent2" w:themeFillTint="40"/>
      </w:tcPr>
    </w:tblStylePr>
    <w:tblStylePr w:type="firstCol">
      <w:rPr>
        <w:b/>
        <w:color w:val="404040"/>
      </w:rPr>
    </w:tblStylePr>
    <w:tblStylePr w:type="firstRow">
      <w:rPr>
        <w:b/>
        <w:color w:val="ffffff"/>
        <w:sz w:val="22"/>
      </w:rPr>
      <w:tcPr>
        <w:shd w:val="clear" w:color="c0504d" w:fill="c0504d" w:themeFill="accent2"/>
      </w:tcPr>
    </w:tblStylePr>
    <w:tblStylePr w:type="lastCol">
      <w:rPr>
        <w:b/>
        <w:color w:val="404040"/>
      </w:rPr>
    </w:tblStylePr>
    <w:tblStylePr w:type="lastRow">
      <w:rPr>
        <w:b/>
        <w:color w:val="404040"/>
      </w:rPr>
    </w:tblStylePr>
  </w:style>
  <w:style w:type="table" w:styleId="1273" w:customStyle="1">
    <w:name w:val="List Table 4 - Accent 3"/>
    <w:basedOn w:val="772"/>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band1Horz">
      <w:rPr>
        <w:color w:val="404040"/>
        <w:sz w:val="22"/>
      </w:rPr>
      <w:tcPr>
        <w:shd w:val="clear" w:color="e5eed5" w:fill="e5eed5" w:themeFill="accent3" w:themeFillTint="40"/>
      </w:tcPr>
    </w:tblStylePr>
    <w:tblStylePr w:type="band1Vert">
      <w:rPr>
        <w:color w:val="404040"/>
        <w:sz w:val="22"/>
      </w:rPr>
      <w:tcPr>
        <w:shd w:val="clear" w:color="e5eed5" w:fill="e5eed5" w:themeFill="accent3" w:themeFillTint="40"/>
      </w:tcPr>
    </w:tblStylePr>
    <w:tblStylePr w:type="firstCol">
      <w:rPr>
        <w:b/>
        <w:color w:val="404040"/>
      </w:rPr>
    </w:tblStylePr>
    <w:tblStylePr w:type="firstRow">
      <w:rPr>
        <w:b/>
        <w:color w:val="ffffff"/>
        <w:sz w:val="22"/>
      </w:rPr>
      <w:tcPr>
        <w:shd w:val="clear" w:color="9bbb59" w:fill="9bbb59" w:themeFill="accent3"/>
      </w:tcPr>
    </w:tblStylePr>
    <w:tblStylePr w:type="lastCol">
      <w:rPr>
        <w:b/>
        <w:color w:val="404040"/>
      </w:rPr>
    </w:tblStylePr>
    <w:tblStylePr w:type="lastRow">
      <w:rPr>
        <w:b/>
        <w:color w:val="404040"/>
      </w:rPr>
    </w:tblStylePr>
  </w:style>
  <w:style w:type="table" w:styleId="1274" w:customStyle="1">
    <w:name w:val="List Table 4 - Accent 4"/>
    <w:basedOn w:val="772"/>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band1Horz">
      <w:rPr>
        <w:color w:val="404040"/>
        <w:sz w:val="22"/>
      </w:rPr>
      <w:tcPr>
        <w:shd w:val="clear" w:color="dfd8e7" w:fill="dfd8e7" w:themeFill="accent4" w:themeFillTint="40"/>
      </w:tcPr>
    </w:tblStylePr>
    <w:tblStylePr w:type="band1Vert">
      <w:rPr>
        <w:color w:val="404040"/>
        <w:sz w:val="22"/>
      </w:rPr>
      <w:tcPr>
        <w:shd w:val="clear" w:color="dfd8e7" w:fill="dfd8e7" w:themeFill="accent4" w:themeFillTint="40"/>
      </w:tcPr>
    </w:tblStylePr>
    <w:tblStylePr w:type="firstCol">
      <w:rPr>
        <w:b/>
        <w:color w:val="404040"/>
      </w:rPr>
    </w:tblStylePr>
    <w:tblStylePr w:type="firstRow">
      <w:rPr>
        <w:b/>
        <w:color w:val="ffffff"/>
        <w:sz w:val="22"/>
      </w:rPr>
      <w:tcPr>
        <w:shd w:val="clear" w:color="8064a2" w:fill="8064a2" w:themeFill="accent4"/>
      </w:tcPr>
    </w:tblStylePr>
    <w:tblStylePr w:type="lastCol">
      <w:rPr>
        <w:b/>
        <w:color w:val="404040"/>
      </w:rPr>
    </w:tblStylePr>
    <w:tblStylePr w:type="lastRow">
      <w:rPr>
        <w:b/>
        <w:color w:val="404040"/>
      </w:rPr>
    </w:tblStylePr>
  </w:style>
  <w:style w:type="table" w:styleId="1275" w:customStyle="1">
    <w:name w:val="List Table 4 - Accent 5"/>
    <w:basedOn w:val="772"/>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band1Horz">
      <w:rPr>
        <w:color w:val="404040"/>
        <w:sz w:val="22"/>
      </w:rPr>
      <w:tcPr>
        <w:shd w:val="clear" w:color="d1eaf0" w:fill="d1eaf0" w:themeFill="accent5" w:themeFillTint="40"/>
      </w:tcPr>
    </w:tblStylePr>
    <w:tblStylePr w:type="band1Vert">
      <w:rPr>
        <w:color w:val="404040"/>
        <w:sz w:val="22"/>
      </w:rPr>
      <w:tcPr>
        <w:shd w:val="clear" w:color="d1eaf0" w:fill="d1eaf0" w:themeFill="accent5" w:themeFillTint="40"/>
      </w:tcPr>
    </w:tblStylePr>
    <w:tblStylePr w:type="firstCol">
      <w:rPr>
        <w:b/>
        <w:color w:val="404040"/>
      </w:rPr>
    </w:tblStylePr>
    <w:tblStylePr w:type="firstRow">
      <w:rPr>
        <w:b/>
        <w:color w:val="ffffff"/>
        <w:sz w:val="22"/>
      </w:rPr>
      <w:tcPr>
        <w:shd w:val="clear" w:color="4bacc6" w:fill="4bacc6" w:themeFill="accent5"/>
      </w:tcPr>
    </w:tblStylePr>
    <w:tblStylePr w:type="lastCol">
      <w:rPr>
        <w:b/>
        <w:color w:val="404040"/>
      </w:rPr>
    </w:tblStylePr>
    <w:tblStylePr w:type="lastRow">
      <w:rPr>
        <w:b/>
        <w:color w:val="404040"/>
      </w:rPr>
    </w:tblStylePr>
  </w:style>
  <w:style w:type="table" w:styleId="1276" w:customStyle="1">
    <w:name w:val="List Table 4 - Accent 6"/>
    <w:basedOn w:val="772"/>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band1Horz">
      <w:rPr>
        <w:color w:val="404040"/>
        <w:sz w:val="22"/>
      </w:rPr>
      <w:tcPr>
        <w:shd w:val="clear" w:color="fde4d0" w:fill="fde4d0" w:themeFill="accent6" w:themeFillTint="40"/>
      </w:tcPr>
    </w:tblStylePr>
    <w:tblStylePr w:type="band1Vert">
      <w:rPr>
        <w:color w:val="404040"/>
        <w:sz w:val="22"/>
      </w:rPr>
      <w:tcPr>
        <w:shd w:val="clear" w:color="fde4d0" w:fill="fde4d0" w:themeFill="accent6" w:themeFillTint="40"/>
      </w:tcPr>
    </w:tblStylePr>
    <w:tblStylePr w:type="firstCol">
      <w:rPr>
        <w:b/>
        <w:color w:val="404040"/>
      </w:rPr>
    </w:tblStylePr>
    <w:tblStylePr w:type="firstRow">
      <w:rPr>
        <w:b/>
        <w:color w:val="ffffff"/>
        <w:sz w:val="22"/>
      </w:rPr>
      <w:tcPr>
        <w:shd w:val="clear" w:color="f79646" w:fill="f79646" w:themeFill="accent6"/>
      </w:tcPr>
    </w:tblStylePr>
    <w:tblStylePr w:type="lastCol">
      <w:rPr>
        <w:b/>
        <w:color w:val="404040"/>
      </w:rPr>
    </w:tblStylePr>
    <w:tblStylePr w:type="lastRow">
      <w:rPr>
        <w:b/>
        <w:color w:val="404040"/>
      </w:rPr>
    </w:tblStylePr>
  </w:style>
  <w:style w:type="table" w:styleId="1277">
    <w:name w:val="List Table 5 Dark"/>
    <w:basedOn w:val="772"/>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band1Horz">
      <w:tcPr>
        <w:shd w:val="clear" w:color="7f7f7f" w:fill="7f7f7f" w:themeFill="text1" w:themeFillTint="80"/>
        <w:tcBorders>
          <w:top w:val="single" w:color="FFFFFF" w:themeColor="light1" w:sz="4" w:space="0"/>
          <w:bottom w:val="single" w:color="FFFFFF" w:themeColor="light1" w:sz="4" w:space="0"/>
        </w:tcBorders>
      </w:tcPr>
    </w:tblStylePr>
    <w:tblStylePr w:type="band1Vert">
      <w:tcPr>
        <w:shd w:val="clear" w:color="7f7f7f" w:fill="7f7f7f" w:themeFill="text1" w:themeFillTint="80"/>
        <w:tcBorders>
          <w:left w:val="single" w:color="FFFFFF" w:themeColor="light1" w:sz="4" w:space="0"/>
          <w:right w:val="single" w:color="FFFFFF" w:themeColor="light1" w:sz="4" w:space="0"/>
        </w:tcBorders>
      </w:tcPr>
    </w:tblStylePr>
    <w:tblStylePr w:type="band2Horz">
      <w:tcPr>
        <w:shd w:val="clear" w:color="7f7f7f"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b/>
        <w:color w:val="ffffff" w:themeColor="light1"/>
        <w:sz w:val="22"/>
      </w:rPr>
      <w:tcPr>
        <w:tcBorders>
          <w:left w:val="single" w:color="000000" w:themeColor="text1" w:sz="32" w:space="0"/>
          <w:right w:val="single" w:color="FFFFFF" w:themeColor="light1" w:sz="4" w:space="0"/>
        </w:tcBorders>
      </w:tcPr>
    </w:tblStylePr>
    <w:tblStylePr w:type="firstRow">
      <w:rPr>
        <w:b/>
        <w:color w:val="ffffff" w:themeColor="light1"/>
        <w:sz w:val="22"/>
      </w:rPr>
      <w:tcPr>
        <w:shd w:val="clear" w:color="7f7f7f" w:fill="7f7f7f" w:themeFill="text1" w:themeFillTint="80"/>
        <w:tcBorders>
          <w:top w:val="single" w:color="000000" w:themeColor="text1" w:sz="32" w:space="0"/>
          <w:bottom w:val="single" w:color="FFFFFF" w:themeColor="light1" w:sz="12" w:space="0"/>
        </w:tcBorders>
      </w:tcPr>
    </w:tblStylePr>
    <w:tblStylePr w:type="lastCol">
      <w:tcPr>
        <w:tcBorders>
          <w:left w:val="single" w:color="FFFFFF" w:themeColor="light1" w:sz="4" w:space="0"/>
          <w:right w:val="single" w:color="000000" w:themeColor="text1" w:sz="32" w:space="0"/>
        </w:tcBorders>
      </w:tcPr>
    </w:tblStylePr>
    <w:tblStylePr w:type="lastRow">
      <w:rPr>
        <w:b/>
        <w:color w:val="ffffff" w:themeColor="light1"/>
        <w:sz w:val="22"/>
      </w:rPr>
    </w:tblStylePr>
  </w:style>
  <w:style w:type="table" w:styleId="1278" w:customStyle="1">
    <w:name w:val="List Table 5 Dark - Accent 1"/>
    <w:basedOn w:val="772"/>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band1Horz">
      <w:tcPr>
        <w:shd w:val="clear" w:color="4f81bd" w:fill="4f81bd" w:themeFill="accent1"/>
        <w:tcBorders>
          <w:top w:val="single" w:color="FFFFFF" w:themeColor="light1" w:sz="4" w:space="0"/>
          <w:bottom w:val="single" w:color="FFFFFF" w:themeColor="light1" w:sz="4" w:space="0"/>
        </w:tcBorders>
      </w:tcPr>
    </w:tblStylePr>
    <w:tblStylePr w:type="band1Vert">
      <w:tcPr>
        <w:shd w:val="clear" w:color="4f81bd" w:fill="4f81bd" w:themeFill="accent1"/>
        <w:tcBorders>
          <w:left w:val="single" w:color="FFFFFF" w:themeColor="light1" w:sz="4" w:space="0"/>
          <w:right w:val="single" w:color="FFFFFF" w:themeColor="light1" w:sz="4" w:space="0"/>
        </w:tcBorders>
      </w:tcPr>
    </w:tblStylePr>
    <w:tblStylePr w:type="band2Horz">
      <w:tcPr>
        <w:shd w:val="clear" w:color="4f81bd" w:fill="4f81bd"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b/>
        <w:color w:val="ffffff" w:themeColor="light1"/>
        <w:sz w:val="22"/>
      </w:rPr>
      <w:tcPr>
        <w:tcBorders>
          <w:left w:val="single" w:color="4F81BD" w:themeColor="accent1" w:sz="32" w:space="0"/>
          <w:right w:val="single" w:color="FFFFFF" w:themeColor="light1" w:sz="4" w:space="0"/>
        </w:tcBorders>
      </w:tcPr>
    </w:tblStylePr>
    <w:tblStylePr w:type="firstRow">
      <w:rPr>
        <w:b/>
        <w:color w:val="ffffff" w:themeColor="light1"/>
        <w:sz w:val="22"/>
      </w:rPr>
      <w:tcPr>
        <w:shd w:val="clear" w:color="4f81bd" w:fill="4f81bd" w:themeFill="accent1"/>
        <w:tcBorders>
          <w:top w:val="single" w:color="4F81BD" w:themeColor="accent1" w:sz="32" w:space="0"/>
          <w:bottom w:val="single" w:color="FFFFFF" w:themeColor="light1" w:sz="12" w:space="0"/>
        </w:tcBorders>
      </w:tcPr>
    </w:tblStylePr>
    <w:tblStylePr w:type="lastCol">
      <w:tcPr>
        <w:tcBorders>
          <w:left w:val="single" w:color="FFFFFF" w:themeColor="light1" w:sz="4" w:space="0"/>
          <w:right w:val="single" w:color="4F81BD" w:themeColor="accent1" w:sz="32" w:space="0"/>
        </w:tcBorders>
      </w:tcPr>
    </w:tblStylePr>
    <w:tblStylePr w:type="lastRow">
      <w:rPr>
        <w:b/>
        <w:color w:val="ffffff" w:themeColor="light1"/>
        <w:sz w:val="22"/>
      </w:rPr>
    </w:tblStylePr>
  </w:style>
  <w:style w:type="table" w:styleId="1279" w:customStyle="1">
    <w:name w:val="List Table 5 Dark - Accent 2"/>
    <w:basedOn w:val="772"/>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tblPr>
    <w:tblStylePr w:type="band1Horz">
      <w:tcPr>
        <w:shd w:val="clear" w:color="d99695" w:fill="d99695" w:themeFill="accent2" w:themeFillTint="97"/>
        <w:tcBorders>
          <w:top w:val="single" w:color="FFFFFF" w:themeColor="light1" w:sz="4" w:space="0"/>
          <w:bottom w:val="single" w:color="FFFFFF" w:themeColor="light1" w:sz="4" w:space="0"/>
        </w:tcBorders>
      </w:tcPr>
    </w:tblStylePr>
    <w:tblStylePr w:type="band1Vert">
      <w:tcPr>
        <w:shd w:val="clear" w:color="d99695" w:fill="d99695" w:themeFill="accent2" w:themeFillTint="97"/>
        <w:tcBorders>
          <w:left w:val="single" w:color="FFFFFF" w:themeColor="light1" w:sz="4" w:space="0"/>
          <w:right w:val="single" w:color="FFFFFF" w:themeColor="light1" w:sz="4" w:space="0"/>
        </w:tcBorders>
      </w:tcPr>
    </w:tblStylePr>
    <w:tblStylePr w:type="band2Horz">
      <w:tcPr>
        <w:shd w:val="clear" w:color="d99695" w:fill="d99695"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b/>
        <w:color w:val="ffffff" w:themeColor="light1"/>
        <w:sz w:val="22"/>
      </w:rPr>
      <w:tcPr>
        <w:tcBorders>
          <w:left w:val="single" w:color="C0504D" w:themeColor="accent2" w:sz="32" w:space="0"/>
          <w:right w:val="single" w:color="FFFFFF" w:themeColor="light1" w:sz="4" w:space="0"/>
        </w:tcBorders>
      </w:tcPr>
    </w:tblStylePr>
    <w:tblStylePr w:type="firstRow">
      <w:rPr>
        <w:b/>
        <w:color w:val="ffffff" w:themeColor="light1"/>
        <w:sz w:val="22"/>
      </w:rPr>
      <w:tcPr>
        <w:shd w:val="clear" w:color="d99695" w:fill="d99695" w:themeFill="accent2" w:themeFillTint="97"/>
        <w:tcBorders>
          <w:top w:val="single" w:color="C0504D" w:themeColor="accent2" w:sz="32" w:space="0"/>
          <w:bottom w:val="single" w:color="FFFFFF" w:themeColor="light1" w:sz="12" w:space="0"/>
        </w:tcBorders>
      </w:tcPr>
    </w:tblStylePr>
    <w:tblStylePr w:type="lastCol">
      <w:tcPr>
        <w:tcBorders>
          <w:left w:val="single" w:color="FFFFFF" w:themeColor="light1" w:sz="4" w:space="0"/>
          <w:right w:val="single" w:color="C0504D" w:themeColor="accent2" w:sz="32" w:space="0"/>
        </w:tcBorders>
      </w:tcPr>
    </w:tblStylePr>
    <w:tblStylePr w:type="lastRow">
      <w:rPr>
        <w:b/>
        <w:color w:val="ffffff" w:themeColor="light1"/>
        <w:sz w:val="22"/>
      </w:rPr>
    </w:tblStylePr>
  </w:style>
  <w:style w:type="table" w:styleId="1280" w:customStyle="1">
    <w:name w:val="List Table 5 Dark - Accent 3"/>
    <w:basedOn w:val="772"/>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tblPr>
    <w:tblStylePr w:type="band1Horz">
      <w:tcPr>
        <w:shd w:val="clear" w:color="c3d69b" w:fill="c3d69b" w:themeFill="accent3" w:themeFillTint="98"/>
        <w:tcBorders>
          <w:top w:val="single" w:color="FFFFFF" w:themeColor="light1" w:sz="4" w:space="0"/>
          <w:bottom w:val="single" w:color="FFFFFF" w:themeColor="light1" w:sz="4" w:space="0"/>
        </w:tcBorders>
      </w:tcPr>
    </w:tblStylePr>
    <w:tblStylePr w:type="band1Vert">
      <w:tcPr>
        <w:shd w:val="clear" w:color="c3d69b" w:fill="c3d69b" w:themeFill="accent3" w:themeFillTint="98"/>
        <w:tcBorders>
          <w:left w:val="single" w:color="FFFFFF" w:themeColor="light1" w:sz="4" w:space="0"/>
          <w:right w:val="single" w:color="FFFFFF" w:themeColor="light1" w:sz="4" w:space="0"/>
        </w:tcBorders>
      </w:tcPr>
    </w:tblStylePr>
    <w:tblStylePr w:type="band2Horz">
      <w:tcPr>
        <w:shd w:val="clear" w:color="c3d69b" w:fill="c3d69b"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b/>
        <w:color w:val="ffffff" w:themeColor="light1"/>
        <w:sz w:val="22"/>
      </w:rPr>
      <w:tcPr>
        <w:tcBorders>
          <w:left w:val="single" w:color="9BBB59" w:themeColor="accent3" w:sz="32" w:space="0"/>
          <w:right w:val="single" w:color="FFFFFF" w:themeColor="light1" w:sz="4" w:space="0"/>
        </w:tcBorders>
      </w:tcPr>
    </w:tblStylePr>
    <w:tblStylePr w:type="firstRow">
      <w:rPr>
        <w:b/>
        <w:color w:val="ffffff" w:themeColor="light1"/>
        <w:sz w:val="22"/>
      </w:rPr>
      <w:tcPr>
        <w:shd w:val="clear" w:color="c3d69b" w:fill="c3d69b" w:themeFill="accent3" w:themeFillTint="98"/>
        <w:tcBorders>
          <w:top w:val="single" w:color="9BBB59" w:themeColor="accent3" w:sz="32" w:space="0"/>
          <w:bottom w:val="single" w:color="FFFFFF" w:themeColor="light1" w:sz="12" w:space="0"/>
        </w:tcBorders>
      </w:tcPr>
    </w:tblStylePr>
    <w:tblStylePr w:type="lastCol">
      <w:tcPr>
        <w:tcBorders>
          <w:left w:val="single" w:color="FFFFFF" w:themeColor="light1" w:sz="4" w:space="0"/>
          <w:right w:val="single" w:color="9BBB59" w:themeColor="accent3" w:sz="32" w:space="0"/>
        </w:tcBorders>
      </w:tcPr>
    </w:tblStylePr>
    <w:tblStylePr w:type="lastRow">
      <w:rPr>
        <w:b/>
        <w:color w:val="ffffff" w:themeColor="light1"/>
        <w:sz w:val="22"/>
      </w:rPr>
    </w:tblStylePr>
  </w:style>
  <w:style w:type="table" w:styleId="1281" w:customStyle="1">
    <w:name w:val="List Table 5 Dark - Accent 4"/>
    <w:basedOn w:val="772"/>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band1Horz">
      <w:tcPr>
        <w:shd w:val="clear" w:color="b2a1c6" w:fill="b2a1c6" w:themeFill="accent4" w:themeFillTint="9A"/>
        <w:tcBorders>
          <w:top w:val="single" w:color="FFFFFF" w:themeColor="light1" w:sz="4" w:space="0"/>
          <w:bottom w:val="single" w:color="FFFFFF" w:themeColor="light1" w:sz="4" w:space="0"/>
        </w:tcBorders>
      </w:tcPr>
    </w:tblStylePr>
    <w:tblStylePr w:type="band1Vert">
      <w:tcPr>
        <w:shd w:val="clear" w:color="b2a1c6" w:fill="b2a1c6" w:themeFill="accent4" w:themeFillTint="9A"/>
        <w:tcBorders>
          <w:left w:val="single" w:color="FFFFFF" w:themeColor="light1" w:sz="4" w:space="0"/>
          <w:right w:val="single" w:color="FFFFFF" w:themeColor="light1" w:sz="4" w:space="0"/>
        </w:tcBorders>
      </w:tcPr>
    </w:tblStylePr>
    <w:tblStylePr w:type="band2Horz">
      <w:tcPr>
        <w:shd w:val="clear" w:color="b2a1c6" w:fill="b2a1c6"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b/>
        <w:color w:val="ffffff" w:themeColor="light1"/>
        <w:sz w:val="22"/>
      </w:rPr>
      <w:tcPr>
        <w:tcBorders>
          <w:left w:val="single" w:color="8064A2" w:themeColor="accent4" w:sz="32" w:space="0"/>
          <w:right w:val="single" w:color="FFFFFF" w:themeColor="light1" w:sz="4" w:space="0"/>
        </w:tcBorders>
      </w:tcPr>
    </w:tblStylePr>
    <w:tblStylePr w:type="firstRow">
      <w:rPr>
        <w:b/>
        <w:color w:val="ffffff" w:themeColor="light1"/>
        <w:sz w:val="22"/>
      </w:rPr>
      <w:tcPr>
        <w:shd w:val="clear" w:color="b2a1c6" w:fill="b2a1c6" w:themeFill="accent4" w:themeFillTint="9A"/>
        <w:tcBorders>
          <w:top w:val="single" w:color="8064A2" w:themeColor="accent4" w:sz="32" w:space="0"/>
          <w:bottom w:val="single" w:color="FFFFFF" w:themeColor="light1" w:sz="12" w:space="0"/>
        </w:tcBorders>
      </w:tcPr>
    </w:tblStylePr>
    <w:tblStylePr w:type="lastCol">
      <w:tcPr>
        <w:tcBorders>
          <w:left w:val="single" w:color="FFFFFF" w:themeColor="light1" w:sz="4" w:space="0"/>
          <w:right w:val="single" w:color="8064A2" w:themeColor="accent4" w:sz="32" w:space="0"/>
        </w:tcBorders>
      </w:tcPr>
    </w:tblStylePr>
    <w:tblStylePr w:type="lastRow">
      <w:rPr>
        <w:b/>
        <w:color w:val="ffffff" w:themeColor="light1"/>
        <w:sz w:val="22"/>
      </w:rPr>
    </w:tblStylePr>
  </w:style>
  <w:style w:type="table" w:styleId="1282" w:customStyle="1">
    <w:name w:val="List Table 5 Dark - Accent 5"/>
    <w:basedOn w:val="772"/>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band1Horz">
      <w:tcPr>
        <w:shd w:val="clear" w:color="92ccdc" w:fill="92ccdc" w:themeFill="accent5" w:themeFillTint="9A"/>
        <w:tcBorders>
          <w:top w:val="single" w:color="FFFFFF" w:themeColor="light1" w:sz="4" w:space="0"/>
          <w:bottom w:val="single" w:color="FFFFFF" w:themeColor="light1" w:sz="4" w:space="0"/>
        </w:tcBorders>
      </w:tcPr>
    </w:tblStylePr>
    <w:tblStylePr w:type="band1Vert">
      <w:tcPr>
        <w:shd w:val="clear" w:color="92ccdc" w:fill="92ccdc" w:themeFill="accent5" w:themeFillTint="9A"/>
        <w:tcBorders>
          <w:left w:val="single" w:color="FFFFFF" w:themeColor="light1" w:sz="4" w:space="0"/>
          <w:right w:val="single" w:color="FFFFFF" w:themeColor="light1" w:sz="4" w:space="0"/>
        </w:tcBorders>
      </w:tcPr>
    </w:tblStylePr>
    <w:tblStylePr w:type="band2Horz">
      <w:tcPr>
        <w:shd w:val="clear" w:color="92ccdc" w:fill="92ccdc"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b/>
        <w:color w:val="ffffff" w:themeColor="light1"/>
        <w:sz w:val="22"/>
      </w:rPr>
      <w:tcPr>
        <w:tcBorders>
          <w:left w:val="single" w:color="4BACC6" w:themeColor="accent5" w:sz="32" w:space="0"/>
          <w:right w:val="single" w:color="FFFFFF" w:themeColor="light1" w:sz="4" w:space="0"/>
        </w:tcBorders>
      </w:tcPr>
    </w:tblStylePr>
    <w:tblStylePr w:type="firstRow">
      <w:rPr>
        <w:b/>
        <w:color w:val="ffffff" w:themeColor="light1"/>
        <w:sz w:val="22"/>
      </w:rPr>
      <w:tcPr>
        <w:shd w:val="clear" w:color="92ccdc" w:fill="92ccdc" w:themeFill="accent5" w:themeFillTint="9A"/>
        <w:tcBorders>
          <w:top w:val="single" w:color="4BACC6" w:themeColor="accent5" w:sz="32" w:space="0"/>
          <w:bottom w:val="single" w:color="FFFFFF" w:themeColor="light1" w:sz="12" w:space="0"/>
        </w:tcBorders>
      </w:tcPr>
    </w:tblStylePr>
    <w:tblStylePr w:type="lastCol">
      <w:tcPr>
        <w:tcBorders>
          <w:left w:val="single" w:color="FFFFFF" w:themeColor="light1" w:sz="4" w:space="0"/>
          <w:right w:val="single" w:color="4BACC6" w:themeColor="accent5" w:sz="32" w:space="0"/>
        </w:tcBorders>
      </w:tcPr>
    </w:tblStylePr>
    <w:tblStylePr w:type="lastRow">
      <w:rPr>
        <w:b/>
        <w:color w:val="ffffff" w:themeColor="light1"/>
        <w:sz w:val="22"/>
      </w:rPr>
    </w:tblStylePr>
  </w:style>
  <w:style w:type="table" w:styleId="1283" w:customStyle="1">
    <w:name w:val="List Table 5 Dark - Accent 6"/>
    <w:basedOn w:val="772"/>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band1Horz">
      <w:tcPr>
        <w:shd w:val="clear" w:color="fac090" w:fill="fac090" w:themeFill="accent6" w:themeFillTint="98"/>
        <w:tcBorders>
          <w:top w:val="single" w:color="FFFFFF" w:themeColor="light1" w:sz="4" w:space="0"/>
          <w:bottom w:val="single" w:color="FFFFFF" w:themeColor="light1" w:sz="4" w:space="0"/>
        </w:tcBorders>
      </w:tcPr>
    </w:tblStylePr>
    <w:tblStylePr w:type="band1Vert">
      <w:tcPr>
        <w:shd w:val="clear" w:color="fac090" w:fill="fac090" w:themeFill="accent6" w:themeFillTint="98"/>
        <w:tcBorders>
          <w:left w:val="single" w:color="FFFFFF" w:themeColor="light1" w:sz="4" w:space="0"/>
          <w:right w:val="single" w:color="FFFFFF" w:themeColor="light1" w:sz="4" w:space="0"/>
        </w:tcBorders>
      </w:tcPr>
    </w:tblStylePr>
    <w:tblStylePr w:type="band2Horz">
      <w:tcPr>
        <w:shd w:val="clear" w:color="fac090" w:fill="fac090"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b/>
        <w:color w:val="ffffff" w:themeColor="light1"/>
        <w:sz w:val="22"/>
      </w:rPr>
      <w:tcPr>
        <w:tcBorders>
          <w:left w:val="single" w:color="F79646" w:themeColor="accent6" w:sz="32" w:space="0"/>
          <w:right w:val="single" w:color="FFFFFF" w:themeColor="light1" w:sz="4" w:space="0"/>
        </w:tcBorders>
      </w:tcPr>
    </w:tblStylePr>
    <w:tblStylePr w:type="firstRow">
      <w:rPr>
        <w:b/>
        <w:color w:val="ffffff" w:themeColor="light1"/>
        <w:sz w:val="22"/>
      </w:rPr>
      <w:tcPr>
        <w:shd w:val="clear" w:color="fac090" w:fill="fac090" w:themeFill="accent6" w:themeFillTint="98"/>
        <w:tcBorders>
          <w:top w:val="single" w:color="F79646" w:themeColor="accent6" w:sz="32" w:space="0"/>
          <w:bottom w:val="single" w:color="FFFFFF" w:themeColor="light1" w:sz="12" w:space="0"/>
        </w:tcBorders>
      </w:tcPr>
    </w:tblStylePr>
    <w:tblStylePr w:type="lastCol">
      <w:tcPr>
        <w:tcBorders>
          <w:left w:val="single" w:color="FFFFFF" w:themeColor="light1" w:sz="4" w:space="0"/>
          <w:right w:val="single" w:color="F79646" w:themeColor="accent6" w:sz="32" w:space="0"/>
        </w:tcBorders>
      </w:tcPr>
    </w:tblStylePr>
    <w:tblStylePr w:type="lastRow">
      <w:rPr>
        <w:b/>
        <w:color w:val="ffffff" w:themeColor="light1"/>
        <w:sz w:val="22"/>
      </w:rPr>
    </w:tblStylePr>
  </w:style>
  <w:style w:type="table" w:styleId="1284">
    <w:name w:val="List Table 6 Colorful"/>
    <w:basedOn w:val="772"/>
    <w:uiPriority w:val="99"/>
    <w:tblPr>
      <w:tblStyleRowBandSize w:val="1"/>
      <w:tblStyleColBandSize w:val="1"/>
      <w:tblBorders>
        <w:top w:val="single" w:color="7F7F7F" w:themeColor="text1" w:themeTint="80" w:sz="4" w:space="0"/>
        <w:bottom w:val="single" w:color="7F7F7F" w:themeColor="text1" w:themeTint="80" w:sz="4" w:space="0"/>
      </w:tblBorders>
    </w:tblPr>
    <w:tblStylePr w:type="band1Horz">
      <w:rPr>
        <w:color w:val="000000" w:themeColor="text1"/>
        <w:sz w:val="22"/>
      </w:rPr>
      <w:tcPr>
        <w:shd w:val="clear" w:color="bfbfbf" w:fill="bfbfbf" w:themeFill="text1" w:themeFillTint="40"/>
      </w:tcPr>
    </w:tblStylePr>
    <w:tblStylePr w:type="band1Vert">
      <w:tcPr>
        <w:shd w:val="clear" w:color="bfbfbf" w:fill="bfbfbf" w:themeFill="text1" w:themeFillTint="40"/>
      </w:tcPr>
    </w:tblStylePr>
    <w:tblStylePr w:type="band2Horz">
      <w:rPr>
        <w:color w:val="000000" w:themeColor="text1"/>
        <w:sz w:val="22"/>
      </w:rPr>
    </w:tblStylePr>
    <w:tblStylePr w:type="firstCol">
      <w:rPr>
        <w:b/>
        <w:color w:val="000000" w:themeColor="text1"/>
      </w:rPr>
    </w:tblStylePr>
    <w:tblStylePr w:type="firstRow">
      <w:rPr>
        <w:b/>
        <w:color w:val="000000" w:themeColor="text1"/>
      </w:rPr>
      <w:tcPr>
        <w:tcBorders>
          <w:bottom w:val="single" w:color="000000" w:themeColor="text1" w:sz="4" w:space="0"/>
        </w:tcBorders>
      </w:tcPr>
    </w:tblStylePr>
    <w:tblStylePr w:type="lastCol">
      <w:rPr>
        <w:b/>
        <w:color w:val="000000" w:themeColor="text1"/>
      </w:rPr>
    </w:tblStylePr>
    <w:tblStylePr w:type="lastRow">
      <w:rPr>
        <w:b/>
        <w:color w:val="000000" w:themeColor="text1"/>
      </w:rPr>
      <w:tcPr>
        <w:tcBorders>
          <w:top w:val="single" w:color="000000" w:themeColor="text1" w:sz="4" w:space="0"/>
        </w:tcBorders>
      </w:tcPr>
    </w:tblStylePr>
  </w:style>
  <w:style w:type="table" w:styleId="1285" w:customStyle="1">
    <w:name w:val="List Table 6 Colorful - Accent 1"/>
    <w:basedOn w:val="772"/>
    <w:uiPriority w:val="99"/>
    <w:tblPr>
      <w:tblStyleRowBandSize w:val="1"/>
      <w:tblStyleColBandSize w:val="1"/>
      <w:tblBorders>
        <w:top w:val="single" w:color="4F81BD" w:themeColor="accent1" w:sz="4" w:space="0"/>
        <w:bottom w:val="single" w:color="4F81BD" w:themeColor="accent1" w:sz="4" w:space="0"/>
      </w:tblBorders>
    </w:tblPr>
    <w:tblStylePr w:type="band1Horz">
      <w:rPr>
        <w:color w:val="2a4a71" w:themeColor="accent1" w:themeShade="95"/>
        <w:sz w:val="22"/>
      </w:rPr>
      <w:tcPr>
        <w:shd w:val="clear" w:color="d2dfee" w:fill="d2dfee" w:themeFill="accent1" w:themeFillTint="40"/>
      </w:tcPr>
    </w:tblStylePr>
    <w:tblStylePr w:type="band1Vert">
      <w:tcPr>
        <w:shd w:val="clear" w:color="d2dfee" w:fill="d2dfee" w:themeFill="accent1" w:themeFillTint="40"/>
      </w:tcPr>
    </w:tblStylePr>
    <w:tblStylePr w:type="band2Horz">
      <w:rPr>
        <w:color w:val="2a4a71" w:themeColor="accent1" w:themeShade="95"/>
        <w:sz w:val="22"/>
      </w:rPr>
    </w:tblStylePr>
    <w:tblStylePr w:type="firstCol">
      <w:rPr>
        <w:b/>
        <w:color w:val="2a4a71" w:themeColor="accent1" w:themeShade="95"/>
      </w:rPr>
    </w:tblStylePr>
    <w:tblStylePr w:type="firstRow">
      <w:rPr>
        <w:b/>
        <w:color w:val="2a4a71" w:themeColor="accent1" w:themeShade="95"/>
      </w:rPr>
      <w:tcPr>
        <w:tcBorders>
          <w:bottom w:val="single" w:color="4F81BD" w:themeColor="accent1" w:sz="4" w:space="0"/>
        </w:tcBorders>
      </w:tcPr>
    </w:tblStylePr>
    <w:tblStylePr w:type="lastCol">
      <w:rPr>
        <w:b/>
        <w:color w:val="2a4a71" w:themeColor="accent1" w:themeShade="95"/>
      </w:rPr>
    </w:tblStylePr>
    <w:tblStylePr w:type="lastRow">
      <w:rPr>
        <w:b/>
        <w:color w:val="2a4a71" w:themeColor="accent1" w:themeShade="95"/>
      </w:rPr>
      <w:tcPr>
        <w:tcBorders>
          <w:top w:val="single" w:color="4F81BD" w:themeColor="accent1" w:sz="4" w:space="0"/>
        </w:tcBorders>
      </w:tcPr>
    </w:tblStylePr>
  </w:style>
  <w:style w:type="table" w:styleId="1286" w:customStyle="1">
    <w:name w:val="List Table 6 Colorful - Accent 2"/>
    <w:basedOn w:val="772"/>
    <w:uiPriority w:val="99"/>
    <w:tblPr>
      <w:tblStyleRowBandSize w:val="1"/>
      <w:tblStyleColBandSize w:val="1"/>
      <w:tblBorders>
        <w:top w:val="single" w:color="D99695" w:themeColor="accent2" w:themeTint="97" w:sz="4" w:space="0"/>
        <w:bottom w:val="single" w:color="D99695" w:themeColor="accent2" w:themeTint="97" w:sz="4" w:space="0"/>
      </w:tblBorders>
    </w:tblPr>
    <w:tblStylePr w:type="band1Horz">
      <w:rPr>
        <w:color w:val="d99695" w:themeColor="accent2" w:themeTint="97" w:themeShade="95"/>
        <w:sz w:val="22"/>
      </w:rPr>
      <w:tcPr>
        <w:shd w:val="clear" w:color="efd2d2" w:fill="efd2d2" w:themeFill="accent2" w:themeFillTint="40"/>
      </w:tcPr>
    </w:tblStylePr>
    <w:tblStylePr w:type="band1Vert">
      <w:tcPr>
        <w:shd w:val="clear" w:color="efd2d2" w:fill="efd2d2" w:themeFill="accent2" w:themeFillTint="40"/>
      </w:tcPr>
    </w:tblStylePr>
    <w:tblStylePr w:type="band2Horz">
      <w:rPr>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C0504D" w:themeColor="accent2" w:sz="4" w:space="0"/>
        </w:tcBorders>
      </w:tcPr>
    </w:tblStylePr>
    <w:tblStylePr w:type="lastCol">
      <w:rPr>
        <w:b/>
        <w:color w:val="d99695" w:themeColor="accent2" w:themeTint="97" w:themeShade="95"/>
      </w:rPr>
    </w:tblStylePr>
    <w:tblStylePr w:type="lastRow">
      <w:rPr>
        <w:b/>
        <w:color w:val="d99695" w:themeColor="accent2" w:themeTint="97" w:themeShade="95"/>
      </w:rPr>
      <w:tcPr>
        <w:tcBorders>
          <w:top w:val="single" w:color="C0504D" w:themeColor="accent2" w:sz="4" w:space="0"/>
        </w:tcBorders>
      </w:tcPr>
    </w:tblStylePr>
  </w:style>
  <w:style w:type="table" w:styleId="1287" w:customStyle="1">
    <w:name w:val="List Table 6 Colorful - Accent 3"/>
    <w:basedOn w:val="772"/>
    <w:uiPriority w:val="99"/>
    <w:tblPr>
      <w:tblStyleRowBandSize w:val="1"/>
      <w:tblStyleColBandSize w:val="1"/>
      <w:tblBorders>
        <w:top w:val="single" w:color="C3D69B" w:themeColor="accent3" w:themeTint="98" w:sz="4" w:space="0"/>
        <w:bottom w:val="single" w:color="C3D69B" w:themeColor="accent3" w:themeTint="98" w:sz="4" w:space="0"/>
      </w:tblBorders>
    </w:tblPr>
    <w:tblStylePr w:type="band1Horz">
      <w:rPr>
        <w:color w:val="c3d69b" w:themeColor="accent3" w:themeTint="98" w:themeShade="95"/>
        <w:sz w:val="22"/>
      </w:rPr>
      <w:tcPr>
        <w:shd w:val="clear" w:color="e5eed5" w:fill="e5eed5" w:themeFill="accent3" w:themeFillTint="40"/>
      </w:tcPr>
    </w:tblStylePr>
    <w:tblStylePr w:type="band1Vert">
      <w:tcPr>
        <w:shd w:val="clear" w:color="e5eed5" w:fill="e5eed5" w:themeFill="accent3" w:themeFillTint="40"/>
      </w:tcPr>
    </w:tblStylePr>
    <w:tblStylePr w:type="band2Horz">
      <w:rPr>
        <w:color w:val="c3d69b" w:themeColor="accent3" w:themeTint="98" w:themeShade="95"/>
        <w:sz w:val="22"/>
      </w:rPr>
    </w:tblStylePr>
    <w:tblStylePr w:type="firstCol">
      <w:rPr>
        <w:b/>
        <w:color w:val="c3d69b" w:themeColor="accent3" w:themeTint="98" w:themeShade="95"/>
      </w:rPr>
    </w:tblStylePr>
    <w:tblStylePr w:type="firstRow">
      <w:rPr>
        <w:b/>
        <w:color w:val="c3d69b" w:themeColor="accent3" w:themeTint="98" w:themeShade="95"/>
      </w:rPr>
      <w:tcPr>
        <w:tcBorders>
          <w:bottom w:val="single" w:color="9BBB59" w:themeColor="accent3" w:sz="4" w:space="0"/>
        </w:tcBorders>
      </w:tcPr>
    </w:tblStylePr>
    <w:tblStylePr w:type="lastCol">
      <w:rPr>
        <w:b/>
        <w:color w:val="c3d69b" w:themeColor="accent3" w:themeTint="98" w:themeShade="95"/>
      </w:rPr>
    </w:tblStylePr>
    <w:tblStylePr w:type="lastRow">
      <w:rPr>
        <w:b/>
        <w:color w:val="c3d69b" w:themeColor="accent3" w:themeTint="98" w:themeShade="95"/>
      </w:rPr>
      <w:tcPr>
        <w:tcBorders>
          <w:top w:val="single" w:color="9BBB59" w:themeColor="accent3" w:sz="4" w:space="0"/>
        </w:tcBorders>
      </w:tcPr>
    </w:tblStylePr>
  </w:style>
  <w:style w:type="table" w:styleId="1288" w:customStyle="1">
    <w:name w:val="List Table 6 Colorful - Accent 4"/>
    <w:basedOn w:val="772"/>
    <w:uiPriority w:val="99"/>
    <w:tblPr>
      <w:tblStyleRowBandSize w:val="1"/>
      <w:tblStyleColBandSize w:val="1"/>
      <w:tblBorders>
        <w:top w:val="single" w:color="B2A1C6" w:themeColor="accent4" w:themeTint="9A" w:sz="4" w:space="0"/>
        <w:bottom w:val="single" w:color="B2A1C6" w:themeColor="accent4" w:themeTint="9A" w:sz="4" w:space="0"/>
      </w:tblBorders>
    </w:tblPr>
    <w:tblStylePr w:type="band1Horz">
      <w:rPr>
        <w:color w:val="b2a1c6" w:themeColor="accent4" w:themeTint="9A" w:themeShade="95"/>
        <w:sz w:val="22"/>
      </w:rPr>
      <w:tcPr>
        <w:shd w:val="clear" w:color="dfd8e7" w:fill="dfd8e7" w:themeFill="accent4" w:themeFillTint="40"/>
      </w:tcPr>
    </w:tblStylePr>
    <w:tblStylePr w:type="band1Vert">
      <w:tcPr>
        <w:shd w:val="clear" w:color="dfd8e7" w:fill="dfd8e7" w:themeFill="accent4" w:themeFillTint="40"/>
      </w:tcPr>
    </w:tblStylePr>
    <w:tblStylePr w:type="band2Horz">
      <w:rPr>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8064A2" w:themeColor="accent4" w:sz="4" w:space="0"/>
        </w:tcBorders>
      </w:tcPr>
    </w:tblStylePr>
    <w:tblStylePr w:type="lastCol">
      <w:rPr>
        <w:b/>
        <w:color w:val="b2a1c6" w:themeColor="accent4" w:themeTint="9A" w:themeShade="95"/>
      </w:rPr>
    </w:tblStylePr>
    <w:tblStylePr w:type="lastRow">
      <w:rPr>
        <w:b/>
        <w:color w:val="b2a1c6" w:themeColor="accent4" w:themeTint="9A" w:themeShade="95"/>
      </w:rPr>
      <w:tcPr>
        <w:tcBorders>
          <w:top w:val="single" w:color="8064A2" w:themeColor="accent4" w:sz="4" w:space="0"/>
        </w:tcBorders>
      </w:tcPr>
    </w:tblStylePr>
  </w:style>
  <w:style w:type="table" w:styleId="1289" w:customStyle="1">
    <w:name w:val="List Table 6 Colorful - Accent 5"/>
    <w:basedOn w:val="772"/>
    <w:uiPriority w:val="99"/>
    <w:tblPr>
      <w:tblStyleRowBandSize w:val="1"/>
      <w:tblStyleColBandSize w:val="1"/>
      <w:tblBorders>
        <w:top w:val="single" w:color="92CCDC" w:themeColor="accent5" w:themeTint="9A" w:sz="4" w:space="0"/>
        <w:bottom w:val="single" w:color="92CCDC" w:themeColor="accent5" w:themeTint="9A" w:sz="4" w:space="0"/>
      </w:tblBorders>
    </w:tblPr>
    <w:tblStylePr w:type="band1Horz">
      <w:rPr>
        <w:color w:val="92ccdc" w:themeColor="accent5" w:themeTint="9A" w:themeShade="95"/>
        <w:sz w:val="22"/>
      </w:rPr>
      <w:tcPr>
        <w:shd w:val="clear" w:color="d1eaf0" w:fill="d1eaf0" w:themeFill="accent5" w:themeFillTint="40"/>
      </w:tcPr>
    </w:tblStylePr>
    <w:tblStylePr w:type="band1Vert">
      <w:tcPr>
        <w:shd w:val="clear" w:color="d1eaf0" w:fill="d1eaf0" w:themeFill="accent5" w:themeFillTint="40"/>
      </w:tcPr>
    </w:tblStylePr>
    <w:tblStylePr w:type="band2Horz">
      <w:rPr>
        <w:color w:val="92ccdc" w:themeColor="accent5" w:themeTint="9A" w:themeShade="95"/>
        <w:sz w:val="22"/>
      </w:rPr>
    </w:tblStylePr>
    <w:tblStylePr w:type="firstCol">
      <w:rPr>
        <w:b/>
        <w:color w:val="92ccdc" w:themeColor="accent5" w:themeTint="9A" w:themeShade="95"/>
      </w:rPr>
    </w:tblStylePr>
    <w:tblStylePr w:type="firstRow">
      <w:rPr>
        <w:b/>
        <w:color w:val="92ccdc" w:themeColor="accent5" w:themeTint="9A" w:themeShade="95"/>
      </w:rPr>
      <w:tcPr>
        <w:tcBorders>
          <w:bottom w:val="single" w:color="4BACC6" w:themeColor="accent5" w:sz="4" w:space="0"/>
        </w:tcBorders>
      </w:tcPr>
    </w:tblStylePr>
    <w:tblStylePr w:type="lastCol">
      <w:rPr>
        <w:b/>
        <w:color w:val="92ccdc" w:themeColor="accent5" w:themeTint="9A" w:themeShade="95"/>
      </w:rPr>
    </w:tblStylePr>
    <w:tblStylePr w:type="lastRow">
      <w:rPr>
        <w:b/>
        <w:color w:val="92ccdc" w:themeColor="accent5" w:themeTint="9A" w:themeShade="95"/>
      </w:rPr>
      <w:tcPr>
        <w:tcBorders>
          <w:top w:val="single" w:color="4BACC6" w:themeColor="accent5" w:sz="4" w:space="0"/>
        </w:tcBorders>
      </w:tcPr>
    </w:tblStylePr>
  </w:style>
  <w:style w:type="table" w:styleId="1290" w:customStyle="1">
    <w:name w:val="List Table 6 Colorful - Accent 6"/>
    <w:basedOn w:val="772"/>
    <w:uiPriority w:val="99"/>
    <w:tblPr>
      <w:tblStyleRowBandSize w:val="1"/>
      <w:tblStyleColBandSize w:val="1"/>
      <w:tblBorders>
        <w:top w:val="single" w:color="FAC090" w:themeColor="accent6" w:themeTint="98" w:sz="4" w:space="0"/>
        <w:bottom w:val="single" w:color="FAC090" w:themeColor="accent6" w:themeTint="98" w:sz="4" w:space="0"/>
      </w:tblBorders>
    </w:tblPr>
    <w:tblStylePr w:type="band1Horz">
      <w:rPr>
        <w:color w:val="fac090" w:themeColor="accent6" w:themeTint="98" w:themeShade="95"/>
        <w:sz w:val="22"/>
      </w:rPr>
      <w:tcPr>
        <w:shd w:val="clear" w:color="fde4d0" w:fill="fde4d0" w:themeFill="accent6" w:themeFillTint="40"/>
      </w:tcPr>
    </w:tblStylePr>
    <w:tblStylePr w:type="band1Vert">
      <w:tcPr>
        <w:shd w:val="clear" w:color="fde4d0" w:fill="fde4d0" w:themeFill="accent6" w:themeFillTint="40"/>
      </w:tcPr>
    </w:tblStylePr>
    <w:tblStylePr w:type="band2Horz">
      <w:rPr>
        <w:color w:val="fac090" w:themeColor="accent6" w:themeTint="98" w:themeShade="95"/>
        <w:sz w:val="22"/>
      </w:rPr>
    </w:tblStylePr>
    <w:tblStylePr w:type="firstCol">
      <w:rPr>
        <w:b/>
        <w:color w:val="fac090" w:themeColor="accent6" w:themeTint="98" w:themeShade="95"/>
      </w:rPr>
    </w:tblStylePr>
    <w:tblStylePr w:type="firstRow">
      <w:rPr>
        <w:b/>
        <w:color w:val="fac090" w:themeColor="accent6" w:themeTint="98" w:themeShade="95"/>
      </w:rPr>
      <w:tcPr>
        <w:tcBorders>
          <w:bottom w:val="single" w:color="F79646" w:themeColor="accent6" w:sz="4" w:space="0"/>
        </w:tcBorders>
      </w:tcPr>
    </w:tblStylePr>
    <w:tblStylePr w:type="lastCol">
      <w:rPr>
        <w:b/>
        <w:color w:val="fac090" w:themeColor="accent6" w:themeTint="98" w:themeShade="95"/>
      </w:rPr>
    </w:tblStylePr>
    <w:tblStylePr w:type="lastRow">
      <w:rPr>
        <w:b/>
        <w:color w:val="fac090" w:themeColor="accent6" w:themeTint="98" w:themeShade="95"/>
      </w:rPr>
      <w:tcPr>
        <w:tcBorders>
          <w:top w:val="single" w:color="F79646" w:themeColor="accent6" w:sz="4" w:space="0"/>
        </w:tcBorders>
      </w:tcPr>
    </w:tblStylePr>
  </w:style>
  <w:style w:type="table" w:styleId="1291">
    <w:name w:val="List Table 7 Colorful"/>
    <w:basedOn w:val="772"/>
    <w:uiPriority w:val="99"/>
    <w:tblPr>
      <w:tblStyleRowBandSize w:val="1"/>
      <w:tblStyleColBandSize w:val="1"/>
      <w:tblBorders>
        <w:right w:val="single" w:color="7F7F7F" w:themeColor="text1" w:themeTint="80" w:sz="4" w:space="0"/>
      </w:tblBorders>
    </w:tblPr>
    <w:tblStylePr w:type="band1Horz">
      <w:rPr>
        <w:color w:val="7f7f7f" w:themeColor="text1" w:themeTint="80" w:themeShade="95"/>
        <w:sz w:val="22"/>
      </w:rPr>
      <w:tcPr>
        <w:shd w:val="clear" w:color="bfbfbf" w:fill="bfbfbf" w:themeFill="text1" w:themeFillTint="40"/>
      </w:tcPr>
    </w:tblStylePr>
    <w:tblStylePr w:type="band1Vert">
      <w:tcPr>
        <w:shd w:val="clear" w:color="bfbfbf" w:fill="bfbfbf" w:themeFill="text1" w:themeFillTint="40"/>
      </w:tcPr>
    </w:tblStylePr>
    <w:tblStylePr w:type="band2Horz">
      <w:rPr>
        <w:color w:val="7f7f7f" w:themeColor="text1" w:themeTint="80" w:themeShade="95"/>
        <w:sz w:val="22"/>
      </w:rPr>
    </w:tblStylePr>
    <w:tblStylePr w:type="firstCol">
      <w:rPr>
        <w:i/>
        <w:color w:val="7f7f7f" w:themeColor="text1" w:themeTint="80" w:themeShade="95"/>
        <w:sz w:val="22"/>
      </w:rPr>
      <w:pPr>
        <w:jc w:val="right"/>
      </w:pPr>
      <w:tcPr>
        <w:shd w:val="clear" w:color="ffffff" w:fill="auto"/>
        <w:tcBorders>
          <w:top w:val="none" w:color="000000" w:sz="0" w:space="0"/>
          <w:left w:val="none" w:color="000000" w:sz="0" w:space="0"/>
          <w:bottom w:val="none" w:color="000000" w:sz="0" w:space="0"/>
          <w:right w:val="single" w:color="000000" w:themeColor="text1" w:sz="4" w:space="0"/>
        </w:tcBorders>
      </w:tcPr>
    </w:tblStylePr>
    <w:tblStylePr w:type="firstRow">
      <w:rPr>
        <w:i/>
        <w:color w:val="7f7f7f" w:themeColor="text1" w:themeTint="80" w:themeShade="95"/>
        <w:sz w:val="22"/>
      </w:rPr>
      <w:tcPr>
        <w:shd w:val="clear" w:color="ffffff" w:fill="ffffff" w:themeFill="light1"/>
        <w:tcBorders>
          <w:top w:val="none" w:color="000000" w:sz="0" w:space="0"/>
          <w:left w:val="none" w:color="000000" w:sz="0" w:space="0"/>
          <w:bottom w:val="single" w:color="000000" w:themeColor="text1" w:sz="4" w:space="0"/>
          <w:right w:val="none" w:color="000000" w:sz="0" w:space="0"/>
        </w:tcBorders>
      </w:tcPr>
    </w:tblStylePr>
    <w:tblStylePr w:type="lastCol">
      <w:rPr>
        <w:i/>
        <w:color w:val="7f7f7f" w:themeColor="text1" w:themeTint="80" w:themeShade="95"/>
        <w:sz w:val="22"/>
      </w:rPr>
      <w:tcPr>
        <w:shd w:val="clear" w:color="ffffff" w:fill="auto"/>
        <w:tcBorders>
          <w:top w:val="none" w:color="000000" w:sz="0" w:space="0"/>
          <w:left w:val="single" w:color="000000" w:themeColor="text1" w:sz="4" w:space="0"/>
          <w:bottom w:val="none" w:color="000000" w:sz="0" w:space="0"/>
          <w:right w:val="none" w:color="000000" w:sz="0" w:space="0"/>
        </w:tcBorders>
      </w:tcPr>
    </w:tblStylePr>
    <w:tblStylePr w:type="lastRow">
      <w:rPr>
        <w:i/>
        <w:color w:val="7f7f7f" w:themeColor="text1" w:themeTint="80" w:themeShade="95"/>
        <w:sz w:val="22"/>
      </w:rPr>
      <w:tcPr>
        <w:shd w:val="clear" w:color="ffffff" w:fill="ffffff" w:themeFill="light1"/>
        <w:tcBorders>
          <w:top w:val="single" w:color="000000" w:themeColor="text1" w:sz="4" w:space="0"/>
          <w:left w:val="none" w:color="000000" w:sz="0" w:space="0"/>
          <w:bottom w:val="none" w:color="000000" w:sz="0" w:space="0"/>
          <w:right w:val="none" w:color="000000" w:sz="0" w:space="0"/>
        </w:tcBorders>
      </w:tcPr>
    </w:tblStylePr>
  </w:style>
  <w:style w:type="table" w:styleId="1292" w:customStyle="1">
    <w:name w:val="List Table 7 Colorful - Accent 1"/>
    <w:basedOn w:val="772"/>
    <w:uiPriority w:val="99"/>
    <w:tblPr>
      <w:tblStyleRowBandSize w:val="1"/>
      <w:tblStyleColBandSize w:val="1"/>
      <w:tblBorders>
        <w:right w:val="single" w:color="4F81BD" w:themeColor="accent1" w:sz="4" w:space="0"/>
      </w:tblBorders>
    </w:tblPr>
    <w:tblStylePr w:type="band1Horz">
      <w:rPr>
        <w:color w:val="2a4a71" w:themeColor="accent1" w:themeShade="95"/>
        <w:sz w:val="22"/>
      </w:rPr>
      <w:tcPr>
        <w:shd w:val="clear" w:color="d2dfee" w:fill="d2dfee" w:themeFill="accent1" w:themeFillTint="40"/>
      </w:tcPr>
    </w:tblStylePr>
    <w:tblStylePr w:type="band1Vert">
      <w:tcPr>
        <w:shd w:val="clear" w:color="d2dfee" w:fill="d2dfee" w:themeFill="accent1" w:themeFillTint="40"/>
      </w:tcPr>
    </w:tblStylePr>
    <w:tblStylePr w:type="band2Horz">
      <w:rPr>
        <w:color w:val="2a4a71" w:themeColor="accent1" w:themeShade="95"/>
        <w:sz w:val="22"/>
      </w:rPr>
    </w:tblStylePr>
    <w:tblStylePr w:type="firstCol">
      <w:rPr>
        <w:i/>
        <w:color w:val="2a4a71" w:themeColor="accent1" w:themeShade="95"/>
        <w:sz w:val="22"/>
      </w:rPr>
      <w:pPr>
        <w:jc w:val="right"/>
      </w:pPr>
      <w:tcPr>
        <w:shd w:val="clear" w:color="ffffff" w:fill="auto"/>
        <w:tcBorders>
          <w:top w:val="none" w:color="000000" w:sz="0" w:space="0"/>
          <w:left w:val="none" w:color="000000" w:sz="0" w:space="0"/>
          <w:bottom w:val="none" w:color="000000" w:sz="0" w:space="0"/>
          <w:right w:val="single" w:color="4F81BD" w:themeColor="accent1" w:sz="4" w:space="0"/>
        </w:tcBorders>
      </w:tcPr>
    </w:tblStylePr>
    <w:tblStylePr w:type="firstRow">
      <w:rPr>
        <w:i/>
        <w:color w:val="2a4a71" w:themeColor="accent1" w:themeShade="95"/>
        <w:sz w:val="22"/>
      </w:rPr>
      <w:tcPr>
        <w:shd w:val="clear" w:color="ffffff" w:fill="ffffff" w:themeFill="light1"/>
        <w:tcBorders>
          <w:top w:val="none" w:color="000000" w:sz="0" w:space="0"/>
          <w:left w:val="none" w:color="000000" w:sz="0" w:space="0"/>
          <w:bottom w:val="single" w:color="4F81BD" w:themeColor="accent1" w:sz="4" w:space="0"/>
          <w:right w:val="none" w:color="000000" w:sz="0" w:space="0"/>
        </w:tcBorders>
      </w:tcPr>
    </w:tblStylePr>
    <w:tblStylePr w:type="lastCol">
      <w:rPr>
        <w:i/>
        <w:color w:val="2a4a71" w:themeColor="accent1" w:themeShade="95"/>
        <w:sz w:val="22"/>
      </w:rPr>
      <w:tcPr>
        <w:shd w:val="clear" w:color="ffffff" w:fill="auto"/>
        <w:tcBorders>
          <w:top w:val="none" w:color="000000" w:sz="0" w:space="0"/>
          <w:left w:val="single" w:color="4F81BD" w:themeColor="accent1" w:sz="4" w:space="0"/>
          <w:bottom w:val="none" w:color="000000" w:sz="0" w:space="0"/>
          <w:right w:val="none" w:color="000000" w:sz="0" w:space="0"/>
        </w:tcBorders>
      </w:tcPr>
    </w:tblStylePr>
    <w:tblStylePr w:type="lastRow">
      <w:rPr>
        <w:i/>
        <w:color w:val="2a4a71" w:themeColor="accent1" w:themeShade="95"/>
        <w:sz w:val="22"/>
      </w:rPr>
      <w:tcPr>
        <w:shd w:val="clear" w:color="ffffff" w:fill="ffffff" w:themeFill="light1"/>
        <w:tcBorders>
          <w:top w:val="single" w:color="4F81BD" w:themeColor="accent1" w:sz="4" w:space="0"/>
          <w:left w:val="none" w:color="000000" w:sz="0" w:space="0"/>
          <w:bottom w:val="none" w:color="000000" w:sz="0" w:space="0"/>
          <w:right w:val="none" w:color="000000" w:sz="0" w:space="0"/>
        </w:tcBorders>
      </w:tcPr>
    </w:tblStylePr>
  </w:style>
  <w:style w:type="table" w:styleId="1293" w:customStyle="1">
    <w:name w:val="List Table 7 Colorful - Accent 2"/>
    <w:basedOn w:val="772"/>
    <w:uiPriority w:val="99"/>
    <w:tblPr>
      <w:tblStyleRowBandSize w:val="1"/>
      <w:tblStyleColBandSize w:val="1"/>
      <w:tblBorders>
        <w:right w:val="single" w:color="D99695" w:themeColor="accent2" w:themeTint="97" w:sz="4" w:space="0"/>
      </w:tblBorders>
    </w:tblPr>
    <w:tblStylePr w:type="band1Horz">
      <w:rPr>
        <w:color w:val="d99695" w:themeColor="accent2" w:themeTint="97" w:themeShade="95"/>
        <w:sz w:val="22"/>
      </w:rPr>
      <w:tcPr>
        <w:shd w:val="clear" w:color="efd2d2" w:fill="efd2d2" w:themeFill="accent2" w:themeFillTint="40"/>
      </w:tcPr>
    </w:tblStylePr>
    <w:tblStylePr w:type="band1Vert">
      <w:tcPr>
        <w:shd w:val="clear" w:color="efd2d2" w:fill="efd2d2" w:themeFill="accent2" w:themeFillTint="40"/>
      </w:tcPr>
    </w:tblStylePr>
    <w:tblStylePr w:type="band2Horz">
      <w:rPr>
        <w:color w:val="d99695" w:themeColor="accent2" w:themeTint="97" w:themeShade="95"/>
        <w:sz w:val="22"/>
      </w:rPr>
    </w:tblStylePr>
    <w:tblStylePr w:type="firstCol">
      <w:rPr>
        <w:i/>
        <w:color w:val="d99695" w:themeColor="accent2" w:themeTint="97" w:themeShade="95"/>
        <w:sz w:val="22"/>
      </w:rPr>
      <w:pPr>
        <w:jc w:val="right"/>
      </w:pPr>
      <w:tcPr>
        <w:shd w:val="clear" w:color="ffffff" w:fill="auto"/>
        <w:tcBorders>
          <w:top w:val="none" w:color="000000" w:sz="0" w:space="0"/>
          <w:left w:val="none" w:color="000000" w:sz="0" w:space="0"/>
          <w:bottom w:val="none" w:color="000000" w:sz="0" w:space="0"/>
          <w:right w:val="single" w:color="C0504D" w:themeColor="accent2" w:sz="4" w:space="0"/>
        </w:tcBorders>
      </w:tcPr>
    </w:tblStylePr>
    <w:tblStylePr w:type="firstRow">
      <w:rPr>
        <w:i/>
        <w:color w:val="d99695" w:themeColor="accent2" w:themeTint="97" w:themeShade="95"/>
        <w:sz w:val="22"/>
      </w:rPr>
      <w:tcPr>
        <w:shd w:val="clear" w:color="ffffff" w:fill="ffffff" w:themeFill="light1"/>
        <w:tcBorders>
          <w:top w:val="none" w:color="000000" w:sz="0" w:space="0"/>
          <w:left w:val="none" w:color="000000" w:sz="0" w:space="0"/>
          <w:bottom w:val="single" w:color="C0504D" w:themeColor="accent2" w:sz="4" w:space="0"/>
          <w:right w:val="none" w:color="000000" w:sz="0" w:space="0"/>
        </w:tcBorders>
      </w:tcPr>
    </w:tblStylePr>
    <w:tblStylePr w:type="lastCol">
      <w:rPr>
        <w:i/>
        <w:color w:val="d99695" w:themeColor="accent2" w:themeTint="97" w:themeShade="95"/>
        <w:sz w:val="22"/>
      </w:rPr>
      <w:tcPr>
        <w:shd w:val="clear" w:color="ffffff" w:fill="auto"/>
        <w:tcBorders>
          <w:top w:val="none" w:color="000000" w:sz="0" w:space="0"/>
          <w:left w:val="single" w:color="C0504D" w:themeColor="accent2" w:sz="4" w:space="0"/>
          <w:bottom w:val="none" w:color="000000" w:sz="0" w:space="0"/>
          <w:right w:val="none" w:color="000000" w:sz="0" w:space="0"/>
        </w:tcBorders>
      </w:tcPr>
    </w:tblStylePr>
    <w:tblStylePr w:type="lastRow">
      <w:rPr>
        <w:i/>
        <w:color w:val="d99695" w:themeColor="accent2" w:themeTint="97" w:themeShade="95"/>
        <w:sz w:val="22"/>
      </w:rPr>
      <w:tcPr>
        <w:shd w:val="clear" w:color="ffffff" w:fill="ffffff" w:themeFill="light1"/>
        <w:tcBorders>
          <w:top w:val="single" w:color="C0504D" w:themeColor="accent2" w:sz="4" w:space="0"/>
          <w:left w:val="none" w:color="000000" w:sz="0" w:space="0"/>
          <w:bottom w:val="none" w:color="000000" w:sz="0" w:space="0"/>
          <w:right w:val="none" w:color="000000" w:sz="0" w:space="0"/>
        </w:tcBorders>
      </w:tcPr>
    </w:tblStylePr>
  </w:style>
  <w:style w:type="table" w:styleId="1294" w:customStyle="1">
    <w:name w:val="List Table 7 Colorful - Accent 3"/>
    <w:basedOn w:val="772"/>
    <w:uiPriority w:val="99"/>
    <w:tblPr>
      <w:tblStyleRowBandSize w:val="1"/>
      <w:tblStyleColBandSize w:val="1"/>
      <w:tblBorders>
        <w:right w:val="single" w:color="C3D69B" w:themeColor="accent3" w:themeTint="98" w:sz="4" w:space="0"/>
      </w:tblBorders>
    </w:tblPr>
    <w:tblStylePr w:type="band1Horz">
      <w:rPr>
        <w:color w:val="c3d69b" w:themeColor="accent3" w:themeTint="98" w:themeShade="95"/>
        <w:sz w:val="22"/>
      </w:rPr>
      <w:tcPr>
        <w:shd w:val="clear" w:color="e5eed5" w:fill="e5eed5" w:themeFill="accent3" w:themeFillTint="40"/>
      </w:tcPr>
    </w:tblStylePr>
    <w:tblStylePr w:type="band1Vert">
      <w:tcPr>
        <w:shd w:val="clear" w:color="e5eed5" w:fill="e5eed5" w:themeFill="accent3" w:themeFillTint="40"/>
      </w:tcPr>
    </w:tblStylePr>
    <w:tblStylePr w:type="band2Horz">
      <w:rPr>
        <w:color w:val="c3d69b" w:themeColor="accent3" w:themeTint="98" w:themeShade="95"/>
        <w:sz w:val="22"/>
      </w:rPr>
    </w:tblStylePr>
    <w:tblStylePr w:type="firstCol">
      <w:rPr>
        <w:i/>
        <w:color w:val="c3d69b" w:themeColor="accent3" w:themeTint="98" w:themeShade="95"/>
        <w:sz w:val="22"/>
      </w:rPr>
      <w:pPr>
        <w:jc w:val="right"/>
      </w:pPr>
      <w:tcPr>
        <w:shd w:val="clear" w:color="ffffff" w:fill="auto"/>
        <w:tcBorders>
          <w:top w:val="none" w:color="000000" w:sz="0" w:space="0"/>
          <w:left w:val="none" w:color="000000" w:sz="0" w:space="0"/>
          <w:bottom w:val="none" w:color="000000" w:sz="0" w:space="0"/>
          <w:right w:val="single" w:color="9BBB59" w:themeColor="accent3" w:sz="4" w:space="0"/>
        </w:tcBorders>
      </w:tcPr>
    </w:tblStylePr>
    <w:tblStylePr w:type="firstRow">
      <w:rPr>
        <w:i/>
        <w:color w:val="c3d69b" w:themeColor="accent3" w:themeTint="98" w:themeShade="95"/>
        <w:sz w:val="22"/>
      </w:rPr>
      <w:tcPr>
        <w:shd w:val="clear" w:color="ffffff" w:fill="ffffff" w:themeFill="light1"/>
        <w:tcBorders>
          <w:top w:val="none" w:color="000000" w:sz="0" w:space="0"/>
          <w:left w:val="none" w:color="000000" w:sz="0" w:space="0"/>
          <w:bottom w:val="single" w:color="9BBB59" w:themeColor="accent3" w:sz="4" w:space="0"/>
          <w:right w:val="none" w:color="000000" w:sz="0" w:space="0"/>
        </w:tcBorders>
      </w:tcPr>
    </w:tblStylePr>
    <w:tblStylePr w:type="lastCol">
      <w:rPr>
        <w:i/>
        <w:color w:val="c3d69b" w:themeColor="accent3" w:themeTint="98" w:themeShade="95"/>
        <w:sz w:val="22"/>
      </w:rPr>
      <w:tcPr>
        <w:shd w:val="clear" w:color="ffffff" w:fill="auto"/>
        <w:tcBorders>
          <w:top w:val="none" w:color="000000" w:sz="0" w:space="0"/>
          <w:left w:val="single" w:color="9BBB59" w:themeColor="accent3" w:sz="4" w:space="0"/>
          <w:bottom w:val="none" w:color="000000" w:sz="0" w:space="0"/>
          <w:right w:val="none" w:color="000000" w:sz="0" w:space="0"/>
        </w:tcBorders>
      </w:tcPr>
    </w:tblStylePr>
    <w:tblStylePr w:type="lastRow">
      <w:rPr>
        <w:i/>
        <w:color w:val="c3d69b" w:themeColor="accent3" w:themeTint="98" w:themeShade="95"/>
        <w:sz w:val="22"/>
      </w:rPr>
      <w:tcPr>
        <w:shd w:val="clear" w:color="ffffff" w:fill="ffffff" w:themeFill="light1"/>
        <w:tcBorders>
          <w:top w:val="single" w:color="9BBB59" w:themeColor="accent3" w:sz="4" w:space="0"/>
          <w:left w:val="none" w:color="000000" w:sz="0" w:space="0"/>
          <w:bottom w:val="none" w:color="000000" w:sz="0" w:space="0"/>
          <w:right w:val="none" w:color="000000" w:sz="0" w:space="0"/>
        </w:tcBorders>
      </w:tcPr>
    </w:tblStylePr>
  </w:style>
  <w:style w:type="table" w:styleId="1295" w:customStyle="1">
    <w:name w:val="List Table 7 Colorful - Accent 4"/>
    <w:basedOn w:val="772"/>
    <w:uiPriority w:val="99"/>
    <w:tblPr>
      <w:tblStyleRowBandSize w:val="1"/>
      <w:tblStyleColBandSize w:val="1"/>
      <w:tblBorders>
        <w:right w:val="single" w:color="B2A1C6" w:themeColor="accent4" w:themeTint="9A" w:sz="4" w:space="0"/>
      </w:tblBorders>
    </w:tblPr>
    <w:tblStylePr w:type="band1Horz">
      <w:rPr>
        <w:color w:val="b2a1c6" w:themeColor="accent4" w:themeTint="9A" w:themeShade="95"/>
        <w:sz w:val="22"/>
      </w:rPr>
      <w:tcPr>
        <w:shd w:val="clear" w:color="dfd8e7" w:fill="dfd8e7" w:themeFill="accent4" w:themeFillTint="40"/>
      </w:tcPr>
    </w:tblStylePr>
    <w:tblStylePr w:type="band1Vert">
      <w:tcPr>
        <w:shd w:val="clear" w:color="dfd8e7" w:fill="dfd8e7" w:themeFill="accent4" w:themeFillTint="40"/>
      </w:tcPr>
    </w:tblStylePr>
    <w:tblStylePr w:type="band2Horz">
      <w:rPr>
        <w:color w:val="b2a1c6" w:themeColor="accent4" w:themeTint="9A" w:themeShade="95"/>
        <w:sz w:val="22"/>
      </w:rPr>
    </w:tblStylePr>
    <w:tblStylePr w:type="firstCol">
      <w:rPr>
        <w:i/>
        <w:color w:val="b2a1c6" w:themeColor="accent4" w:themeTint="9A" w:themeShade="95"/>
        <w:sz w:val="22"/>
      </w:rPr>
      <w:pPr>
        <w:jc w:val="right"/>
      </w:pPr>
      <w:tcPr>
        <w:shd w:val="clear" w:color="ffffff" w:fill="auto"/>
        <w:tcBorders>
          <w:top w:val="none" w:color="000000" w:sz="0" w:space="0"/>
          <w:left w:val="none" w:color="000000" w:sz="0" w:space="0"/>
          <w:bottom w:val="none" w:color="000000" w:sz="0" w:space="0"/>
          <w:right w:val="single" w:color="8064A2" w:themeColor="accent4" w:sz="4" w:space="0"/>
        </w:tcBorders>
      </w:tcPr>
    </w:tblStylePr>
    <w:tblStylePr w:type="firstRow">
      <w:rPr>
        <w:i/>
        <w:color w:val="b2a1c6" w:themeColor="accent4" w:themeTint="9A" w:themeShade="95"/>
        <w:sz w:val="22"/>
      </w:rPr>
      <w:tcPr>
        <w:shd w:val="clear" w:color="ffffff" w:fill="ffffff" w:themeFill="light1"/>
        <w:tcBorders>
          <w:top w:val="none" w:color="000000" w:sz="0" w:space="0"/>
          <w:left w:val="none" w:color="000000" w:sz="0" w:space="0"/>
          <w:bottom w:val="single" w:color="8064A2" w:themeColor="accent4" w:sz="4" w:space="0"/>
          <w:right w:val="none" w:color="000000" w:sz="0" w:space="0"/>
        </w:tcBorders>
      </w:tcPr>
    </w:tblStylePr>
    <w:tblStylePr w:type="lastCol">
      <w:rPr>
        <w:i/>
        <w:color w:val="b2a1c6" w:themeColor="accent4" w:themeTint="9A" w:themeShade="95"/>
        <w:sz w:val="22"/>
      </w:rPr>
      <w:tcPr>
        <w:shd w:val="clear" w:color="ffffff" w:fill="auto"/>
        <w:tcBorders>
          <w:top w:val="none" w:color="000000" w:sz="0" w:space="0"/>
          <w:left w:val="single" w:color="8064A2" w:themeColor="accent4" w:sz="4" w:space="0"/>
          <w:bottom w:val="none" w:color="000000" w:sz="0" w:space="0"/>
          <w:right w:val="none" w:color="000000" w:sz="0" w:space="0"/>
        </w:tcBorders>
      </w:tcPr>
    </w:tblStylePr>
    <w:tblStylePr w:type="lastRow">
      <w:rPr>
        <w:i/>
        <w:color w:val="b2a1c6" w:themeColor="accent4" w:themeTint="9A" w:themeShade="95"/>
        <w:sz w:val="22"/>
      </w:rPr>
      <w:tcPr>
        <w:shd w:val="clear" w:color="ffffff" w:fill="ffffff" w:themeFill="light1"/>
        <w:tcBorders>
          <w:top w:val="single" w:color="8064A2" w:themeColor="accent4" w:sz="4" w:space="0"/>
          <w:left w:val="none" w:color="000000" w:sz="0" w:space="0"/>
          <w:bottom w:val="none" w:color="000000" w:sz="0" w:space="0"/>
          <w:right w:val="none" w:color="000000" w:sz="0" w:space="0"/>
        </w:tcBorders>
      </w:tcPr>
    </w:tblStylePr>
  </w:style>
  <w:style w:type="table" w:styleId="1296" w:customStyle="1">
    <w:name w:val="List Table 7 Colorful - Accent 5"/>
    <w:basedOn w:val="772"/>
    <w:uiPriority w:val="99"/>
    <w:tblPr>
      <w:tblStyleRowBandSize w:val="1"/>
      <w:tblStyleColBandSize w:val="1"/>
      <w:tblBorders>
        <w:right w:val="single" w:color="92CCDC" w:themeColor="accent5" w:themeTint="9A" w:sz="4" w:space="0"/>
      </w:tblBorders>
    </w:tblPr>
    <w:tblStylePr w:type="band1Horz">
      <w:rPr>
        <w:color w:val="92ccdc" w:themeColor="accent5" w:themeTint="9A" w:themeShade="95"/>
        <w:sz w:val="22"/>
      </w:rPr>
      <w:tcPr>
        <w:shd w:val="clear" w:color="d1eaf0" w:fill="d1eaf0" w:themeFill="accent5" w:themeFillTint="40"/>
      </w:tcPr>
    </w:tblStylePr>
    <w:tblStylePr w:type="band1Vert">
      <w:tcPr>
        <w:shd w:val="clear" w:color="d1eaf0" w:fill="d1eaf0" w:themeFill="accent5" w:themeFillTint="40"/>
      </w:tcPr>
    </w:tblStylePr>
    <w:tblStylePr w:type="band2Horz">
      <w:rPr>
        <w:color w:val="92ccdc" w:themeColor="accent5" w:themeTint="9A" w:themeShade="95"/>
        <w:sz w:val="22"/>
      </w:rPr>
    </w:tblStylePr>
    <w:tblStylePr w:type="firstCol">
      <w:rPr>
        <w:i/>
        <w:color w:val="92ccdc" w:themeColor="accent5" w:themeTint="9A" w:themeShade="95"/>
        <w:sz w:val="22"/>
      </w:rPr>
      <w:pPr>
        <w:jc w:val="right"/>
      </w:pPr>
      <w:tcPr>
        <w:shd w:val="clear" w:color="ffffff" w:fill="auto"/>
        <w:tcBorders>
          <w:top w:val="none" w:color="000000" w:sz="0" w:space="0"/>
          <w:left w:val="none" w:color="000000" w:sz="0" w:space="0"/>
          <w:bottom w:val="none" w:color="000000" w:sz="0" w:space="0"/>
          <w:right w:val="single" w:color="4BACC6" w:themeColor="accent5" w:sz="4" w:space="0"/>
        </w:tcBorders>
      </w:tcPr>
    </w:tblStylePr>
    <w:tblStylePr w:type="firstRow">
      <w:rPr>
        <w:i/>
        <w:color w:val="92ccdc" w:themeColor="accent5" w:themeTint="9A" w:themeShade="95"/>
        <w:sz w:val="22"/>
      </w:rPr>
      <w:tcPr>
        <w:shd w:val="clear" w:color="ffffff" w:fill="ffffff" w:themeFill="light1"/>
        <w:tcBorders>
          <w:top w:val="none" w:color="000000" w:sz="0" w:space="0"/>
          <w:left w:val="none" w:color="000000" w:sz="0" w:space="0"/>
          <w:bottom w:val="single" w:color="4BACC6" w:themeColor="accent5" w:sz="4" w:space="0"/>
          <w:right w:val="none" w:color="000000" w:sz="0" w:space="0"/>
        </w:tcBorders>
      </w:tcPr>
    </w:tblStylePr>
    <w:tblStylePr w:type="lastCol">
      <w:rPr>
        <w:i/>
        <w:color w:val="92ccdc" w:themeColor="accent5" w:themeTint="9A" w:themeShade="95"/>
        <w:sz w:val="22"/>
      </w:rPr>
      <w:tcPr>
        <w:shd w:val="clear" w:color="ffffff" w:fill="auto"/>
        <w:tcBorders>
          <w:top w:val="none" w:color="000000" w:sz="0" w:space="0"/>
          <w:left w:val="single" w:color="4BACC6" w:themeColor="accent5" w:sz="4" w:space="0"/>
          <w:bottom w:val="none" w:color="000000" w:sz="0" w:space="0"/>
          <w:right w:val="none" w:color="000000" w:sz="0" w:space="0"/>
        </w:tcBorders>
      </w:tcPr>
    </w:tblStylePr>
    <w:tblStylePr w:type="lastRow">
      <w:rPr>
        <w:i/>
        <w:color w:val="92ccdc" w:themeColor="accent5" w:themeTint="9A" w:themeShade="95"/>
        <w:sz w:val="22"/>
      </w:rPr>
      <w:tcPr>
        <w:shd w:val="clear" w:color="ffffff" w:fill="ffffff" w:themeFill="light1"/>
        <w:tcBorders>
          <w:top w:val="single" w:color="4BACC6" w:themeColor="accent5" w:sz="4" w:space="0"/>
          <w:left w:val="none" w:color="000000" w:sz="0" w:space="0"/>
          <w:bottom w:val="none" w:color="000000" w:sz="0" w:space="0"/>
          <w:right w:val="none" w:color="000000" w:sz="0" w:space="0"/>
        </w:tcBorders>
      </w:tcPr>
    </w:tblStylePr>
  </w:style>
  <w:style w:type="table" w:styleId="1297" w:customStyle="1">
    <w:name w:val="List Table 7 Colorful - Accent 6"/>
    <w:basedOn w:val="772"/>
    <w:uiPriority w:val="99"/>
    <w:tblPr>
      <w:tblStyleRowBandSize w:val="1"/>
      <w:tblStyleColBandSize w:val="1"/>
      <w:tblBorders>
        <w:right w:val="single" w:color="FAC090" w:themeColor="accent6" w:themeTint="98" w:sz="4" w:space="0"/>
      </w:tblBorders>
    </w:tblPr>
    <w:tblStylePr w:type="band1Horz">
      <w:rPr>
        <w:color w:val="fac090" w:themeColor="accent6" w:themeTint="98" w:themeShade="95"/>
        <w:sz w:val="22"/>
      </w:rPr>
      <w:tcPr>
        <w:shd w:val="clear" w:color="fde4d0" w:fill="fde4d0" w:themeFill="accent6" w:themeFillTint="40"/>
      </w:tcPr>
    </w:tblStylePr>
    <w:tblStylePr w:type="band1Vert">
      <w:tcPr>
        <w:shd w:val="clear" w:color="fde4d0" w:fill="fde4d0" w:themeFill="accent6" w:themeFillTint="40"/>
      </w:tcPr>
    </w:tblStylePr>
    <w:tblStylePr w:type="band2Horz">
      <w:rPr>
        <w:color w:val="fac090" w:themeColor="accent6" w:themeTint="98" w:themeShade="95"/>
        <w:sz w:val="22"/>
      </w:rPr>
    </w:tblStylePr>
    <w:tblStylePr w:type="firstCol">
      <w:rPr>
        <w:i/>
        <w:color w:val="fac090" w:themeColor="accent6" w:themeTint="98" w:themeShade="95"/>
        <w:sz w:val="22"/>
      </w:rPr>
      <w:pPr>
        <w:jc w:val="right"/>
      </w:pPr>
      <w:tcPr>
        <w:shd w:val="clear" w:color="ffffff" w:fill="auto"/>
        <w:tcBorders>
          <w:top w:val="none" w:color="000000" w:sz="0" w:space="0"/>
          <w:left w:val="none" w:color="000000" w:sz="0" w:space="0"/>
          <w:bottom w:val="none" w:color="000000" w:sz="0" w:space="0"/>
          <w:right w:val="single" w:color="F79646" w:themeColor="accent6" w:sz="4" w:space="0"/>
        </w:tcBorders>
      </w:tcPr>
    </w:tblStylePr>
    <w:tblStylePr w:type="firstRow">
      <w:rPr>
        <w:i/>
        <w:color w:val="fac090" w:themeColor="accent6" w:themeTint="98" w:themeShade="95"/>
        <w:sz w:val="22"/>
      </w:rPr>
      <w:tcPr>
        <w:shd w:val="clear" w:color="ffffff" w:fill="ffffff" w:themeFill="light1"/>
        <w:tcBorders>
          <w:top w:val="none" w:color="000000" w:sz="0" w:space="0"/>
          <w:left w:val="none" w:color="000000" w:sz="0" w:space="0"/>
          <w:bottom w:val="single" w:color="F79646" w:themeColor="accent6" w:sz="4" w:space="0"/>
          <w:right w:val="none" w:color="000000" w:sz="0" w:space="0"/>
        </w:tcBorders>
      </w:tcPr>
    </w:tblStylePr>
    <w:tblStylePr w:type="lastCol">
      <w:rPr>
        <w:i/>
        <w:color w:val="fac090" w:themeColor="accent6" w:themeTint="98" w:themeShade="95"/>
        <w:sz w:val="22"/>
      </w:rPr>
      <w:tcPr>
        <w:shd w:val="clear" w:color="ffffff" w:fill="auto"/>
        <w:tcBorders>
          <w:top w:val="none" w:color="000000" w:sz="0" w:space="0"/>
          <w:left w:val="single" w:color="F79646" w:themeColor="accent6" w:sz="4" w:space="0"/>
          <w:bottom w:val="none" w:color="000000" w:sz="0" w:space="0"/>
          <w:right w:val="none" w:color="000000" w:sz="0" w:space="0"/>
        </w:tcBorders>
      </w:tcPr>
    </w:tblStylePr>
    <w:tblStylePr w:type="lastRow">
      <w:rPr>
        <w:i/>
        <w:color w:val="fac090" w:themeColor="accent6" w:themeTint="98" w:themeShade="95"/>
        <w:sz w:val="22"/>
      </w:rPr>
      <w:tcPr>
        <w:shd w:val="clear" w:color="ffffff" w:fill="ffffff" w:themeFill="light1"/>
        <w:tcBorders>
          <w:top w:val="single" w:color="F79646" w:themeColor="accent6" w:sz="4" w:space="0"/>
          <w:left w:val="none" w:color="000000" w:sz="0" w:space="0"/>
          <w:bottom w:val="none" w:color="000000" w:sz="0" w:space="0"/>
          <w:right w:val="none" w:color="000000" w:sz="0" w:space="0"/>
        </w:tcBorders>
      </w:tcPr>
    </w:tblStylePr>
  </w:style>
  <w:style w:type="table" w:styleId="1298" w:customStyle="1">
    <w:name w:val="Lined - Accent"/>
    <w:basedOn w:val="772"/>
    <w:uiPriority w:val="99"/>
    <w:rPr>
      <w:color w:val="404040"/>
    </w:rPr>
    <w:tblPr>
      <w:tblStyleRowBandSize w:val="1"/>
      <w:tblStyleColBandSize w:val="1"/>
    </w:tblPr>
    <w:tblStylePr w:type="band1Horz">
      <w:rPr>
        <w:color w:val="404040"/>
        <w:sz w:val="22"/>
      </w:rPr>
    </w:tblStylePr>
    <w:tblStylePr w:type="band1Vert">
      <w:rPr>
        <w:color w:val="404040"/>
        <w:sz w:val="22"/>
      </w:rPr>
    </w:tblStylePr>
    <w:tblStylePr w:type="band2Horz">
      <w:rPr>
        <w:color w:val="404040"/>
        <w:sz w:val="22"/>
      </w:rPr>
      <w:tcPr>
        <w:shd w:val="clear" w:color="f2f2f2" w:fill="f2f2f2" w:themeFill="text1" w:themeFillTint="0D"/>
      </w:tcPr>
    </w:tblStylePr>
    <w:tblStylePr w:type="band2Vert">
      <w:rPr>
        <w:color w:val="404040"/>
        <w:sz w:val="22"/>
      </w:rPr>
      <w:tcPr>
        <w:shd w:val="clear" w:color="f2f2f2" w:fill="f2f2f2" w:themeFill="text1" w:themeFillTint="0D"/>
      </w:tcPr>
    </w:tblStylePr>
    <w:tblStylePr w:type="firstCol">
      <w:rPr>
        <w:color w:val="f2f2f2"/>
        <w:sz w:val="22"/>
      </w:rPr>
      <w:tcPr>
        <w:shd w:val="clear" w:color="7f7f7f" w:fill="7f7f7f" w:themeFill="text1" w:themeFillTint="80"/>
      </w:tcPr>
    </w:tblStylePr>
    <w:tblStylePr w:type="firstRow">
      <w:rPr>
        <w:color w:val="f2f2f2"/>
        <w:sz w:val="22"/>
      </w:rPr>
      <w:tcPr>
        <w:shd w:val="clear" w:color="7f7f7f" w:fill="7f7f7f" w:themeFill="text1" w:themeFillTint="80"/>
      </w:tcPr>
    </w:tblStylePr>
    <w:tblStylePr w:type="lastCol">
      <w:rPr>
        <w:color w:val="f2f2f2"/>
        <w:sz w:val="22"/>
      </w:rPr>
      <w:tcPr>
        <w:shd w:val="clear" w:color="7f7f7f" w:fill="7f7f7f" w:themeFill="text1" w:themeFillTint="80"/>
      </w:tcPr>
    </w:tblStylePr>
    <w:tblStylePr w:type="lastRow">
      <w:rPr>
        <w:color w:val="f2f2f2"/>
        <w:sz w:val="22"/>
      </w:rPr>
      <w:tcPr>
        <w:shd w:val="clear" w:color="7f7f7f" w:fill="7f7f7f" w:themeFill="text1" w:themeFillTint="80"/>
      </w:tcPr>
    </w:tblStylePr>
  </w:style>
  <w:style w:type="table" w:styleId="1299" w:customStyle="1">
    <w:name w:val="Lined - Accent 1"/>
    <w:basedOn w:val="772"/>
    <w:uiPriority w:val="99"/>
    <w:rPr>
      <w:color w:val="404040"/>
    </w:rPr>
    <w:tblPr>
      <w:tblStyleRowBandSize w:val="1"/>
      <w:tblStyleColBandSize w:val="1"/>
    </w:tblPr>
    <w:tblStylePr w:type="band1Horz">
      <w:rPr>
        <w:color w:val="404040"/>
        <w:sz w:val="22"/>
      </w:rPr>
    </w:tblStylePr>
    <w:tblStylePr w:type="band1Vert">
      <w:rPr>
        <w:color w:val="404040"/>
        <w:sz w:val="22"/>
      </w:rPr>
    </w:tblStylePr>
    <w:tblStylePr w:type="band2Horz">
      <w:rPr>
        <w:color w:val="404040"/>
        <w:sz w:val="22"/>
      </w:rPr>
      <w:tcPr>
        <w:shd w:val="clear" w:color="c7d7ea" w:fill="c7d7ea" w:themeFill="accent1" w:themeFillTint="50"/>
      </w:tcPr>
    </w:tblStylePr>
    <w:tblStylePr w:type="band2Vert">
      <w:rPr>
        <w:color w:val="404040"/>
        <w:sz w:val="22"/>
      </w:rPr>
      <w:tcPr>
        <w:shd w:val="clear" w:color="c7d7ea" w:fill="c7d7ea" w:themeFill="accent1" w:themeFillTint="50"/>
      </w:tcPr>
    </w:tblStylePr>
    <w:tblStylePr w:type="firstCol">
      <w:rPr>
        <w:color w:val="f2f2f2"/>
        <w:sz w:val="22"/>
      </w:rPr>
      <w:tcPr>
        <w:shd w:val="clear" w:color="5d8ac2" w:fill="5d8ac2" w:themeFill="accent1" w:themeFillTint="EA"/>
      </w:tcPr>
    </w:tblStylePr>
    <w:tblStylePr w:type="firstRow">
      <w:rPr>
        <w:color w:val="f2f2f2"/>
        <w:sz w:val="22"/>
      </w:rPr>
      <w:tcPr>
        <w:shd w:val="clear" w:color="5d8ac2" w:fill="5d8ac2" w:themeFill="accent1" w:themeFillTint="EA"/>
      </w:tcPr>
    </w:tblStylePr>
    <w:tblStylePr w:type="lastCol">
      <w:rPr>
        <w:color w:val="f2f2f2"/>
        <w:sz w:val="22"/>
      </w:rPr>
      <w:tcPr>
        <w:shd w:val="clear" w:color="5d8ac2" w:fill="5d8ac2" w:themeFill="accent1" w:themeFillTint="EA"/>
      </w:tcPr>
    </w:tblStylePr>
    <w:tblStylePr w:type="lastRow">
      <w:rPr>
        <w:color w:val="f2f2f2"/>
        <w:sz w:val="22"/>
      </w:rPr>
      <w:tcPr>
        <w:shd w:val="clear" w:color="5d8ac2" w:fill="5d8ac2" w:themeFill="accent1" w:themeFillTint="EA"/>
      </w:tcPr>
    </w:tblStylePr>
  </w:style>
  <w:style w:type="table" w:styleId="1300" w:customStyle="1">
    <w:name w:val="Lined - Accent 2"/>
    <w:basedOn w:val="772"/>
    <w:uiPriority w:val="99"/>
    <w:rPr>
      <w:color w:val="404040"/>
    </w:rPr>
    <w:tblPr>
      <w:tblStyleRowBandSize w:val="1"/>
      <w:tblStyleColBandSize w:val="1"/>
    </w:tblPr>
    <w:tblStylePr w:type="band1Horz">
      <w:rPr>
        <w:color w:val="404040"/>
        <w:sz w:val="22"/>
      </w:rPr>
    </w:tblStylePr>
    <w:tblStylePr w:type="band1Vert">
      <w:rPr>
        <w:color w:val="404040"/>
        <w:sz w:val="22"/>
      </w:rPr>
    </w:tblStylePr>
    <w:tblStylePr w:type="band2Horz">
      <w:rPr>
        <w:color w:val="404040"/>
        <w:sz w:val="22"/>
      </w:rPr>
      <w:tcPr>
        <w:shd w:val="clear" w:color="f2dcdc" w:fill="f2dcdc" w:themeFill="accent2" w:themeFillTint="32"/>
      </w:tcPr>
    </w:tblStylePr>
    <w:tblStylePr w:type="band2Vert">
      <w:rPr>
        <w:color w:val="404040"/>
        <w:sz w:val="22"/>
      </w:rPr>
      <w:tcPr>
        <w:shd w:val="clear" w:color="f2dcdc" w:fill="f2dcdc" w:themeFill="accent2" w:themeFillTint="32"/>
      </w:tcPr>
    </w:tblStylePr>
    <w:tblStylePr w:type="firstCol">
      <w:rPr>
        <w:color w:val="f2f2f2"/>
        <w:sz w:val="22"/>
      </w:rPr>
      <w:tcPr>
        <w:shd w:val="clear" w:color="d99695" w:fill="d99695" w:themeFill="accent2" w:themeFillTint="97"/>
      </w:tcPr>
    </w:tblStylePr>
    <w:tblStylePr w:type="firstRow">
      <w:rPr>
        <w:color w:val="f2f2f2"/>
        <w:sz w:val="22"/>
      </w:rPr>
      <w:tcPr>
        <w:shd w:val="clear" w:color="d99695" w:fill="d99695" w:themeFill="accent2" w:themeFillTint="97"/>
      </w:tcPr>
    </w:tblStylePr>
    <w:tblStylePr w:type="lastCol">
      <w:rPr>
        <w:color w:val="f2f2f2"/>
        <w:sz w:val="22"/>
      </w:rPr>
      <w:tcPr>
        <w:shd w:val="clear" w:color="d99695" w:fill="d99695" w:themeFill="accent2" w:themeFillTint="97"/>
      </w:tcPr>
    </w:tblStylePr>
    <w:tblStylePr w:type="lastRow">
      <w:rPr>
        <w:color w:val="f2f2f2"/>
        <w:sz w:val="22"/>
      </w:rPr>
      <w:tcPr>
        <w:shd w:val="clear" w:color="d99695" w:fill="d99695" w:themeFill="accent2" w:themeFillTint="97"/>
      </w:tcPr>
    </w:tblStylePr>
  </w:style>
  <w:style w:type="table" w:styleId="1301" w:customStyle="1">
    <w:name w:val="Lined - Accent 3"/>
    <w:basedOn w:val="772"/>
    <w:uiPriority w:val="99"/>
    <w:rPr>
      <w:color w:val="404040"/>
    </w:rPr>
    <w:tblPr>
      <w:tblStyleRowBandSize w:val="1"/>
      <w:tblStyleColBandSize w:val="1"/>
    </w:tblPr>
    <w:tblStylePr w:type="band1Horz">
      <w:rPr>
        <w:color w:val="404040"/>
        <w:sz w:val="22"/>
      </w:rPr>
    </w:tblStylePr>
    <w:tblStylePr w:type="band1Vert">
      <w:rPr>
        <w:color w:val="404040"/>
        <w:sz w:val="22"/>
      </w:rPr>
    </w:tblStylePr>
    <w:tblStylePr w:type="band2Horz">
      <w:rPr>
        <w:color w:val="404040"/>
        <w:sz w:val="22"/>
      </w:rPr>
      <w:tcPr>
        <w:shd w:val="clear" w:color="eaf1dc" w:fill="eaf1dc" w:themeFill="accent3" w:themeFillTint="34"/>
      </w:tcPr>
    </w:tblStylePr>
    <w:tblStylePr w:type="band2Vert">
      <w:rPr>
        <w:color w:val="404040"/>
        <w:sz w:val="22"/>
      </w:rPr>
      <w:tcPr>
        <w:shd w:val="clear" w:color="eaf1dc" w:fill="eaf1dc" w:themeFill="accent3" w:themeFillTint="34"/>
      </w:tcPr>
    </w:tblStylePr>
    <w:tblStylePr w:type="firstCol">
      <w:rPr>
        <w:color w:val="f2f2f2"/>
        <w:sz w:val="22"/>
      </w:rPr>
      <w:tcPr>
        <w:shd w:val="clear" w:color="9abb59" w:fill="9abb59" w:themeFill="accent3" w:themeFillTint="FE"/>
      </w:tcPr>
    </w:tblStylePr>
    <w:tblStylePr w:type="firstRow">
      <w:rPr>
        <w:color w:val="f2f2f2"/>
        <w:sz w:val="22"/>
      </w:rPr>
      <w:tcPr>
        <w:shd w:val="clear" w:color="9abb59" w:fill="9abb59" w:themeFill="accent3" w:themeFillTint="FE"/>
      </w:tcPr>
    </w:tblStylePr>
    <w:tblStylePr w:type="lastCol">
      <w:rPr>
        <w:color w:val="f2f2f2"/>
        <w:sz w:val="22"/>
      </w:rPr>
      <w:tcPr>
        <w:shd w:val="clear" w:color="9abb59" w:fill="9abb59" w:themeFill="accent3" w:themeFillTint="FE"/>
      </w:tcPr>
    </w:tblStylePr>
    <w:tblStylePr w:type="lastRow">
      <w:rPr>
        <w:color w:val="f2f2f2"/>
        <w:sz w:val="22"/>
      </w:rPr>
      <w:tcPr>
        <w:shd w:val="clear" w:color="9abb59" w:fill="9abb59" w:themeFill="accent3" w:themeFillTint="FE"/>
      </w:tcPr>
    </w:tblStylePr>
  </w:style>
  <w:style w:type="table" w:styleId="1302" w:customStyle="1">
    <w:name w:val="Lined - Accent 4"/>
    <w:basedOn w:val="772"/>
    <w:uiPriority w:val="99"/>
    <w:rPr>
      <w:color w:val="404040"/>
    </w:rPr>
    <w:tblPr>
      <w:tblStyleRowBandSize w:val="1"/>
      <w:tblStyleColBandSize w:val="1"/>
    </w:tblPr>
    <w:tblStylePr w:type="band1Horz">
      <w:rPr>
        <w:color w:val="404040"/>
        <w:sz w:val="22"/>
      </w:rPr>
    </w:tblStylePr>
    <w:tblStylePr w:type="band1Vert">
      <w:rPr>
        <w:color w:val="404040"/>
        <w:sz w:val="22"/>
      </w:rPr>
    </w:tblStylePr>
    <w:tblStylePr w:type="band2Horz">
      <w:rPr>
        <w:color w:val="404040"/>
        <w:sz w:val="22"/>
      </w:rPr>
      <w:tcPr>
        <w:shd w:val="clear" w:color="e5dfec" w:fill="e5dfec" w:themeFill="accent4" w:themeFillTint="34"/>
      </w:tcPr>
    </w:tblStylePr>
    <w:tblStylePr w:type="band2Vert">
      <w:rPr>
        <w:color w:val="404040"/>
        <w:sz w:val="22"/>
      </w:rPr>
      <w:tcPr>
        <w:shd w:val="clear" w:color="e5dfec" w:fill="e5dfec" w:themeFill="accent4" w:themeFillTint="34"/>
      </w:tcPr>
    </w:tblStylePr>
    <w:tblStylePr w:type="firstCol">
      <w:rPr>
        <w:color w:val="f2f2f2"/>
        <w:sz w:val="22"/>
      </w:rPr>
      <w:tcPr>
        <w:shd w:val="clear" w:color="b2a1c6" w:fill="b2a1c6" w:themeFill="accent4" w:themeFillTint="9A"/>
      </w:tcPr>
    </w:tblStylePr>
    <w:tblStylePr w:type="firstRow">
      <w:rPr>
        <w:color w:val="f2f2f2"/>
        <w:sz w:val="22"/>
      </w:rPr>
      <w:tcPr>
        <w:shd w:val="clear" w:color="b2a1c6" w:fill="b2a1c6" w:themeFill="accent4" w:themeFillTint="9A"/>
      </w:tcPr>
    </w:tblStylePr>
    <w:tblStylePr w:type="lastCol">
      <w:rPr>
        <w:color w:val="f2f2f2"/>
        <w:sz w:val="22"/>
      </w:rPr>
      <w:tcPr>
        <w:shd w:val="clear" w:color="b2a1c6" w:fill="b2a1c6" w:themeFill="accent4" w:themeFillTint="9A"/>
      </w:tcPr>
    </w:tblStylePr>
    <w:tblStylePr w:type="lastRow">
      <w:rPr>
        <w:color w:val="f2f2f2"/>
        <w:sz w:val="22"/>
      </w:rPr>
      <w:tcPr>
        <w:shd w:val="clear" w:color="b2a1c6" w:fill="b2a1c6" w:themeFill="accent4" w:themeFillTint="9A"/>
      </w:tcPr>
    </w:tblStylePr>
  </w:style>
  <w:style w:type="table" w:styleId="1303" w:customStyle="1">
    <w:name w:val="Lined - Accent 5"/>
    <w:basedOn w:val="772"/>
    <w:uiPriority w:val="99"/>
    <w:rPr>
      <w:color w:val="404040"/>
    </w:rPr>
    <w:tblPr>
      <w:tblStyleRowBandSize w:val="1"/>
      <w:tblStyleColBandSize w:val="1"/>
    </w:tblPr>
    <w:tblStylePr w:type="band1Horz">
      <w:rPr>
        <w:color w:val="404040"/>
        <w:sz w:val="22"/>
      </w:rPr>
    </w:tblStylePr>
    <w:tblStylePr w:type="band1Vert">
      <w:rPr>
        <w:color w:val="404040"/>
        <w:sz w:val="22"/>
      </w:rPr>
    </w:tblStylePr>
    <w:tblStylePr w:type="band2Horz">
      <w:rPr>
        <w:color w:val="404040"/>
        <w:sz w:val="22"/>
      </w:rPr>
      <w:tcPr>
        <w:shd w:val="clear" w:color="daeef3" w:fill="daeef3" w:themeFill="accent5" w:themeFillTint="34"/>
      </w:tcPr>
    </w:tblStylePr>
    <w:tblStylePr w:type="band2Vert">
      <w:rPr>
        <w:color w:val="404040"/>
        <w:sz w:val="22"/>
      </w:rPr>
      <w:tcPr>
        <w:shd w:val="clear" w:color="daeef3" w:fill="daeef3" w:themeFill="accent5" w:themeFillTint="34"/>
      </w:tcPr>
    </w:tblStylePr>
    <w:tblStylePr w:type="firstCol">
      <w:rPr>
        <w:color w:val="f2f2f2"/>
        <w:sz w:val="22"/>
      </w:rPr>
      <w:tcPr>
        <w:shd w:val="clear" w:color="4bacc6" w:fill="4bacc6" w:themeFill="accent5"/>
      </w:tcPr>
    </w:tblStylePr>
    <w:tblStylePr w:type="firstRow">
      <w:rPr>
        <w:color w:val="f2f2f2"/>
        <w:sz w:val="22"/>
      </w:rPr>
      <w:tcPr>
        <w:shd w:val="clear" w:color="4bacc6" w:fill="4bacc6" w:themeFill="accent5"/>
      </w:tcPr>
    </w:tblStylePr>
    <w:tblStylePr w:type="lastCol">
      <w:rPr>
        <w:color w:val="f2f2f2"/>
        <w:sz w:val="22"/>
      </w:rPr>
      <w:tcPr>
        <w:shd w:val="clear" w:color="4bacc6" w:fill="4bacc6" w:themeFill="accent5"/>
      </w:tcPr>
    </w:tblStylePr>
    <w:tblStylePr w:type="lastRow">
      <w:rPr>
        <w:color w:val="f2f2f2"/>
        <w:sz w:val="22"/>
      </w:rPr>
      <w:tcPr>
        <w:shd w:val="clear" w:color="4bacc6" w:fill="4bacc6" w:themeFill="accent5"/>
      </w:tcPr>
    </w:tblStylePr>
  </w:style>
  <w:style w:type="table" w:styleId="1304" w:customStyle="1">
    <w:name w:val="Lined - Accent 6"/>
    <w:basedOn w:val="772"/>
    <w:uiPriority w:val="99"/>
    <w:rPr>
      <w:color w:val="404040"/>
    </w:rPr>
    <w:tblPr>
      <w:tblStyleRowBandSize w:val="1"/>
      <w:tblStyleColBandSize w:val="1"/>
    </w:tblPr>
    <w:tblStylePr w:type="band1Horz">
      <w:rPr>
        <w:color w:val="404040"/>
        <w:sz w:val="22"/>
      </w:rPr>
    </w:tblStylePr>
    <w:tblStylePr w:type="band1Vert">
      <w:rPr>
        <w:color w:val="404040"/>
        <w:sz w:val="22"/>
      </w:rPr>
    </w:tblStylePr>
    <w:tblStylePr w:type="band2Horz">
      <w:rPr>
        <w:color w:val="404040"/>
        <w:sz w:val="22"/>
      </w:rPr>
      <w:tcPr>
        <w:shd w:val="clear" w:color="fde9d8" w:fill="fde9d8" w:themeFill="accent6" w:themeFillTint="34"/>
      </w:tcPr>
    </w:tblStylePr>
    <w:tblStylePr w:type="band2Vert">
      <w:rPr>
        <w:color w:val="404040"/>
        <w:sz w:val="22"/>
      </w:rPr>
      <w:tcPr>
        <w:shd w:val="clear" w:color="fde9d8" w:fill="fde9d8" w:themeFill="accent6" w:themeFillTint="34"/>
      </w:tcPr>
    </w:tblStylePr>
    <w:tblStylePr w:type="firstCol">
      <w:rPr>
        <w:color w:val="f2f2f2"/>
        <w:sz w:val="22"/>
      </w:rPr>
      <w:tcPr>
        <w:shd w:val="clear" w:color="f79646" w:fill="f79646" w:themeFill="accent6"/>
      </w:tcPr>
    </w:tblStylePr>
    <w:tblStylePr w:type="firstRow">
      <w:rPr>
        <w:color w:val="f2f2f2"/>
        <w:sz w:val="22"/>
      </w:rPr>
      <w:tcPr>
        <w:shd w:val="clear" w:color="f79646" w:fill="f79646" w:themeFill="accent6"/>
      </w:tcPr>
    </w:tblStylePr>
    <w:tblStylePr w:type="lastCol">
      <w:rPr>
        <w:color w:val="f2f2f2"/>
        <w:sz w:val="22"/>
      </w:rPr>
      <w:tcPr>
        <w:shd w:val="clear" w:color="f79646" w:fill="f79646" w:themeFill="accent6"/>
      </w:tcPr>
    </w:tblStylePr>
    <w:tblStylePr w:type="lastRow">
      <w:rPr>
        <w:color w:val="f2f2f2"/>
        <w:sz w:val="22"/>
      </w:rPr>
      <w:tcPr>
        <w:shd w:val="clear" w:color="f79646" w:fill="f79646" w:themeFill="accent6"/>
      </w:tcPr>
    </w:tblStylePr>
  </w:style>
  <w:style w:type="table" w:styleId="1305" w:customStyle="1">
    <w:name w:val="Bordered &amp; Lined - Accent"/>
    <w:basedOn w:val="772"/>
    <w:uiPriority w:val="99"/>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2f2f2" w:fill="f2f2f2" w:themeFill="text1" w:themeFillTint="0D"/>
      </w:tcPr>
    </w:tblStylePr>
    <w:tblStylePr w:type="band2Vert">
      <w:rPr>
        <w:color w:val="404040"/>
        <w:sz w:val="22"/>
      </w:rPr>
      <w:tcPr>
        <w:shd w:val="clear" w:color="f2f2f2" w:fill="f2f2f2" w:themeFill="text1" w:themeFillTint="0D"/>
      </w:tcPr>
    </w:tblStylePr>
    <w:tblStylePr w:type="firstCol">
      <w:rPr>
        <w:color w:val="f2f2f2"/>
        <w:sz w:val="22"/>
      </w:rPr>
      <w:tcPr>
        <w:shd w:val="clear" w:color="7f7f7f" w:fill="7f7f7f" w:themeFill="text1" w:themeFillTint="80"/>
      </w:tcPr>
    </w:tblStylePr>
    <w:tblStylePr w:type="firstRow">
      <w:rPr>
        <w:color w:val="f2f2f2"/>
        <w:sz w:val="22"/>
      </w:rPr>
      <w:tcPr>
        <w:shd w:val="clear" w:color="7f7f7f" w:fill="7f7f7f" w:themeFill="text1" w:themeFillTint="80"/>
      </w:tcPr>
    </w:tblStylePr>
    <w:tblStylePr w:type="lastCol">
      <w:rPr>
        <w:color w:val="f2f2f2"/>
        <w:sz w:val="22"/>
      </w:rPr>
      <w:tcPr>
        <w:shd w:val="clear" w:color="7f7f7f" w:fill="7f7f7f" w:themeFill="text1" w:themeFillTint="80"/>
      </w:tcPr>
    </w:tblStylePr>
    <w:tblStylePr w:type="lastRow">
      <w:rPr>
        <w:color w:val="f2f2f2"/>
        <w:sz w:val="22"/>
      </w:rPr>
      <w:tcPr>
        <w:shd w:val="clear" w:color="7f7f7f" w:fill="7f7f7f" w:themeFill="text1" w:themeFillTint="80"/>
      </w:tcPr>
    </w:tblStylePr>
  </w:style>
  <w:style w:type="table" w:styleId="1306" w:customStyle="1">
    <w:name w:val="Bordered &amp; Lined - Accent 1"/>
    <w:basedOn w:val="772"/>
    <w:uiPriority w:val="99"/>
    <w:rPr>
      <w:color w:val="404040"/>
    </w:r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c7d7ea" w:fill="c7d7ea" w:themeFill="accent1" w:themeFillTint="50"/>
      </w:tcPr>
    </w:tblStylePr>
    <w:tblStylePr w:type="band2Vert">
      <w:rPr>
        <w:color w:val="404040"/>
        <w:sz w:val="22"/>
      </w:rPr>
      <w:tcPr>
        <w:shd w:val="clear" w:color="c7d7ea" w:fill="c7d7ea" w:themeFill="accent1" w:themeFillTint="50"/>
      </w:tcPr>
    </w:tblStylePr>
    <w:tblStylePr w:type="firstCol">
      <w:rPr>
        <w:color w:val="f2f2f2"/>
        <w:sz w:val="22"/>
      </w:rPr>
      <w:tcPr>
        <w:shd w:val="clear" w:color="5d8ac2" w:fill="5d8ac2" w:themeFill="accent1" w:themeFillTint="EA"/>
      </w:tcPr>
    </w:tblStylePr>
    <w:tblStylePr w:type="firstRow">
      <w:rPr>
        <w:color w:val="f2f2f2"/>
        <w:sz w:val="22"/>
      </w:rPr>
      <w:tcPr>
        <w:shd w:val="clear" w:color="5d8ac2" w:fill="5d8ac2" w:themeFill="accent1" w:themeFillTint="EA"/>
      </w:tcPr>
    </w:tblStylePr>
    <w:tblStylePr w:type="lastCol">
      <w:rPr>
        <w:color w:val="f2f2f2"/>
        <w:sz w:val="22"/>
      </w:rPr>
      <w:tcPr>
        <w:shd w:val="clear" w:color="5d8ac2" w:fill="5d8ac2" w:themeFill="accent1" w:themeFillTint="EA"/>
      </w:tcPr>
    </w:tblStylePr>
    <w:tblStylePr w:type="lastRow">
      <w:rPr>
        <w:color w:val="f2f2f2"/>
        <w:sz w:val="22"/>
      </w:rPr>
      <w:tcPr>
        <w:shd w:val="clear" w:color="5d8ac2" w:fill="5d8ac2" w:themeFill="accent1" w:themeFillTint="EA"/>
      </w:tcPr>
    </w:tblStylePr>
  </w:style>
  <w:style w:type="table" w:styleId="1307" w:customStyle="1">
    <w:name w:val="Bordered &amp; Lined - Accent 2"/>
    <w:basedOn w:val="772"/>
    <w:uiPriority w:val="99"/>
    <w:rPr>
      <w:color w:val="404040"/>
    </w:rPr>
    <w:tblPr>
      <w:tblStyleRowBandSize w:val="1"/>
      <w:tblStyleColBandSize w:val="1"/>
      <w:tblBorders>
        <w:top w:val="single" w:color="C0504D" w:themeColor="accent2" w:sz="4" w:space="0"/>
        <w:left w:val="single" w:color="C0504D" w:themeColor="accent2" w:sz="4" w:space="0"/>
        <w:bottom w:val="single" w:color="C0504D" w:themeColor="accent2" w:sz="4" w:space="0"/>
        <w:right w:val="single" w:color="C0504D" w:themeColor="accent2" w:sz="4" w:space="0"/>
        <w:insideH w:val="single" w:color="C0504D" w:themeColor="accent2" w:sz="4" w:space="0"/>
        <w:insideV w:val="single" w:color="C0504D" w:themeColor="accent2"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2dcdc" w:fill="f2dcdc" w:themeFill="accent2" w:themeFillTint="32"/>
      </w:tcPr>
    </w:tblStylePr>
    <w:tblStylePr w:type="band2Vert">
      <w:rPr>
        <w:color w:val="404040"/>
        <w:sz w:val="22"/>
      </w:rPr>
      <w:tcPr>
        <w:shd w:val="clear" w:color="f2dcdc" w:fill="f2dcdc" w:themeFill="accent2" w:themeFillTint="32"/>
      </w:tcPr>
    </w:tblStylePr>
    <w:tblStylePr w:type="firstCol">
      <w:rPr>
        <w:color w:val="f2f2f2"/>
        <w:sz w:val="22"/>
      </w:rPr>
      <w:tcPr>
        <w:shd w:val="clear" w:color="d99695" w:fill="d99695" w:themeFill="accent2" w:themeFillTint="97"/>
      </w:tcPr>
    </w:tblStylePr>
    <w:tblStylePr w:type="firstRow">
      <w:rPr>
        <w:color w:val="f2f2f2"/>
        <w:sz w:val="22"/>
      </w:rPr>
      <w:tcPr>
        <w:shd w:val="clear" w:color="d99695" w:fill="d99695" w:themeFill="accent2" w:themeFillTint="97"/>
      </w:tcPr>
    </w:tblStylePr>
    <w:tblStylePr w:type="lastCol">
      <w:rPr>
        <w:color w:val="f2f2f2"/>
        <w:sz w:val="22"/>
      </w:rPr>
      <w:tcPr>
        <w:shd w:val="clear" w:color="d99695" w:fill="d99695" w:themeFill="accent2" w:themeFillTint="97"/>
      </w:tcPr>
    </w:tblStylePr>
    <w:tblStylePr w:type="lastRow">
      <w:rPr>
        <w:color w:val="f2f2f2"/>
        <w:sz w:val="22"/>
      </w:rPr>
      <w:tcPr>
        <w:shd w:val="clear" w:color="d99695" w:fill="d99695" w:themeFill="accent2" w:themeFillTint="97"/>
      </w:tcPr>
    </w:tblStylePr>
  </w:style>
  <w:style w:type="table" w:styleId="1308" w:customStyle="1">
    <w:name w:val="Bordered &amp; Lined - Accent 3"/>
    <w:basedOn w:val="772"/>
    <w:uiPriority w:val="99"/>
    <w:rPr>
      <w:color w:val="404040"/>
    </w:rPr>
    <w:tblPr>
      <w:tblStyleRowBandSize w:val="1"/>
      <w:tblStyleColBandSize w:val="1"/>
      <w:tblBorders>
        <w:top w:val="single" w:color="9BBB59" w:themeColor="accent3" w:sz="4" w:space="0"/>
        <w:left w:val="single" w:color="9BBB59" w:themeColor="accent3" w:sz="4" w:space="0"/>
        <w:bottom w:val="single" w:color="9BBB59" w:themeColor="accent3" w:sz="4" w:space="0"/>
        <w:right w:val="single" w:color="9BBB59" w:themeColor="accent3" w:sz="4" w:space="0"/>
        <w:insideH w:val="single" w:color="9BBB59" w:themeColor="accent3" w:sz="4" w:space="0"/>
        <w:insideV w:val="single" w:color="9BBB59" w:themeColor="accent3"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eaf1dc" w:fill="eaf1dc" w:themeFill="accent3" w:themeFillTint="34"/>
      </w:tcPr>
    </w:tblStylePr>
    <w:tblStylePr w:type="band2Vert">
      <w:rPr>
        <w:color w:val="404040"/>
        <w:sz w:val="22"/>
      </w:rPr>
      <w:tcPr>
        <w:shd w:val="clear" w:color="eaf1dc" w:fill="eaf1dc" w:themeFill="accent3" w:themeFillTint="34"/>
      </w:tcPr>
    </w:tblStylePr>
    <w:tblStylePr w:type="firstCol">
      <w:rPr>
        <w:color w:val="f2f2f2"/>
        <w:sz w:val="22"/>
      </w:rPr>
      <w:tcPr>
        <w:shd w:val="clear" w:color="9abb59" w:fill="9abb59" w:themeFill="accent3" w:themeFillTint="FE"/>
      </w:tcPr>
    </w:tblStylePr>
    <w:tblStylePr w:type="firstRow">
      <w:rPr>
        <w:color w:val="f2f2f2"/>
        <w:sz w:val="22"/>
      </w:rPr>
      <w:tcPr>
        <w:shd w:val="clear" w:color="9abb59" w:fill="9abb59" w:themeFill="accent3" w:themeFillTint="FE"/>
      </w:tcPr>
    </w:tblStylePr>
    <w:tblStylePr w:type="lastCol">
      <w:rPr>
        <w:color w:val="f2f2f2"/>
        <w:sz w:val="22"/>
      </w:rPr>
      <w:tcPr>
        <w:shd w:val="clear" w:color="9abb59" w:fill="9abb59" w:themeFill="accent3" w:themeFillTint="FE"/>
      </w:tcPr>
    </w:tblStylePr>
    <w:tblStylePr w:type="lastRow">
      <w:rPr>
        <w:color w:val="f2f2f2"/>
        <w:sz w:val="22"/>
      </w:rPr>
      <w:tcPr>
        <w:shd w:val="clear" w:color="9abb59" w:fill="9abb59" w:themeFill="accent3" w:themeFillTint="FE"/>
      </w:tcPr>
    </w:tblStylePr>
  </w:style>
  <w:style w:type="table" w:styleId="1309" w:customStyle="1">
    <w:name w:val="Bordered &amp; Lined - Accent 4"/>
    <w:basedOn w:val="772"/>
    <w:uiPriority w:val="99"/>
    <w:rPr>
      <w:color w:val="404040"/>
    </w:rPr>
    <w:tblPr>
      <w:tblStyleRowBandSize w:val="1"/>
      <w:tblStyleColBandSize w:val="1"/>
      <w:tblBorders>
        <w:top w:val="single" w:color="8064A2" w:themeColor="accent4" w:sz="4" w:space="0"/>
        <w:left w:val="single" w:color="8064A2" w:themeColor="accent4" w:sz="4" w:space="0"/>
        <w:bottom w:val="single" w:color="8064A2" w:themeColor="accent4" w:sz="4" w:space="0"/>
        <w:right w:val="single" w:color="8064A2" w:themeColor="accent4" w:sz="4" w:space="0"/>
        <w:insideH w:val="single" w:color="8064A2" w:themeColor="accent4" w:sz="4" w:space="0"/>
        <w:insideV w:val="single" w:color="8064A2" w:themeColor="accent4"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e5dfec" w:fill="e5dfec" w:themeFill="accent4" w:themeFillTint="34"/>
      </w:tcPr>
    </w:tblStylePr>
    <w:tblStylePr w:type="band2Vert">
      <w:rPr>
        <w:color w:val="404040"/>
        <w:sz w:val="22"/>
      </w:rPr>
      <w:tcPr>
        <w:shd w:val="clear" w:color="e5dfec" w:fill="e5dfec" w:themeFill="accent4" w:themeFillTint="34"/>
      </w:tcPr>
    </w:tblStylePr>
    <w:tblStylePr w:type="firstCol">
      <w:rPr>
        <w:color w:val="f2f2f2"/>
        <w:sz w:val="22"/>
      </w:rPr>
      <w:tcPr>
        <w:shd w:val="clear" w:color="b2a1c6" w:fill="b2a1c6" w:themeFill="accent4" w:themeFillTint="9A"/>
      </w:tcPr>
    </w:tblStylePr>
    <w:tblStylePr w:type="firstRow">
      <w:rPr>
        <w:color w:val="f2f2f2"/>
        <w:sz w:val="22"/>
      </w:rPr>
      <w:tcPr>
        <w:shd w:val="clear" w:color="b2a1c6" w:fill="b2a1c6" w:themeFill="accent4" w:themeFillTint="9A"/>
      </w:tcPr>
    </w:tblStylePr>
    <w:tblStylePr w:type="lastCol">
      <w:rPr>
        <w:color w:val="f2f2f2"/>
        <w:sz w:val="22"/>
      </w:rPr>
      <w:tcPr>
        <w:shd w:val="clear" w:color="b2a1c6" w:fill="b2a1c6" w:themeFill="accent4" w:themeFillTint="9A"/>
      </w:tcPr>
    </w:tblStylePr>
    <w:tblStylePr w:type="lastRow">
      <w:rPr>
        <w:color w:val="f2f2f2"/>
        <w:sz w:val="22"/>
      </w:rPr>
      <w:tcPr>
        <w:shd w:val="clear" w:color="b2a1c6" w:fill="b2a1c6" w:themeFill="accent4" w:themeFillTint="9A"/>
      </w:tcPr>
    </w:tblStylePr>
  </w:style>
  <w:style w:type="table" w:styleId="1310" w:customStyle="1">
    <w:name w:val="Bordered &amp; Lined - Accent 5"/>
    <w:basedOn w:val="772"/>
    <w:uiPriority w:val="99"/>
    <w:rPr>
      <w:color w:val="404040"/>
    </w:rPr>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daeef3" w:fill="daeef3" w:themeFill="accent5" w:themeFillTint="34"/>
      </w:tcPr>
    </w:tblStylePr>
    <w:tblStylePr w:type="band2Vert">
      <w:rPr>
        <w:color w:val="404040"/>
        <w:sz w:val="22"/>
      </w:rPr>
      <w:tcPr>
        <w:shd w:val="clear" w:color="daeef3" w:fill="daeef3" w:themeFill="accent5" w:themeFillTint="34"/>
      </w:tcPr>
    </w:tblStylePr>
    <w:tblStylePr w:type="firstCol">
      <w:rPr>
        <w:color w:val="f2f2f2"/>
        <w:sz w:val="22"/>
      </w:rPr>
      <w:tcPr>
        <w:shd w:val="clear" w:color="4bacc6" w:fill="4bacc6" w:themeFill="accent5"/>
      </w:tcPr>
    </w:tblStylePr>
    <w:tblStylePr w:type="firstRow">
      <w:rPr>
        <w:color w:val="f2f2f2"/>
        <w:sz w:val="22"/>
      </w:rPr>
      <w:tcPr>
        <w:shd w:val="clear" w:color="4bacc6" w:fill="4bacc6" w:themeFill="accent5"/>
      </w:tcPr>
    </w:tblStylePr>
    <w:tblStylePr w:type="lastCol">
      <w:rPr>
        <w:color w:val="f2f2f2"/>
        <w:sz w:val="22"/>
      </w:rPr>
      <w:tcPr>
        <w:shd w:val="clear" w:color="4bacc6" w:fill="4bacc6" w:themeFill="accent5"/>
      </w:tcPr>
    </w:tblStylePr>
    <w:tblStylePr w:type="lastRow">
      <w:rPr>
        <w:color w:val="f2f2f2"/>
        <w:sz w:val="22"/>
      </w:rPr>
      <w:tcPr>
        <w:shd w:val="clear" w:color="4bacc6" w:fill="4bacc6" w:themeFill="accent5"/>
      </w:tcPr>
    </w:tblStylePr>
  </w:style>
  <w:style w:type="table" w:styleId="1311" w:customStyle="1">
    <w:name w:val="Bordered &amp; Lined - Accent 6"/>
    <w:basedOn w:val="772"/>
    <w:uiPriority w:val="99"/>
    <w:rPr>
      <w:color w:val="404040"/>
    </w:rPr>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de9d8" w:fill="fde9d8" w:themeFill="accent6" w:themeFillTint="34"/>
      </w:tcPr>
    </w:tblStylePr>
    <w:tblStylePr w:type="band2Vert">
      <w:rPr>
        <w:color w:val="404040"/>
        <w:sz w:val="22"/>
      </w:rPr>
      <w:tcPr>
        <w:shd w:val="clear" w:color="fde9d8" w:fill="fde9d8" w:themeFill="accent6" w:themeFillTint="34"/>
      </w:tcPr>
    </w:tblStylePr>
    <w:tblStylePr w:type="firstCol">
      <w:rPr>
        <w:color w:val="f2f2f2"/>
        <w:sz w:val="22"/>
      </w:rPr>
      <w:tcPr>
        <w:shd w:val="clear" w:color="f79646" w:fill="f79646" w:themeFill="accent6"/>
      </w:tcPr>
    </w:tblStylePr>
    <w:tblStylePr w:type="firstRow">
      <w:rPr>
        <w:color w:val="f2f2f2"/>
        <w:sz w:val="22"/>
      </w:rPr>
      <w:tcPr>
        <w:shd w:val="clear" w:color="f79646" w:fill="f79646" w:themeFill="accent6"/>
      </w:tcPr>
    </w:tblStylePr>
    <w:tblStylePr w:type="lastCol">
      <w:rPr>
        <w:color w:val="f2f2f2"/>
        <w:sz w:val="22"/>
      </w:rPr>
      <w:tcPr>
        <w:shd w:val="clear" w:color="f79646" w:fill="f79646" w:themeFill="accent6"/>
      </w:tcPr>
    </w:tblStylePr>
    <w:tblStylePr w:type="lastRow">
      <w:rPr>
        <w:color w:val="f2f2f2"/>
        <w:sz w:val="22"/>
      </w:rPr>
      <w:tcPr>
        <w:shd w:val="clear" w:color="f79646" w:fill="f79646" w:themeFill="accent6"/>
      </w:tcPr>
    </w:tblStylePr>
  </w:style>
  <w:style w:type="table" w:styleId="1312" w:customStyle="1">
    <w:name w:val="Bordered"/>
    <w:basedOn w:val="772"/>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color w:val="404040"/>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color w:val="404040"/>
        <w:sz w:val="22"/>
      </w:rPr>
    </w:tblStylePr>
    <w:tblStylePr w:type="firstRow">
      <w:rPr>
        <w:color w:val="404040"/>
        <w:sz w:val="22"/>
      </w:rPr>
      <w:tcPr>
        <w:tcBorders>
          <w:bottom w:val="single" w:color="000000" w:themeColor="text1" w:sz="12" w:space="0"/>
        </w:tcBorders>
      </w:tcPr>
    </w:tblStylePr>
    <w:tblStylePr w:type="lastCol">
      <w:rPr>
        <w:color w:val="404040"/>
        <w:sz w:val="22"/>
      </w:rPr>
      <w:tcPr>
        <w:tcBorders>
          <w:left w:val="single" w:color="000000" w:themeColor="text1" w:sz="12" w:space="0"/>
        </w:tcBorders>
      </w:tcPr>
    </w:tblStylePr>
    <w:tblStylePr w:type="lastRow">
      <w:rPr>
        <w:color w:val="404040"/>
        <w:sz w:val="22"/>
      </w:rPr>
      <w:tcPr>
        <w:tcBorders>
          <w:top w:val="single" w:color="000000" w:themeColor="text1" w:sz="12" w:space="0"/>
        </w:tcBorders>
      </w:tcPr>
    </w:tblStylePr>
  </w:style>
  <w:style w:type="table" w:styleId="1313" w:customStyle="1">
    <w:name w:val="Bordered - Accent 1"/>
    <w:basedOn w:val="772"/>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color w:val="404040"/>
        <w:sz w:val="22"/>
      </w:rPr>
      <w:tcPr>
        <w:tcBorders>
          <w:top w:val="single" w:color="4F81BD" w:themeColor="accent1" w:sz="4" w:space="0"/>
          <w:left w:val="single" w:color="4F81BD" w:themeColor="accent1" w:sz="4" w:space="0"/>
          <w:bottom w:val="single" w:color="4F81BD" w:themeColor="accent1" w:sz="4" w:space="0"/>
          <w:right w:val="single" w:color="4F81BD" w:themeColor="accent1" w:sz="4" w:space="0"/>
        </w:tcBorders>
      </w:tcPr>
    </w:tblStylePr>
    <w:tblStylePr w:type="firstCol">
      <w:rPr>
        <w:color w:val="404040"/>
        <w:sz w:val="22"/>
      </w:rPr>
    </w:tblStylePr>
    <w:tblStylePr w:type="firstRow">
      <w:rPr>
        <w:color w:val="404040"/>
        <w:sz w:val="22"/>
      </w:rPr>
      <w:tcPr>
        <w:tcBorders>
          <w:bottom w:val="single" w:color="4F81BD" w:themeColor="accent1" w:sz="12" w:space="0"/>
        </w:tcBorders>
      </w:tcPr>
    </w:tblStylePr>
    <w:tblStylePr w:type="lastCol">
      <w:rPr>
        <w:color w:val="404040"/>
        <w:sz w:val="22"/>
      </w:rPr>
      <w:tcPr>
        <w:tcBorders>
          <w:left w:val="single" w:color="4F81BD" w:themeColor="accent1" w:sz="12" w:space="0"/>
        </w:tcBorders>
      </w:tcPr>
    </w:tblStylePr>
    <w:tblStylePr w:type="lastRow">
      <w:rPr>
        <w:color w:val="404040"/>
        <w:sz w:val="22"/>
      </w:rPr>
      <w:tcPr>
        <w:tcBorders>
          <w:top w:val="single" w:color="4F81BD" w:themeColor="accent1" w:sz="12" w:space="0"/>
        </w:tcBorders>
      </w:tcPr>
    </w:tblStylePr>
  </w:style>
  <w:style w:type="table" w:styleId="1314" w:customStyle="1">
    <w:name w:val="Bordered - Accent 2"/>
    <w:basedOn w:val="772"/>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color w:val="404040"/>
        <w:sz w:val="22"/>
      </w:rPr>
      <w:tcPr>
        <w:tcBorders>
          <w:top w:val="single" w:color="C0504D" w:themeColor="accent2" w:sz="4" w:space="0"/>
          <w:left w:val="single" w:color="C0504D" w:themeColor="accent2" w:sz="4" w:space="0"/>
          <w:bottom w:val="single" w:color="C0504D" w:themeColor="accent2" w:sz="4" w:space="0"/>
          <w:right w:val="single" w:color="C0504D" w:themeColor="accent2" w:sz="4" w:space="0"/>
        </w:tcBorders>
      </w:tcPr>
    </w:tblStylePr>
    <w:tblStylePr w:type="firstCol">
      <w:rPr>
        <w:color w:val="404040"/>
        <w:sz w:val="22"/>
      </w:rPr>
    </w:tblStylePr>
    <w:tblStylePr w:type="firstRow">
      <w:rPr>
        <w:color w:val="404040"/>
        <w:sz w:val="22"/>
      </w:rPr>
      <w:tcPr>
        <w:tcBorders>
          <w:bottom w:val="single" w:color="C0504D" w:themeColor="accent2" w:sz="12" w:space="0"/>
        </w:tcBorders>
      </w:tcPr>
    </w:tblStylePr>
    <w:tblStylePr w:type="lastCol">
      <w:rPr>
        <w:color w:val="404040"/>
        <w:sz w:val="22"/>
      </w:rPr>
      <w:tcPr>
        <w:tcBorders>
          <w:left w:val="single" w:color="C0504D" w:themeColor="accent2" w:sz="12" w:space="0"/>
        </w:tcBorders>
      </w:tcPr>
    </w:tblStylePr>
    <w:tblStylePr w:type="lastRow">
      <w:rPr>
        <w:color w:val="404040"/>
        <w:sz w:val="22"/>
      </w:rPr>
      <w:tcPr>
        <w:tcBorders>
          <w:top w:val="single" w:color="C0504D" w:themeColor="accent2" w:sz="12" w:space="0"/>
        </w:tcBorders>
      </w:tcPr>
    </w:tblStylePr>
  </w:style>
  <w:style w:type="table" w:styleId="1315" w:customStyle="1">
    <w:name w:val="Bordered - Accent 3"/>
    <w:basedOn w:val="772"/>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color w:val="404040"/>
        <w:sz w:val="22"/>
      </w:rPr>
      <w:tcPr>
        <w:tcBorders>
          <w:top w:val="single" w:color="9BBB59" w:themeColor="accent3" w:sz="4" w:space="0"/>
          <w:left w:val="single" w:color="9BBB59" w:themeColor="accent3" w:sz="4" w:space="0"/>
          <w:bottom w:val="single" w:color="9BBB59" w:themeColor="accent3" w:sz="4" w:space="0"/>
          <w:right w:val="single" w:color="9BBB59" w:themeColor="accent3" w:sz="4" w:space="0"/>
        </w:tcBorders>
      </w:tcPr>
    </w:tblStylePr>
    <w:tblStylePr w:type="firstCol">
      <w:rPr>
        <w:color w:val="404040"/>
        <w:sz w:val="22"/>
      </w:rPr>
    </w:tblStylePr>
    <w:tblStylePr w:type="firstRow">
      <w:rPr>
        <w:color w:val="404040"/>
        <w:sz w:val="22"/>
      </w:rPr>
      <w:tcPr>
        <w:tcBorders>
          <w:bottom w:val="single" w:color="9BBB59" w:themeColor="accent3" w:sz="12" w:space="0"/>
        </w:tcBorders>
      </w:tcPr>
    </w:tblStylePr>
    <w:tblStylePr w:type="lastCol">
      <w:rPr>
        <w:color w:val="404040"/>
        <w:sz w:val="22"/>
      </w:rPr>
      <w:tcPr>
        <w:tcBorders>
          <w:left w:val="single" w:color="9BBB59" w:themeColor="accent3" w:sz="12" w:space="0"/>
        </w:tcBorders>
      </w:tcPr>
    </w:tblStylePr>
    <w:tblStylePr w:type="lastRow">
      <w:rPr>
        <w:color w:val="404040"/>
        <w:sz w:val="22"/>
      </w:rPr>
      <w:tcPr>
        <w:tcBorders>
          <w:top w:val="single" w:color="9BBB59" w:themeColor="accent3" w:sz="12" w:space="0"/>
        </w:tcBorders>
      </w:tcPr>
    </w:tblStylePr>
  </w:style>
  <w:style w:type="table" w:styleId="1316" w:customStyle="1">
    <w:name w:val="Bordered - Accent 4"/>
    <w:basedOn w:val="772"/>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color w:val="404040"/>
        <w:sz w:val="22"/>
      </w:rPr>
      <w:tcPr>
        <w:tcBorders>
          <w:top w:val="single" w:color="8064A2" w:themeColor="accent4" w:sz="4" w:space="0"/>
          <w:left w:val="single" w:color="8064A2" w:themeColor="accent4" w:sz="4" w:space="0"/>
          <w:bottom w:val="single" w:color="8064A2" w:themeColor="accent4" w:sz="4" w:space="0"/>
          <w:right w:val="single" w:color="8064A2" w:themeColor="accent4" w:sz="4" w:space="0"/>
        </w:tcBorders>
      </w:tcPr>
    </w:tblStylePr>
    <w:tblStylePr w:type="firstCol">
      <w:rPr>
        <w:color w:val="404040"/>
        <w:sz w:val="22"/>
      </w:rPr>
    </w:tblStylePr>
    <w:tblStylePr w:type="firstRow">
      <w:rPr>
        <w:color w:val="404040"/>
        <w:sz w:val="22"/>
      </w:rPr>
      <w:tcPr>
        <w:tcBorders>
          <w:bottom w:val="single" w:color="8064A2" w:themeColor="accent4" w:sz="12" w:space="0"/>
        </w:tcBorders>
      </w:tcPr>
    </w:tblStylePr>
    <w:tblStylePr w:type="lastCol">
      <w:rPr>
        <w:color w:val="404040"/>
        <w:sz w:val="22"/>
      </w:rPr>
      <w:tcPr>
        <w:tcBorders>
          <w:left w:val="single" w:color="8064A2" w:themeColor="accent4" w:sz="12" w:space="0"/>
        </w:tcBorders>
      </w:tcPr>
    </w:tblStylePr>
    <w:tblStylePr w:type="lastRow">
      <w:rPr>
        <w:color w:val="404040"/>
        <w:sz w:val="22"/>
      </w:rPr>
      <w:tcPr>
        <w:tcBorders>
          <w:top w:val="single" w:color="8064A2" w:themeColor="accent4" w:sz="12" w:space="0"/>
        </w:tcBorders>
      </w:tcPr>
    </w:tblStylePr>
  </w:style>
  <w:style w:type="table" w:styleId="1317" w:customStyle="1">
    <w:name w:val="Bordered - Accent 5"/>
    <w:basedOn w:val="772"/>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color w:val="404040"/>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firstCol">
      <w:rPr>
        <w:color w:val="404040"/>
        <w:sz w:val="22"/>
      </w:rPr>
    </w:tblStylePr>
    <w:tblStylePr w:type="firstRow">
      <w:rPr>
        <w:color w:val="404040"/>
        <w:sz w:val="22"/>
      </w:rPr>
      <w:tcPr>
        <w:tcBorders>
          <w:bottom w:val="single" w:color="4BACC6" w:themeColor="accent5" w:sz="12" w:space="0"/>
        </w:tcBorders>
      </w:tcPr>
    </w:tblStylePr>
    <w:tblStylePr w:type="lastCol">
      <w:rPr>
        <w:color w:val="404040"/>
        <w:sz w:val="22"/>
      </w:rPr>
      <w:tcPr>
        <w:tcBorders>
          <w:left w:val="single" w:color="4BACC6" w:themeColor="accent5" w:sz="12" w:space="0"/>
        </w:tcBorders>
      </w:tcPr>
    </w:tblStylePr>
    <w:tblStylePr w:type="lastRow">
      <w:rPr>
        <w:color w:val="404040"/>
        <w:sz w:val="22"/>
      </w:rPr>
      <w:tcPr>
        <w:tcBorders>
          <w:top w:val="single" w:color="4BACC6" w:themeColor="accent5" w:sz="12" w:space="0"/>
        </w:tcBorders>
      </w:tcPr>
    </w:tblStylePr>
  </w:style>
  <w:style w:type="table" w:styleId="1318" w:customStyle="1">
    <w:name w:val="Bordered - Accent 6"/>
    <w:basedOn w:val="772"/>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color w:val="404040"/>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firstCol">
      <w:rPr>
        <w:color w:val="404040"/>
        <w:sz w:val="22"/>
      </w:rPr>
    </w:tblStylePr>
    <w:tblStylePr w:type="firstRow">
      <w:rPr>
        <w:color w:val="404040"/>
        <w:sz w:val="22"/>
      </w:rPr>
      <w:tcPr>
        <w:tcBorders>
          <w:bottom w:val="single" w:color="F79646" w:themeColor="accent6" w:sz="12" w:space="0"/>
        </w:tcBorders>
      </w:tcPr>
    </w:tblStylePr>
    <w:tblStylePr w:type="lastCol">
      <w:rPr>
        <w:color w:val="404040"/>
        <w:sz w:val="22"/>
      </w:rPr>
      <w:tcPr>
        <w:tcBorders>
          <w:left w:val="single" w:color="F79646" w:themeColor="accent6" w:sz="12" w:space="0"/>
        </w:tcBorders>
      </w:tcPr>
    </w:tblStylePr>
    <w:tblStylePr w:type="lastRow">
      <w:rPr>
        <w:color w:val="404040"/>
        <w:sz w:val="22"/>
      </w:rPr>
      <w:tcPr>
        <w:tcBorders>
          <w:top w:val="single" w:color="F79646" w:themeColor="accent6" w:sz="12" w:space="0"/>
        </w:tcBorders>
      </w:tcPr>
    </w:tblStylePr>
  </w:style>
  <w:style w:type="paragraph" w:styleId="1319">
    <w:name w:val="Balloon Text"/>
    <w:basedOn w:val="761"/>
    <w:link w:val="1320"/>
    <w:uiPriority w:val="99"/>
    <w:semiHidden/>
    <w:unhideWhenUsed/>
    <w:rPr>
      <w:rFonts w:ascii="Segoe UI" w:hAnsi="Segoe UI" w:cs="Segoe UI"/>
      <w:sz w:val="18"/>
      <w:szCs w:val="18"/>
    </w:rPr>
  </w:style>
  <w:style w:type="character" w:styleId="1320" w:customStyle="1">
    <w:name w:val="Текст выноски Знак1"/>
    <w:basedOn w:val="771"/>
    <w:link w:val="1319"/>
    <w:uiPriority w:val="99"/>
    <w:semiHidden/>
    <w:rPr>
      <w:rFonts w:ascii="Segoe UI" w:hAnsi="Segoe UI" w:cs="Segoe UI"/>
      <w:sz w:val="18"/>
      <w:szCs w:val="18"/>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image" Target="media/image2.png"/><Relationship Id="rId13" Type="http://schemas.openxmlformats.org/officeDocument/2006/relationships/image" Target="media/image3.png"/><Relationship Id="rId14" Type="http://schemas.openxmlformats.org/officeDocument/2006/relationships/image" Target="media/image4.png"/><Relationship Id="rId15" Type="http://schemas.openxmlformats.org/officeDocument/2006/relationships/image" Target="media/image5.png"/><Relationship Id="rId16" Type="http://schemas.openxmlformats.org/officeDocument/2006/relationships/image" Target="media/image6.png"/><Relationship Id="rId17" Type="http://schemas.openxmlformats.org/officeDocument/2006/relationships/image" Target="media/image7.png"/><Relationship Id="rId18" Type="http://schemas.openxmlformats.org/officeDocument/2006/relationships/image" Target="media/image8.png"/><Relationship Id="rId19" Type="http://schemas.openxmlformats.org/officeDocument/2006/relationships/image" Target="media/image9.png"/><Relationship Id="rId20" Type="http://schemas.openxmlformats.org/officeDocument/2006/relationships/image" Target="media/image10.png"/><Relationship Id="rId21" Type="http://schemas.openxmlformats.org/officeDocument/2006/relationships/image" Target="media/image11.png"/><Relationship Id="rId22" Type="http://schemas.openxmlformats.org/officeDocument/2006/relationships/image" Target="media/image12.png"/><Relationship Id="rId23" Type="http://schemas.openxmlformats.org/officeDocument/2006/relationships/hyperlink" Target="http://www.kamenergo.ru/"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B02CC-A33A-4943-8F97-DAF3F5D8A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Р7-Офис/7.4.0.223</Application>
  <Company>РусГидро</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nikolskaya_sv</dc:creator>
  <dc:description/>
  <dc:language>ru-RU</dc:language>
  <cp:revision>81</cp:revision>
  <dcterms:created xsi:type="dcterms:W3CDTF">2023-04-17T11:27:00Z</dcterms:created>
  <dcterms:modified xsi:type="dcterms:W3CDTF">2025-05-06T02:49:03Z</dcterms:modified>
</cp:coreProperties>
</file>